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80000" cy="2862754"/>
            <wp:docPr id="1" name="Picture 1"/>
            <wp:cNvGraphicFramePr>
              <a:graphicFrameLocks noChangeAspect="1"/>
            </wp:cNvGraphicFramePr>
            <a:graphic>
              <a:graphicData uri="http://schemas.openxmlformats.org/drawingml/2006/picture">
                <pic:pic>
                  <pic:nvPicPr>
                    <pic:cNvPr id="0" name="mesa_logo.png"/>
                    <pic:cNvPicPr/>
                  </pic:nvPicPr>
                  <pic:blipFill>
                    <a:blip r:embed="rId9"/>
                    <a:stretch>
                      <a:fillRect/>
                    </a:stretch>
                  </pic:blipFill>
                  <pic:spPr>
                    <a:xfrm>
                      <a:off x="0" y="0"/>
                      <a:ext cx="2880000" cy="2862754"/>
                    </a:xfrm>
                    <a:prstGeom prst="rect"/>
                  </pic:spPr>
                </pic:pic>
              </a:graphicData>
            </a:graphic>
          </wp:inline>
        </w:drawing>
      </w:r>
    </w:p>
    <w:p>
      <w:pPr>
        <w:jc w:val="center"/>
      </w:pPr>
      <w:r>
        <w:rPr>
          <w:b/>
          <w:color w:val="1F3A5F"/>
          <w:sz w:val="72"/>
        </w:rPr>
        <w:t>Manual do Utilizador MESA</w:t>
      </w:r>
    </w:p>
    <w:p>
      <w:pPr>
        <w:jc w:val="center"/>
      </w:pPr>
      <w:r>
        <w:rPr>
          <w:i/>
          <w:color w:val="444444"/>
          <w:sz w:val="36"/>
        </w:rPr>
        <w:t>Mapeamento de Activos Ambientalmente Sensíveis</w:t>
      </w:r>
    </w:p>
    <w:p>
      <w:pPr>
        <w:jc w:val="center"/>
      </w:pPr>
      <w:r>
        <w:rPr>
          <w:sz w:val="28"/>
        </w:rPr>
        <w:t>MESA 5.7.0 — ferramenta de ambiente de trabalho</w:t>
      </w:r>
    </w:p>
    <w:p/>
    <w:p/>
    <w:p/>
    <w:p/>
    <w:p/>
    <w:p/>
    <w:p>
      <w:pPr>
        <w:jc w:val="center"/>
      </w:pPr>
      <w:r>
        <w:rPr>
          <w:b/>
          <w:sz w:val="26"/>
        </w:rPr>
        <w:t xml:space="preserve">Autor: </w:t>
      </w:r>
      <w:r>
        <w:rPr>
          <w:sz w:val="26"/>
        </w:rPr>
        <w:t>Ragnvald Larsen</w:t>
      </w:r>
    </w:p>
    <w:p>
      <w:pPr>
        <w:jc w:val="center"/>
      </w:pPr>
      <w:r>
        <w:rPr>
          <w:b/>
          <w:sz w:val="26"/>
        </w:rPr>
        <w:t xml:space="preserve">Afiliação: </w:t>
      </w:r>
      <w:r>
        <w:rPr>
          <w:sz w:val="26"/>
        </w:rPr>
        <w:t>Norwegian Environment Agency</w:t>
      </w:r>
    </w:p>
    <w:p>
      <w:pPr>
        <w:jc w:val="center"/>
      </w:pPr>
      <w:r>
        <w:rPr>
          <w:b/>
          <w:sz w:val="26"/>
        </w:rPr>
        <w:t xml:space="preserve">Edição: </w:t>
      </w:r>
      <w:r>
        <w:rPr>
          <w:sz w:val="26"/>
        </w:rPr>
        <w:t>Outubro de 2026</w:t>
      </w:r>
    </w:p>
    <w:p>
      <w:r>
        <w:br w:type="page"/>
      </w:r>
    </w:p>
    <w:p>
      <w:pPr>
        <w:pStyle w:val="Heading1"/>
        <w:jc w:val="left"/>
      </w:pPr>
      <w:r>
        <w:t>Índice</w:t>
      </w:r>
    </w:p>
    <w:p>
      <w:r>
        <w:fldChar w:fldCharType="begin" w:dirty="true"/>
        <w:instrText xml:space="preserve">TOC \o "1-3" \h \z \u</w:instrText>
        <w:fldChar w:fldCharType="separate"/>
        <w:t xml:space="preserve">Clique com o botão direito aqui e seleccione Actualizar Campo (ou prima F9) para criar o índice.</w:t>
        <w:fldChar w:fldCharType="end"/>
      </w:r>
    </w:p>
    <w:p>
      <w:r>
        <w:br w:type="page"/>
      </w:r>
    </w:p>
    <w:p>
      <w:pPr>
        <w:pStyle w:val="Heading1"/>
      </w:pPr>
      <w:r>
        <w:t>1. Introdução</w:t>
      </w:r>
    </w:p>
    <w:p>
      <w:pPr>
        <w:jc w:val="center"/>
      </w:pPr>
      <w:r>
        <w:drawing>
          <wp:inline xmlns:a="http://schemas.openxmlformats.org/drawingml/2006/main" xmlns:pic="http://schemas.openxmlformats.org/drawingml/2006/picture">
            <wp:extent cx="5400000" cy="2076013"/>
            <wp:docPr id="2" name="Picture 2"/>
            <wp:cNvGraphicFramePr>
              <a:graphicFrameLocks noChangeAspect="1"/>
            </wp:cNvGraphicFramePr>
            <a:graphic>
              <a:graphicData uri="http://schemas.openxmlformats.org/drawingml/2006/picture">
                <pic:pic>
                  <pic:nvPicPr>
                    <pic:cNvPr id="0" name="top_intro.png"/>
                    <pic:cNvPicPr/>
                  </pic:nvPicPr>
                  <pic:blipFill>
                    <a:blip r:embed="rId10"/>
                    <a:stretch>
                      <a:fillRect/>
                    </a:stretch>
                  </pic:blipFill>
                  <pic:spPr>
                    <a:xfrm>
                      <a:off x="0" y="0"/>
                      <a:ext cx="5400000" cy="2076013"/>
                    </a:xfrm>
                    <a:prstGeom prst="rect"/>
                  </pic:spPr>
                </pic:pic>
              </a:graphicData>
            </a:graphic>
          </wp:inline>
        </w:drawing>
      </w:r>
    </w:p>
    <w:p>
      <w:pPr>
        <w:jc w:val="center"/>
      </w:pPr>
      <w:r>
        <w:rPr>
          <w:i/>
          <w:sz w:val="20"/>
        </w:rPr>
        <w:t>MESA — Mapeamento de Activos Ambientalmente Sensíveis.</w:t>
      </w:r>
    </w:p>
    <w:p>
      <w:r>
        <w:t>O método MESA identifica e avalia factores ambientais essenciais, tais como o significado ecológico, a biodiversidade, a abundância de espécies, a qualidade do habitat e a presença de áreas sensíveis ou protegidas. Ao combinar estes factores, o método permite uma avaliação estruturada de como os incidentes de poluição podem afectar o ambiente.</w:t>
      </w:r>
    </w:p>
    <w:p>
      <w:r>
        <w:t>Complementando o método, a ferramenta MESA disponibiliza um fluxo de trabalho de ambiente de trabalho Windows para realizar avaliações de sensibilidade ambiental e produzir resultados prontos para mapas e relatórios. A actual versão MESA 5.2 produz:</w:t>
      </w:r>
    </w:p>
    <w:p>
      <w:pPr>
        <w:pStyle w:val="ListBullet"/>
      </w:pPr>
      <w:r>
        <w:t>Tabelas GeoParquet em output/geoparquet/ como repositório canónico da análise</w:t>
      </w:r>
    </w:p>
    <w:p>
      <w:pPr>
        <w:pStyle w:val="ListBullet"/>
      </w:pPr>
      <w:r>
        <w:t>MBTiles em output/mbtiles/ para visualização rápida de mapas</w:t>
      </w:r>
    </w:p>
    <w:p>
      <w:pPr>
        <w:pStyle w:val="ListBullet"/>
      </w:pPr>
      <w:r>
        <w:t>Um projecto QGIS pronto a abrir em qgis/ para produção cartográfica</w:t>
      </w:r>
    </w:p>
    <w:p>
      <w:pPr>
        <w:pStyle w:val="ListBullet"/>
      </w:pPr>
      <w:r>
        <w:t>Relatórios Word em output/reports/</w:t>
      </w:r>
    </w:p>
    <w:p>
      <w:r>
        <w:t>Se utilizar a distribuição empacotada, inicie com mesa.exe. Se estiver a executar a partir do código-fonte, inicie com python mesa.py.</w:t>
      </w:r>
    </w:p>
    <w:p>
      <w:r>
        <w:t>MESA 5.2 é a linha de versão actual. O método continua a evoluir e o desenvolvimento contínuo do método orientará o desenvolvimento futuro da ferramenta.</w:t>
      </w:r>
    </w:p>
    <w:p>
      <w:pPr>
        <w:pStyle w:val="Heading2"/>
      </w:pPr>
      <w:r>
        <w:t>1.1 Requisitos de sistema (mínimo)</w:t>
      </w:r>
    </w:p>
    <w:p>
      <w:pPr>
        <w:pStyle w:val="ListBullet"/>
      </w:pPr>
      <w:r>
        <w:t>Windows 11</w:t>
      </w:r>
    </w:p>
    <w:p>
      <w:pPr>
        <w:pStyle w:val="ListBullet"/>
      </w:pPr>
      <w:r>
        <w:t>16 GB de RAM</w:t>
      </w:r>
    </w:p>
    <w:p>
      <w:pPr>
        <w:pStyle w:val="ListBullet"/>
      </w:pPr>
      <w:r>
        <w:t>8 núcleos de CPU</w:t>
      </w:r>
    </w:p>
    <w:p>
      <w:r>
        <w:t>Em conjunto, o método e a ferramenta MESA apoiam uma melhor preparação para episódios de poluição, planeamento de resposta e gestão ambiental. Ao avaliar e mapear sistematicamente as sensibilidades ambientais, as partes interessadas podem tomar decisões mais informadas, priorizar a mitigação e melhorar a coordenação entre equipas.</w:t>
      </w:r>
    </w:p>
    <w:p>
      <w:pPr>
        <w:jc w:val="center"/>
      </w:pPr>
      <w:r>
        <w:drawing>
          <wp:inline xmlns:a="http://schemas.openxmlformats.org/drawingml/2006/main" xmlns:pic="http://schemas.openxmlformats.org/drawingml/2006/picture">
            <wp:extent cx="4320000" cy="3319449"/>
            <wp:docPr id="3" name="Picture 3"/>
            <wp:cNvGraphicFramePr>
              <a:graphicFrameLocks noChangeAspect="1"/>
            </wp:cNvGraphicFramePr>
            <a:graphic>
              <a:graphicData uri="http://schemas.openxmlformats.org/drawingml/2006/picture">
                <pic:pic>
                  <pic:nvPicPr>
                    <pic:cNvPr id="0" name="Conflicting_interests.png"/>
                    <pic:cNvPicPr/>
                  </pic:nvPicPr>
                  <pic:blipFill>
                    <a:blip r:embed="rId11"/>
                    <a:stretch>
                      <a:fillRect/>
                    </a:stretch>
                  </pic:blipFill>
                  <pic:spPr>
                    <a:xfrm>
                      <a:off x="0" y="0"/>
                      <a:ext cx="4320000" cy="3319449"/>
                    </a:xfrm>
                    <a:prstGeom prst="rect"/>
                  </pic:spPr>
                </pic:pic>
              </a:graphicData>
            </a:graphic>
          </wp:inline>
        </w:drawing>
      </w:r>
    </w:p>
    <w:p>
      <w:pPr>
        <w:jc w:val="center"/>
      </w:pPr>
      <w:r>
        <w:rPr>
          <w:i/>
          <w:sz w:val="20"/>
        </w:rPr>
        <w:t>Interesses conflituantes captados pelo mapeamento de sensibilidades.</w:t>
      </w:r>
    </w:p>
    <w:p>
      <w:r>
        <w:br w:type="page"/>
      </w:r>
    </w:p>
    <w:p>
      <w:pPr>
        <w:pStyle w:val="Heading1"/>
      </w:pPr>
      <w:r>
        <w:t>2. Novidades no MESA 5.2</w:t>
      </w:r>
    </w:p>
    <w:p>
      <w:r>
        <w:t>O MESA 5.2 é uma versão centrada em mapas e segmentação. As duas maiores mudanças são visíveis assim que abre as ferramentas de Resultados: uma única janela de Mapas unificada substitui os dois antigos visualizadores de mapas, e uma nova fase Segmentar no executor de processamento constrói uma segmentação por camada de geocódigos do resultado da análise. Os ganhos de fiabilidade e usabilidade introduzidos na 5.1 são mantidos e resumidos após os destaques da 5.2 abaixo.</w:t>
      </w:r>
    </w:p>
    <w:p>
      <w:pPr>
        <w:pStyle w:val="Heading2"/>
      </w:pPr>
      <w:r>
        <w:t>2.1 Janela de Mapas unificada</w:t>
      </w:r>
    </w:p>
    <w:p>
      <w:r>
        <w:t>A etapa de Resultados tem agora um único botão Mapas (eram dois: Mapa de Activos e Mapa de Resultados). Abre uma janela com três separadores: Visão Geral (as camadas MBTiles de índice / sensibilidade sobre um mapa-base, com um pequeno gráfico de barras de área), Segmentação (as camadas produzidas pela nova fase Segmentar; vazio até o projecto ter uma partição de segmentação) e Activos (camadas de activos importadas, carregadas de forma diferida para a janela abrir rapidamente, com cartografia assistida por IA a atribuir cores quando activa um grupo). Os controlos partilhados no cabeçalho e num painel flutuante aplicam-se ao separador activo: Ligar zoom e deslocamento mantém os três mapas enquadrados na mesma área, mais um cursor de opacidade, um selector de mapa-base, controlos de camadas flutuantes e Exportar PNG.</w:t>
      </w:r>
    </w:p>
    <w:p>
      <w:pPr>
        <w:jc w:val="center"/>
      </w:pPr>
      <w:r>
        <w:drawing>
          <wp:inline xmlns:a="http://schemas.openxmlformats.org/drawingml/2006/main" xmlns:pic="http://schemas.openxmlformats.org/drawingml/2006/picture">
            <wp:extent cx="5400000" cy="3229540"/>
            <wp:docPr id="4" name="Picture 4"/>
            <wp:cNvGraphicFramePr>
              <a:graphicFrameLocks noChangeAspect="1"/>
            </wp:cNvGraphicFramePr>
            <a:graphic>
              <a:graphicData uri="http://schemas.openxmlformats.org/drawingml/2006/picture">
                <pic:pic>
                  <pic:nvPicPr>
                    <pic:cNvPr id="0" name="ui_combined_map.png"/>
                    <pic:cNvPicPr/>
                  </pic:nvPicPr>
                  <pic:blipFill>
                    <a:blip r:embed="rId12"/>
                    <a:stretch>
                      <a:fillRect/>
                    </a:stretch>
                  </pic:blipFill>
                  <pic:spPr>
                    <a:xfrm>
                      <a:off x="0" y="0"/>
                      <a:ext cx="5400000" cy="3229540"/>
                    </a:xfrm>
                    <a:prstGeom prst="rect"/>
                  </pic:spPr>
                </pic:pic>
              </a:graphicData>
            </a:graphic>
          </wp:inline>
        </w:drawing>
      </w:r>
    </w:p>
    <w:p>
      <w:pPr>
        <w:jc w:val="center"/>
      </w:pPr>
      <w:r>
        <w:rPr>
          <w:i/>
          <w:sz w:val="20"/>
        </w:rPr>
        <w:t>Janela de Mapas unificada — separadores Visão Geral, Segmentação e Activos com zoom e deslocamento ligados.</w:t>
      </w:r>
    </w:p>
    <w:p>
      <w:pPr>
        <w:pStyle w:val="Heading2"/>
      </w:pPr>
      <w:r>
        <w:t>2.2 Segmentação (nova fase Segmentar)</w:t>
      </w:r>
    </w:p>
    <w:p>
      <w:r>
        <w:t>A pipeline de dados ganha uma quinta subfase, Segmentar, que constrói tbl_segmentation a partir de tbl_stacked. Está activa por omissão quando há dados disponíveis e produz duas vistas complementares por camada de geocódigos:</w:t>
      </w:r>
    </w:p>
    <w:p>
      <w:pPr>
        <w:pStyle w:val="ListBullet"/>
      </w:pPr>
      <w:r>
        <w:t>Assinaturas (por omissão) — uma tipologia determinística: cada polígono é rotulado pelo conjunto de códigos de sensibilidade MESA (A–E) dos activos que o sobrepõem, por exemplo B+C+D+E. Sem afinação, totalmente reproduzível e económica.</w:t>
      </w:r>
    </w:p>
    <w:p>
      <w:pPr>
        <w:pStyle w:val="ListBullet"/>
      </w:pPr>
      <w:r>
        <w:t>Agrupamentos (clusters) — segmentação algorítmica (KMeans, ou uma variante aglomerativa-ward espacialmente contígua que mantém as zonas geograficamente ligadas). Opcional e mais pesada; as bibliotecas espaciais só são carregadas quando solicitada.</w:t>
      </w:r>
    </w:p>
    <w:p>
      <w:r>
        <w:t>Um selector múltiplo de grupos de geocódigos no executor controla quais as camadas a segmentar (por omissão basic_mosaic). Os resultados são tabelas compactas e sem geometria (tbl_segmentation/&lt;camada&gt;.parquet mais uma pequena tbl_segmentation_profiles.parquet), associadas à geometria do geocódigo apenas no momento da renderização. Quando existe uma partição de segmentação, o gerador de azulejos também produz &lt;grupo&gt;_seg_signatures.mbtiles e &lt;grupo&gt;_seg_clusters.mbtiles, mostrados no separador Segmentação dos Mapas. O motor de relatórios integra a segmentação como subtabelas por método com uma coluna Área total km² e selectores múltiplos, no momento do relatório, para grupos de geocódigos e níveis de segmentação.</w:t>
      </w:r>
    </w:p>
    <w:p>
      <w:r>
        <w:t>O separador Segmentação mostra também uma tabela-resumo de Zonas cujas colunas (Zona, Área km², Células, Sens, Activos) são ordenáveis: clique num cabeçalho para ordenar, clique novamente para inverter, com uma seta a marcar a coluna activa. As colunas numéricas ordenam por maior valor primeiro por omissão; apenas a tabela é reordenada — a legenda de cores mantém a ordem de maior área primeiro.</w:t>
      </w:r>
    </w:p>
    <w:p>
      <w:pPr>
        <w:jc w:val="center"/>
      </w:pPr>
      <w:r>
        <w:drawing>
          <wp:inline xmlns:a="http://schemas.openxmlformats.org/drawingml/2006/main" xmlns:pic="http://schemas.openxmlformats.org/drawingml/2006/picture">
            <wp:extent cx="5400000" cy="3229540"/>
            <wp:docPr id="5" name="Picture 5"/>
            <wp:cNvGraphicFramePr>
              <a:graphicFrameLocks noChangeAspect="1"/>
            </wp:cNvGraphicFramePr>
            <a:graphic>
              <a:graphicData uri="http://schemas.openxmlformats.org/drawingml/2006/picture">
                <pic:pic>
                  <pic:nvPicPr>
                    <pic:cNvPr id="0" name="ui_combined_map_segmentation.png"/>
                    <pic:cNvPicPr/>
                  </pic:nvPicPr>
                  <pic:blipFill>
                    <a:blip r:embed="rId13"/>
                    <a:stretch>
                      <a:fillRect/>
                    </a:stretch>
                  </pic:blipFill>
                  <pic:spPr>
                    <a:xfrm>
                      <a:off x="0" y="0"/>
                      <a:ext cx="5400000" cy="3229540"/>
                    </a:xfrm>
                    <a:prstGeom prst="rect"/>
                  </pic:spPr>
                </pic:pic>
              </a:graphicData>
            </a:graphic>
          </wp:inline>
        </w:drawing>
      </w:r>
    </w:p>
    <w:p>
      <w:pPr>
        <w:jc w:val="center"/>
      </w:pPr>
      <w:r>
        <w:rPr>
          <w:i/>
          <w:sz w:val="20"/>
        </w:rPr>
        <w:t>Separador Segmentação — a tabela de Zonas ordenada por sensibilidade média (clique em qualquer cabeçalho de coluna para ordenar).</w:t>
      </w:r>
    </w:p>
    <w:p>
      <w:r>
        <w:br w:type="page"/>
      </w:r>
    </w:p>
    <w:p>
      <w:pPr>
        <w:pStyle w:val="Heading2"/>
      </w:pPr>
      <w:r>
        <w:t>2.3 Principais ganhos herdados da 5.1</w:t>
      </w:r>
    </w:p>
    <w:p>
      <w:pPr>
        <w:pStyle w:val="Heading3"/>
      </w:pPr>
      <w:r>
        <w:t>Processamento substancialmente mais rápido</w:t>
      </w:r>
    </w:p>
    <w:p>
      <w:r>
        <w:t>Trabalho recente na pipeline de dados elimina I/O temporário evitável, replaneia blocos com maior cuidado e optimiza o caminho de achatamento. Em projectos maiores isto reduz materialmente o tempo de processamento e diminui a sensação de que as execuções ficam paradas em fases intensivas de I/O. A melhoria exacta depende do tamanho dos dados, da complexidade da geometria, da velocidade do disco e do hardware.</w:t>
      </w:r>
    </w:p>
    <w:p>
      <w:pPr>
        <w:pStyle w:val="Heading3"/>
      </w:pPr>
      <w:r>
        <w:t>Muito menos falhas em execuções longas</w:t>
      </w:r>
    </w:p>
    <w:p>
      <w:r>
        <w:t>Uma paragem por swap com pico de RSS superior a 140 GB num computador de 64 GB de RAM revelou onde os antigos limites de memória eram demasiado optimistas. Várias camadas protegem agora os trabalhos longos:</w:t>
      </w:r>
    </w:p>
    <w:p>
      <w:pPr>
        <w:pStyle w:val="ListBullet"/>
      </w:pPr>
      <w:r>
        <w:t>Auto-ajuste em tempo de execução do número de processos de trabalho com base na impressão digital do computador e dos dados do projecto.</w:t>
      </w:r>
    </w:p>
    <w:p>
      <w:pPr>
        <w:pStyle w:val="ListBullet"/>
      </w:pPr>
      <w:r>
        <w:t>Limites de memória sensíveis à plataforma — máquinas Apple Silicon usam um limite mais apertado; máquinas Windows / Linux / Mac Intel usam um limite mais largo.</w:t>
      </w:r>
    </w:p>
    <w:p>
      <w:pPr>
        <w:pStyle w:val="ListBullet"/>
      </w:pPr>
      <w:r>
        <w:t>Verificação prévia de RAM/swap antes da fase de achatamento, para que a execução aborte limpamente em vez de entrar em swap-death.</w:t>
      </w:r>
    </w:p>
    <w:p>
      <w:pPr>
        <w:pStyle w:val="ListBullet"/>
      </w:pPr>
      <w:r>
        <w:t>Vigilante de pânico de memória por pool de multiprocessamento.</w:t>
      </w:r>
    </w:p>
    <w:p>
      <w:pPr>
        <w:pStyle w:val="ListBullet"/>
      </w:pPr>
      <w:r>
        <w:t>Vigilante de tempo de vida do processo como rede de segurança final para trabalho do processo-pai entre pools.</w:t>
      </w:r>
    </w:p>
    <w:p>
      <w:pPr>
        <w:pStyle w:val="ListBullet"/>
      </w:pPr>
      <w:r>
        <w:t>Achatamento em três fases — partições enormes / grandes / pequenas executam com paralelismo progressivamente mais amplo.</w:t>
      </w:r>
    </w:p>
    <w:p>
      <w:pPr>
        <w:pStyle w:val="ListBullet"/>
      </w:pPr>
      <w:r>
        <w:t>Limpeza de fragmentos que remove artefactos de precisão de área zero de tbl_flat após a poligonização.</w:t>
      </w:r>
    </w:p>
    <w:p>
      <w:r>
        <w:t>Um único bloco [auto-tune] no topo de cada registo de execução resume a plataforma, o hardware, a impressão digital dos dados e as decisões por chave, permitindo aos operadores auditar de relance em vez de procurar linhas de registo dispersas.</w:t>
      </w:r>
    </w:p>
    <w:p>
      <w:pPr>
        <w:pStyle w:val="Heading2"/>
      </w:pPr>
      <w:r>
        <w:t>2.4 Iniciador e fluxo de trabalho</w:t>
      </w:r>
    </w:p>
    <w:p>
      <w:pPr>
        <w:pStyle w:val="Heading3"/>
      </w:pPr>
      <w:r>
        <w:t>Estrutura de separadores</w:t>
      </w:r>
    </w:p>
    <w:p>
      <w:r>
        <w:t>O iniciador do ambiente de trabalho tem agora seis separadores. Um novo separador Boas-vindas abre primeiro como ecrã inicial do iniciador; os antigos separadores Afinação do processamento e Publicar no GeoNode foram convertidos em janelas pop-up para manter os separadores do dia-a-dia focados:</w:t>
      </w:r>
    </w:p>
    <w:p>
      <w:pPr>
        <w:pStyle w:val="ListBullet"/>
      </w:pPr>
      <w:r>
        <w:t>Boas-vindas — uma breve introdução mais um formulário de Nome do projecto e Sobre este projecto (novo na 5.1)</w:t>
      </w:r>
    </w:p>
    <w:p>
      <w:pPr>
        <w:pStyle w:val="ListBullet"/>
      </w:pPr>
      <w:r>
        <w:t>Fluxos de trabalho — abrem as ferramentas de cada fase</w:t>
      </w:r>
    </w:p>
    <w:p>
      <w:pPr>
        <w:pStyle w:val="ListBullet"/>
      </w:pPr>
      <w:r>
        <w:t>Estado — contadores do projecto, actividade recente e métricas principais</w:t>
      </w:r>
    </w:p>
    <w:p>
      <w:pPr>
        <w:pStyle w:val="ListBullet"/>
      </w:pPr>
      <w:r>
        <w:t>Gerir dados — cópia de segurança, restauro, limpeza dos resultados e Publicar no GeoNode</w:t>
      </w:r>
    </w:p>
    <w:p>
      <w:pPr>
        <w:pStyle w:val="ListBullet"/>
      </w:pPr>
      <w:r>
        <w:t>Config — editor directo de config.ini; abre também a janela Afinação do processamento</w:t>
      </w:r>
    </w:p>
    <w:p>
      <w:pPr>
        <w:pStyle w:val="ListBullet"/>
      </w:pPr>
      <w:r>
        <w:t>Sobre — informação da versão, perfil do sistema e a nova janela Créditos</w:t>
      </w:r>
    </w:p>
    <w:p>
      <w:r>
        <w:t>Dois antigos separadores principais foram convertidos em janelas pop-up para manter o iniciador focado no trabalho do dia-a-dia: Afinação do processamento é agora uma janela aberta a partir do separador Config, e Publicar no GeoNode é agora uma janela aberta a partir do separador Gerir dados.</w:t>
      </w:r>
    </w:p>
    <w:p>
      <w:pPr>
        <w:pStyle w:val="Heading3"/>
      </w:pPr>
      <w:r>
        <w:t>Executor de processamento unificado com fases numeradas</w:t>
      </w:r>
    </w:p>
    <w:p>
      <w:pPr>
        <w:pStyle w:val="ListBullet"/>
      </w:pPr>
      <w:r>
        <w:t>Fases numeradas na grelha de execução e no texto de estado em tempo real, com orientação de re-execução quando as fases individuais já foram concluídas.</w:t>
      </w:r>
    </w:p>
    <w:p>
      <w:pPr>
        <w:pStyle w:val="ListBullet"/>
      </w:pPr>
      <w:r>
        <w:t>Backfill é uma fase própria da pipeline com a sua própria caixa de selecção ao lado de Prep / Intersect / Flatten.</w:t>
      </w:r>
    </w:p>
    <w:p>
      <w:pPr>
        <w:pStyle w:val="ListBullet"/>
      </w:pPr>
      <w:r>
        <w:t>Alternador Normal / Avançado oculta os selectores por fase e a opção de limpeza de fragmentos atrás de um clique deliberado.</w:t>
      </w:r>
    </w:p>
    <w:p>
      <w:pPr>
        <w:pStyle w:val="ListBullet"/>
      </w:pPr>
      <w:r>
        <w:t>Cabeçalhos direccionais na grelha Avançada mostram a ordem das fases num só olhar.</w:t>
      </w:r>
    </w:p>
    <w:p>
      <w:pPr>
        <w:pStyle w:val="ListBullet"/>
      </w:pPr>
      <w:r>
        <w:t>O Mapa de progresso é aberto a partir da própria janela do executor.</w:t>
      </w:r>
    </w:p>
    <w:p>
      <w:pPr>
        <w:pStyle w:val="ListBullet"/>
      </w:pPr>
      <w:r>
        <w:t>Os argumentos de linha de comandos (--no-prep, --no-intersect, --no-flatten, --no-cleanup-slivers) espelham os controlos da interface gráfica para execuções sem ecrã.</w:t>
      </w:r>
    </w:p>
    <w:p>
      <w:pPr>
        <w:pStyle w:val="Heading3"/>
      </w:pPr>
      <w:r>
        <w:t>Afinação do processamento mais segura</w:t>
      </w:r>
    </w:p>
    <w:p>
      <w:r>
        <w:t>A Afinação do processamento segue um padrão avaliar-antes-de-confirmar: Avaliar mostra primeiro os valores actuais face aos valores aconselhados, Confirmar alterações é separado, e Restaurar afinação anterior reverte o último conjunto de afinação confirmado.</w:t>
      </w:r>
    </w:p>
    <w:p>
      <w:pPr>
        <w:pStyle w:val="Heading2"/>
      </w:pPr>
      <w:r>
        <w:t>2.5 Autoria e relatórios</w:t>
      </w:r>
    </w:p>
    <w:p>
      <w:r>
        <w:t>A importação de Activos tem duas opções de conveniência activas por omissão: Dissolver polígonos adjacentes (combina polígonos contíguos que partilham valores de atributos idênticos) e amortecimento automático de entradas de pontos e linhas, utilizando default_point_buffer_m e default_line_buffer_m para que as feições de área zero continuem a contribuir. O auxiliar de atlas lê agora o estado existente do atlas ao abrir e inclui uma acção Eliminar. O motor de relatórios Word recebeu uma revisão de paginação — os mapas-índice incluem legendas, os mapas de área foram reduzidos com texto explicativo, os mapas dos azulejos do atlas mostram a grelha completa com o azulejo actual destacado, e cada cabeçalho de azulejo do atlas começa numa nova página.</w:t>
      </w:r>
    </w:p>
    <w:p>
      <w:pPr>
        <w:pStyle w:val="Heading2"/>
      </w:pPr>
      <w:r>
        <w:t>2.6 Fiabilidade e controlos do operador (da 5.1)</w:t>
      </w:r>
    </w:p>
    <w:p>
      <w:r>
        <w:t>Sobre a base de fiabilidade da 5.0, o MESA 5.1 acrescenta uma camada de controlos para o operador que recuperam de problemas em vez de abortar, e tornam as execuções longas mais seguras de iniciar, parar e retomar:</w:t>
      </w:r>
    </w:p>
    <w:p>
      <w:pPr>
        <w:pStyle w:val="ListBullet"/>
      </w:pPr>
      <w:r>
        <w:t>Limitação suave de memória. O vigilante de memória por pool tem agora dois níveis. Quando o uso de RAM ultrapassa o limiar suave durante alguns segundos, o pool activo é esvaziado e reiniciado com metade dos processos — a execução continua com paralelismo reduzido em vez de abortar. O pânico rígido existente mantém-se como última linha de defesa. Defina mem_soft_throttle_percent = 0 para desactivar o nível suave.</w:t>
      </w:r>
    </w:p>
    <w:p>
      <w:pPr>
        <w:pStyle w:val="ListBullet"/>
      </w:pPr>
      <w:r>
        <w:t>Cancelar que actua mesmo a meio da fase. O botão Cancelar interrompe agora uma fase em curso em cerca de meio segundo, em vez de esperar que termine, terminando com um marcador claro EXECUÇÃO CANCELADA; as fases seguintes não arrancam.</w:t>
      </w:r>
    </w:p>
    <w:p>
      <w:pPr>
        <w:pStyle w:val="ListBullet"/>
      </w:pPr>
      <w:r>
        <w:t>Bloqueio de instância única da pipeline. Cada projecto mantém um output/.pipeline.lock exclusivo durante a execução, pelo que uma segunda execução no mesmo projecto é recusada com uma mensagem clara, em vez de duas pipelines se entrelaçarem. Bloqueios obsoletos de uma falha são recuperados automaticamente; projectos diferentes podem continuar a correr em paralelo.</w:t>
      </w:r>
    </w:p>
    <w:p>
      <w:pPr>
        <w:pStyle w:val="ListBullet"/>
      </w:pPr>
      <w:r>
        <w:t>Pesos de progresso auto-calibrados. A divisão da barra de progresso entre Dados / Azulejos / Linhas / Análise é agora aprendida a partir dos tempos de execuções limpas recentes, em vez de valores fixos, pelo que a barra acompanha a realidade após algumas execuções concluídas.</w:t>
      </w:r>
    </w:p>
    <w:p>
      <w:pPr>
        <w:pStyle w:val="ListBullet"/>
      </w:pPr>
      <w:r>
        <w:t>GeoParquet mais pequeno e rápido (ZSTD-3). Os resultados do processamento são agora escritos com ZSTD nível 3 em vez de SNAPPY, reduzindo para cerca de metade o tamanho em disco nas partições grandes; a leitura não muda.</w:t>
      </w:r>
    </w:p>
    <w:p>
      <w:pPr>
        <w:pStyle w:val="ListBullet"/>
      </w:pPr>
      <w:r>
        <w:t>Cópia de segurança em thread com janela de progresso. Criar / Restaurar cópia correm agora fora da thread da interface com uma janela de progresso adequada, com opções para incluir ou ignorar os MBTiles e para escolher arquivos DEFLATE (compatível com o Explorador) ou LZMA (mais pequenos).</w:t>
      </w:r>
    </w:p>
    <w:p>
      <w:pPr>
        <w:pStyle w:val="ListBullet"/>
      </w:pPr>
      <w:r>
        <w:t>Limpeza de azulejos quando desmarcado. Desmarcar Azulejos e voltar a executar elimina os .mbtiles existentes no início da execução para que não fiquem silenciosamente desalinhados com os novos resultados; um aviso assinala a eliminação.</w:t>
      </w:r>
    </w:p>
    <w:p>
      <w:pPr>
        <w:pStyle w:val="ListBullet"/>
      </w:pPr>
      <w:r>
        <w:t>Proveniência da importação de activos. A importação de activos regista o caminho de origem, a hora e o número de camadas, mostrados acima do editor de parâmetros para identificar de que pasta input/asset/ veio um conjunto de parâmetros após várias reimportações.</w:t>
      </w:r>
    </w:p>
    <w:p>
      <w:pPr>
        <w:pStyle w:val="ListBullet"/>
      </w:pPr>
      <w:r>
        <w:t>RAM da GPU corrigida e versão actual no separador Sobre. A VRAM da GPU lê agora o valor completo de 64 bits (sem truncagem a 4 GB) e a versão MESA indicada reflecte sempre a compilação em execução.</w:t>
      </w:r>
    </w:p>
    <w:p>
      <w:r>
        <w:br w:type="page"/>
      </w:r>
    </w:p>
    <w:p>
      <w:pPr>
        <w:pStyle w:val="Heading1"/>
      </w:pPr>
      <w:r>
        <w:t>3. Início rápido</w:t>
      </w:r>
    </w:p>
    <w:p>
      <w:r>
        <w:t>Este guia de início rápido mostra como executar o fluxo de trabalho do MESA 5 de ponta a ponta: preparar entradas, configurar parâmetros, executar o processamento e rever os resultados.</w:t>
      </w:r>
    </w:p>
    <w:p>
      <w:pPr>
        <w:jc w:val="center"/>
      </w:pPr>
      <w:r>
        <w:drawing>
          <wp:inline xmlns:a="http://schemas.openxmlformats.org/drawingml/2006/main" xmlns:pic="http://schemas.openxmlformats.org/drawingml/2006/picture">
            <wp:extent cx="5400000" cy="3066279"/>
            <wp:docPr id="6" name="Picture 6"/>
            <wp:cNvGraphicFramePr>
              <a:graphicFrameLocks noChangeAspect="1"/>
            </wp:cNvGraphicFramePr>
            <a:graphic>
              <a:graphicData uri="http://schemas.openxmlformats.org/drawingml/2006/picture">
                <pic:pic>
                  <pic:nvPicPr>
                    <pic:cNvPr id="0" name="process_overview.png"/>
                    <pic:cNvPicPr/>
                  </pic:nvPicPr>
                  <pic:blipFill>
                    <a:blip r:embed="rId14"/>
                    <a:stretch>
                      <a:fillRect/>
                    </a:stretch>
                  </pic:blipFill>
                  <pic:spPr>
                    <a:xfrm>
                      <a:off x="0" y="0"/>
                      <a:ext cx="5400000" cy="3066279"/>
                    </a:xfrm>
                    <a:prstGeom prst="rect"/>
                  </pic:spPr>
                </pic:pic>
              </a:graphicData>
            </a:graphic>
          </wp:inline>
        </w:drawing>
      </w:r>
    </w:p>
    <w:p>
      <w:pPr>
        <w:jc w:val="center"/>
      </w:pPr>
      <w:r>
        <w:rPr>
          <w:i/>
          <w:sz w:val="20"/>
        </w:rPr>
        <w:t>Visão geral do processo MESA — preparar dados, configurar, processar, rever.</w:t>
      </w:r>
    </w:p>
    <w:p>
      <w:pPr>
        <w:pStyle w:val="Heading2"/>
      </w:pPr>
      <w:r>
        <w:t>3.1 A ferramenta MESA</w:t>
      </w:r>
    </w:p>
    <w:p>
      <w:r>
        <w:t>O MESA é operado a partir do iniciador do ambiente de trabalho. Utilize mesa.exe para a distribuição empacotada ou python mesa.py quando executar a partir do código-fonte. A partir do iniciador pode importar dados, configurar parâmetros, executar o processamento, abrir visualizadores interactivos e exportar relatórios.</w:t>
      </w:r>
    </w:p>
    <w:p>
      <w:pPr>
        <w:pStyle w:val="Heading2"/>
      </w:pPr>
      <w:r>
        <w:t>3.2 Preparação</w:t>
      </w:r>
    </w:p>
    <w:p>
      <w:pPr>
        <w:pStyle w:val="ListNumber"/>
        <w:numPr>
          <w:ilvl w:val="0"/>
          <w:numId w:val="10"/>
        </w:numPr>
      </w:pPr>
      <w:r>
        <w:t>Sistema — Windows 11, mínimo 16 GB de RAM, mínimo 8 núcleos de CPU, e QGIS opcional para autoria do atlas.</w:t>
      </w:r>
    </w:p>
    <w:p>
      <w:pPr>
        <w:pStyle w:val="ListNumber"/>
        <w:numPr>
          <w:ilvl w:val="0"/>
          <w:numId w:val="10"/>
        </w:numPr>
      </w:pPr>
      <w:r>
        <w:t>Espaço de trabalho — descomprima a versão mais recente do MESA (empacotada) ou clone o repositório (código-fonte). Mantenha a estrutura de pastas intacta.</w:t>
      </w:r>
    </w:p>
    <w:p>
      <w:pPr>
        <w:pStyle w:val="ListNumber"/>
        <w:numPr>
          <w:ilvl w:val="0"/>
          <w:numId w:val="10"/>
        </w:numPr>
      </w:pPr>
      <w:r>
        <w:t>Espaço em disco — planeie vários GB de espaço livre para GeoParquet, MBTiles, registos, relatórios e ficheiros temporários de processamento.</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Conjunto de dados</w:t>
            </w:r>
          </w:p>
        </w:tc>
        <w:tc>
          <w:tcPr>
            <w:tcW w:type="dxa" w:w="3249"/>
            <w:shd w:val="clear" w:color="auto" w:fill="1F3A5F"/>
          </w:tcPr>
          <w:p>
            <w:r>
              <w:rPr>
                <w:color w:val="FFFFFF"/>
              </w:rPr>
            </w:r>
            <w:r>
              <w:rPr>
                <w:b/>
                <w:color w:val="FFFFFF"/>
              </w:rPr>
              <w:t>Descrição</w:t>
            </w:r>
          </w:p>
        </w:tc>
        <w:tc>
          <w:tcPr>
            <w:tcW w:type="dxa" w:w="3249"/>
            <w:shd w:val="clear" w:color="auto" w:fill="1F3A5F"/>
          </w:tcPr>
          <w:p>
            <w:r>
              <w:rPr>
                <w:color w:val="FFFFFF"/>
              </w:rPr>
            </w:r>
            <w:r>
              <w:rPr>
                <w:b/>
                <w:color w:val="FFFFFF"/>
              </w:rPr>
              <w:t>Obrigatório</w:t>
            </w:r>
          </w:p>
        </w:tc>
      </w:tr>
      <w:tr>
        <w:tc>
          <w:tcPr>
            <w:tcW w:type="dxa" w:w="3249"/>
            <w:vAlign w:val="top"/>
          </w:tcPr>
          <w:p>
            <w:r>
              <w:t>Activos ambientais</w:t>
            </w:r>
          </w:p>
        </w:tc>
        <w:tc>
          <w:tcPr>
            <w:tcW w:type="dxa" w:w="3249"/>
            <w:vAlign w:val="top"/>
          </w:tcPr>
          <w:p>
            <w:r>
              <w:t>Entidades naturais ou antropogénicas que fornecem valor ecológico, sociocultural, económico ou político. Armazenadas em input/asset/&lt;colecção&gt;.</w:t>
            </w:r>
          </w:p>
        </w:tc>
        <w:tc>
          <w:tcPr>
            <w:tcW w:type="dxa" w:w="3249"/>
            <w:vAlign w:val="top"/>
          </w:tcPr>
          <w:p>
            <w:r>
              <w:t>Sim</w:t>
            </w:r>
          </w:p>
        </w:tc>
      </w:tr>
      <w:tr>
        <w:tc>
          <w:tcPr>
            <w:tcW w:type="dxa" w:w="3249"/>
            <w:vAlign w:val="top"/>
          </w:tcPr>
          <w:p>
            <w:r>
              <w:t>Camada de geocódigos</w:t>
            </w:r>
          </w:p>
        </w:tc>
        <w:tc>
          <w:tcPr>
            <w:tcW w:type="dxa" w:w="3249"/>
            <w:vAlign w:val="top"/>
          </w:tcPr>
          <w:p>
            <w:r>
              <w:t>Grelhas ou polígonos espaciais que agregam a sensibilidade. Hexágonos H3, células de grelha de quarto de grau, municípios ou polígonos não sobrepostos em input/geocode/.</w:t>
            </w:r>
          </w:p>
        </w:tc>
        <w:tc>
          <w:tcPr>
            <w:tcW w:type="dxa" w:w="3249"/>
            <w:vAlign w:val="top"/>
          </w:tcPr>
          <w:p>
            <w:r>
              <w:t>Sim</w:t>
            </w:r>
          </w:p>
        </w:tc>
      </w:tr>
      <w:tr>
        <w:tc>
          <w:tcPr>
            <w:tcW w:type="dxa" w:w="3249"/>
            <w:vAlign w:val="top"/>
          </w:tcPr>
          <w:p>
            <w:r>
              <w:t>Dados lineares</w:t>
            </w:r>
          </w:p>
        </w:tc>
        <w:tc>
          <w:tcPr>
            <w:tcW w:type="dxa" w:w="3249"/>
            <w:vAlign w:val="top"/>
          </w:tcPr>
          <w:p>
            <w:r>
              <w:t>Estradas, oleodutos, linhas de costa, rios ou activos lineares semelhantes em input/lines/.</w:t>
            </w:r>
          </w:p>
        </w:tc>
        <w:tc>
          <w:tcPr>
            <w:tcW w:type="dxa" w:w="3249"/>
            <w:vAlign w:val="top"/>
          </w:tcPr>
          <w:p>
            <w:r>
              <w:t>Não</w:t>
            </w:r>
          </w:p>
        </w:tc>
      </w:tr>
      <w:tr>
        <w:tc>
          <w:tcPr>
            <w:tcW w:type="dxa" w:w="3249"/>
            <w:vAlign w:val="top"/>
          </w:tcPr>
          <w:p>
            <w:r>
              <w:t>Azulejos do atlas</w:t>
            </w:r>
          </w:p>
        </w:tc>
        <w:tc>
          <w:tcPr>
            <w:tcW w:type="dxa" w:w="3249"/>
            <w:vAlign w:val="top"/>
          </w:tcPr>
          <w:p>
            <w:r>
              <w:t>Polígonos opcionais para exportações de atlas QGIS e relatórios. Criados dentro do MESA ou importados de input/atlas/.</w:t>
            </w:r>
          </w:p>
        </w:tc>
        <w:tc>
          <w:tcPr>
            <w:tcW w:type="dxa" w:w="3249"/>
            <w:vAlign w:val="top"/>
          </w:tcPr>
          <w:p>
            <w:r>
              <w:t>Não</w:t>
            </w:r>
          </w:p>
        </w:tc>
      </w:tr>
      <w:tr>
        <w:tc>
          <w:tcPr>
            <w:tcW w:type="dxa" w:w="3249"/>
            <w:vAlign w:val="top"/>
          </w:tcPr>
          <w:p>
            <w:r>
              <w:t>Áreas de análise</w:t>
            </w:r>
          </w:p>
        </w:tc>
        <w:tc>
          <w:tcPr>
            <w:tcW w:type="dxa" w:w="3249"/>
            <w:vAlign w:val="top"/>
          </w:tcPr>
          <w:p>
            <w:r>
              <w:t>Áreas de estudo / grupos opcionais utilizados para comparação lado a lado e resultados de análise.</w:t>
            </w:r>
          </w:p>
        </w:tc>
        <w:tc>
          <w:tcPr>
            <w:tcW w:type="dxa" w:w="3249"/>
            <w:vAlign w:val="top"/>
          </w:tcPr>
          <w:p>
            <w:r>
              <w:t>Não</w:t>
            </w:r>
          </w:p>
        </w:tc>
      </w:tr>
    </w:tbl>
    <w:p/>
    <w:p>
      <w:r>
        <w:t>Dados de demonstração. O MESA é distribuído sem dados de projecto: input/ contém quatro pastas vazias e output/ está vazia. Para experimentar o MESA antes de ter os seus próprios dados, descarregue um pacote de demonstração do Zenodo e carregue-o em Manage data, Restore data. Os pacotes contêm apenas dados de entrada, pelo que deve executar Process depois de restaurar um deles. O restauro substitui input/, output/ e config.ini do projecto de destino.</w:t>
      </w:r>
    </w:p>
    <w:p>
      <w:pPr>
        <w:pStyle w:val="ListBullet"/>
      </w:pPr>
      <w:r>
        <w:t>Dados abertos de locais no Uganda, Quénia e Gana (ESA WorldCover, OpenStreetMap, Allen Coral Atlas): https://doi.org/10.5281/zenodo.21744272</w:t>
      </w:r>
    </w:p>
    <w:p>
      <w:pPr>
        <w:pStyle w:val="ListBullet"/>
      </w:pPr>
      <w:r>
        <w:t>Dados de teste sintéticos, com camadas inventadas e deliberadamente sobrepostas: https://doi.org/10.5281/zenodo.21744039</w:t>
      </w:r>
    </w:p>
    <w:p>
      <w:pPr>
        <w:pStyle w:val="ListBullet"/>
      </w:pPr>
      <w:r>
        <w:t>Cada registo inclui um guia, e cada pacote traz docs/readme_demodata.txt com as fontes e os créditos. Ambas as ligações conduzem sempre à versão mais recente dos dados.</w:t>
      </w:r>
    </w:p>
    <w:p>
      <w:pPr>
        <w:pStyle w:val="Heading2"/>
      </w:pPr>
      <w:r>
        <w:t>3.3 Importação de dados</w:t>
      </w:r>
    </w:p>
    <w:p>
      <w:pPr>
        <w:pStyle w:val="ListNumber"/>
        <w:numPr>
          <w:ilvl w:val="0"/>
          <w:numId w:val="11"/>
        </w:numPr>
      </w:pPr>
      <w:r>
        <w:t>Copie os conjuntos de dados de activos para input/asset/.</w:t>
      </w:r>
    </w:p>
    <w:p>
      <w:pPr>
        <w:pStyle w:val="ListNumber"/>
        <w:numPr>
          <w:ilvl w:val="0"/>
          <w:numId w:val="11"/>
        </w:numPr>
      </w:pPr>
      <w:r>
        <w:t>Copie as camadas de geocódigos para input/geocode/.</w:t>
      </w:r>
    </w:p>
    <w:p>
      <w:pPr>
        <w:pStyle w:val="ListNumber"/>
        <w:numPr>
          <w:ilvl w:val="0"/>
          <w:numId w:val="11"/>
        </w:numPr>
      </w:pPr>
      <w:r>
        <w:t>Copie os conjuntos de dados lineares para input/lines/ quando precisar de sensibilidade por segmento.</w:t>
      </w:r>
    </w:p>
    <w:p>
      <w:pPr>
        <w:pStyle w:val="ListNumber"/>
        <w:numPr>
          <w:ilvl w:val="0"/>
          <w:numId w:val="11"/>
        </w:numPr>
      </w:pPr>
      <w:r>
        <w:t>Reveja config.ini se precisar de ajustar projecções, níveis de zoom dos azulejos, amortecimentos ou parâmetros de desempenho.</w:t>
      </w:r>
    </w:p>
    <w:p>
      <w:r>
        <w:t>De seguida utilize Fluxos de trabalho → Preparar dados (passo 1):</w:t>
      </w:r>
    </w:p>
    <w:p>
      <w:pPr>
        <w:pStyle w:val="ListBullet"/>
      </w:pPr>
      <w:r>
        <w:t>Activos importa conjuntos de dados de activos e permite manter os metadados dos grupos de activos.</w:t>
      </w:r>
    </w:p>
    <w:p>
      <w:pPr>
        <w:pStyle w:val="ListBullet"/>
      </w:pPr>
      <w:r>
        <w:t>Geocódigos importa camadas de geocódigos e pode também gerar ou actualizar grelhas suportadas.</w:t>
      </w:r>
    </w:p>
    <w:p>
      <w:pPr>
        <w:pStyle w:val="ListBullet"/>
      </w:pPr>
      <w:r>
        <w:t>Linhas importa e edita dados lineares e definições de segmentação.</w:t>
      </w:r>
    </w:p>
    <w:p>
      <w:pPr>
        <w:pStyle w:val="ListBullet"/>
      </w:pPr>
      <w:r>
        <w:t>Atlas importa ou cria polígonos de atlas quando precisar de páginas de atlas posteriormente.</w:t>
      </w:r>
    </w:p>
    <w:p>
      <w:pPr>
        <w:pStyle w:val="Heading2"/>
      </w:pPr>
      <w:r>
        <w:t>3.4 Configurar o projecto</w:t>
      </w:r>
    </w:p>
    <w:p>
      <w:r>
        <w:t>Utilize Fluxos de trabalho → Configurar (passo 2) antes de execuções pesadas. Parâmetros edita regras de processamento como pesos de sensibilidade, limiares e definições relacionadas. Análise define polígonos de área de estudo opcionais e grupos de análise nomeados.</w:t>
      </w:r>
    </w:p>
    <w:p>
      <w:pPr>
        <w:pStyle w:val="Heading2"/>
      </w:pPr>
      <w:r>
        <w:t>3.5 Execução do processamento</w:t>
      </w:r>
    </w:p>
    <w:p>
      <w:pPr>
        <w:pStyle w:val="ListNumber"/>
        <w:numPr>
          <w:ilvl w:val="0"/>
          <w:numId w:val="12"/>
        </w:numPr>
      </w:pPr>
      <w:r>
        <w:t>Abra Fluxos de trabalho → Processar (passo 3) → Processar.</w:t>
      </w:r>
    </w:p>
    <w:p>
      <w:pPr>
        <w:pStyle w:val="ListNumber"/>
        <w:numPr>
          <w:ilvl w:val="0"/>
          <w:numId w:val="12"/>
        </w:numPr>
      </w:pPr>
      <w:r>
        <w:t>No executor de processamento, seleccione as fases pretendidas: Processamento de dados (Prep / Intersect / Flatten / Backfill / Segmentar), Processamento de azulejos, Processamento de linhas, Processamento de análise.</w:t>
      </w:r>
    </w:p>
    <w:p>
      <w:pPr>
        <w:pStyle w:val="ListNumber"/>
        <w:numPr>
          <w:ilvl w:val="0"/>
          <w:numId w:val="12"/>
        </w:numPr>
      </w:pPr>
      <w:r>
        <w:t>Mantenha pelo menos o Processamento de dados activado para uma primeira execução completa.</w:t>
      </w:r>
    </w:p>
    <w:p>
      <w:pPr>
        <w:pStyle w:val="ListNumber"/>
        <w:numPr>
          <w:ilvl w:val="0"/>
          <w:numId w:val="12"/>
        </w:numPr>
      </w:pPr>
      <w:r>
        <w:t>Active o Processamento de azulejos se quiser MBTiles na mesma execução.</w:t>
      </w:r>
    </w:p>
    <w:p>
      <w:pPr>
        <w:pStyle w:val="ListNumber"/>
        <w:numPr>
          <w:ilvl w:val="0"/>
          <w:numId w:val="12"/>
        </w:numPr>
      </w:pPr>
      <w:r>
        <w:t>Active o Processamento de linhas e/ou Análise quando esses dados estiverem preparados.</w:t>
      </w:r>
    </w:p>
    <w:p>
      <w:pPr>
        <w:pStyle w:val="ListNumber"/>
        <w:numPr>
          <w:ilvl w:val="0"/>
          <w:numId w:val="12"/>
        </w:numPr>
      </w:pPr>
      <w:r>
        <w:t>Utilize o Mapa de progresso dentro do executor para ver um minimapa em tempo real em execuções mais longas.</w:t>
      </w:r>
    </w:p>
    <w:p>
      <w:pPr>
        <w:pStyle w:val="ListNumber"/>
        <w:numPr>
          <w:ilvl w:val="0"/>
          <w:numId w:val="12"/>
        </w:numPr>
      </w:pPr>
      <w:r>
        <w:t>Utilize o alternador Normal / Avançado no topo do executor para expor os selectores por fase e a opção de limpeza de fragmentos.</w:t>
      </w:r>
    </w:p>
    <w:p>
      <w:r>
        <w:t>Após a primeira execução completa, o resultado de cada fase fica em disco e as fases a jusante podem ser executadas isoladamente. Para explorar alterações de parâmetros, mude o executor para Avançado e seleccione apenas as fases afectadas pela sua alteração. O mapeamento completo entre 'o que alterei' e 'que fases preciso de reexecutar' está na secção 10.2 Fluxo iterativo.</w:t>
      </w:r>
    </w:p>
    <w:p>
      <w:pPr>
        <w:pStyle w:val="Heading2"/>
      </w:pPr>
      <w:r>
        <w:t>3.6 Rever os resultados</w:t>
      </w:r>
    </w:p>
    <w:p>
      <w:r>
        <w:t>Após o processamento, utilize Fluxos de trabalho → Resultados (passo 4): Mapas abre uma janela com separadores Visão Geral (camadas de índice/sensibilidade), Segmentação (resultado da fase Segmentar) e Activos (camadas de activos importadas), com zoom e deslocamento ligados, opacidade, selector de mapa-base e exportação PNG; Comparar áreas de estudo compara grupos de análise lado a lado; e Motor de relatórios cria um relatório Word a partir dos resultados mais recentes.</w:t>
      </w:r>
    </w:p>
    <w:p>
      <w:pPr>
        <w:pStyle w:val="Heading2"/>
      </w:pPr>
      <w:r>
        <w:t>3.7 Cópia de segurança e restauro</w:t>
      </w:r>
    </w:p>
    <w:p>
      <w:pPr>
        <w:pStyle w:val="ListBullet"/>
      </w:pPr>
      <w:r>
        <w:t>Criar cópia de segurança guarda input/, output/ e config.ini num único arquivo ZIP.</w:t>
      </w:r>
    </w:p>
    <w:p>
      <w:pPr>
        <w:pStyle w:val="ListBullet"/>
      </w:pPr>
      <w:r>
        <w:t>Restaurar cópia de segurança substitui input/, output/ e config.ini pelo arquivo seleccionado.</w:t>
      </w:r>
    </w:p>
    <w:p>
      <w:pPr>
        <w:pStyle w:val="ListBullet"/>
      </w:pPr>
      <w:r>
        <w:t>Limpar resultados remove os resultados gerados, mantendo intactos os dados de entrada e a configuração.</w:t>
      </w:r>
    </w:p>
    <w:p>
      <w:r>
        <w:t>O restauro é destrutivo. Assegure-se de que nenhuma janela do MESA está a utilizar a pasta do projecto antes de restaurar.</w:t>
      </w:r>
    </w:p>
    <w:p>
      <w:r>
        <w:br w:type="page"/>
      </w:r>
    </w:p>
    <w:p>
      <w:pPr>
        <w:pStyle w:val="Heading1"/>
      </w:pPr>
      <w:r>
        <w:t>4. Interface gráfica</w:t>
      </w:r>
    </w:p>
    <w:p>
      <w:r>
        <w:t>O iniciador MESA 5.2 abre no separador Boas-vindas, onde pode nomear o projecto e adicionar uma breve descrição, e depois continuar para Fluxos de trabalho. O separador Fluxos de trabalho organiza o projecto em quatro fases práticas: preparar dados, configurar o projecto, executar o processamento e rever os resultados.</w:t>
      </w:r>
    </w:p>
    <w:p>
      <w:pPr>
        <w:jc w:val="center"/>
      </w:pPr>
      <w:r>
        <w:drawing>
          <wp:inline xmlns:a="http://schemas.openxmlformats.org/drawingml/2006/main" xmlns:pic="http://schemas.openxmlformats.org/drawingml/2006/picture">
            <wp:extent cx="5400000" cy="3605070"/>
            <wp:docPr id="7" name="Picture 7"/>
            <wp:cNvGraphicFramePr>
              <a:graphicFrameLocks noChangeAspect="1"/>
            </wp:cNvGraphicFramePr>
            <a:graphic>
              <a:graphicData uri="http://schemas.openxmlformats.org/drawingml/2006/picture">
                <pic:pic>
                  <pic:nvPicPr>
                    <pic:cNvPr id="0" name="ui_workflows.png"/>
                    <pic:cNvPicPr/>
                  </pic:nvPicPr>
                  <pic:blipFill>
                    <a:blip r:embed="rId15"/>
                    <a:stretch>
                      <a:fillRect/>
                    </a:stretch>
                  </pic:blipFill>
                  <pic:spPr>
                    <a:xfrm>
                      <a:off x="0" y="0"/>
                      <a:ext cx="5400000" cy="3605070"/>
                    </a:xfrm>
                    <a:prstGeom prst="rect"/>
                  </pic:spPr>
                </pic:pic>
              </a:graphicData>
            </a:graphic>
          </wp:inline>
        </w:drawing>
      </w:r>
    </w:p>
    <w:p>
      <w:pPr>
        <w:jc w:val="center"/>
      </w:pPr>
      <w:r>
        <w:rPr>
          <w:i/>
          <w:sz w:val="20"/>
        </w:rPr>
        <w:t>Iniciador do ambiente de trabalho — separador Fluxos de trabalho.</w:t>
      </w:r>
    </w:p>
    <w:p>
      <w:pPr>
        <w:jc w:val="center"/>
      </w:pPr>
      <w:r>
        <w:drawing>
          <wp:inline xmlns:a="http://schemas.openxmlformats.org/drawingml/2006/main" xmlns:pic="http://schemas.openxmlformats.org/drawingml/2006/picture">
            <wp:extent cx="5400000" cy="3615385"/>
            <wp:docPr id="8" name="Picture 8"/>
            <wp:cNvGraphicFramePr>
              <a:graphicFrameLocks noChangeAspect="1"/>
            </wp:cNvGraphicFramePr>
            <a:graphic>
              <a:graphicData uri="http://schemas.openxmlformats.org/drawingml/2006/picture">
                <pic:pic>
                  <pic:nvPicPr>
                    <pic:cNvPr id="0" name="ui_status.png"/>
                    <pic:cNvPicPr/>
                  </pic:nvPicPr>
                  <pic:blipFill>
                    <a:blip r:embed="rId16"/>
                    <a:stretch>
                      <a:fillRect/>
                    </a:stretch>
                  </pic:blipFill>
                  <pic:spPr>
                    <a:xfrm>
                      <a:off x="0" y="0"/>
                      <a:ext cx="5400000" cy="3615385"/>
                    </a:xfrm>
                    <a:prstGeom prst="rect"/>
                  </pic:spPr>
                </pic:pic>
              </a:graphicData>
            </a:graphic>
          </wp:inline>
        </w:drawing>
      </w:r>
    </w:p>
    <w:p>
      <w:pPr>
        <w:jc w:val="center"/>
      </w:pPr>
      <w:r>
        <w:rPr>
          <w:i/>
          <w:sz w:val="20"/>
        </w:rPr>
        <w:t>Separador Estado — contadores, actividade recente, métricas principais.</w:t>
      </w:r>
    </w:p>
    <w:p>
      <w:pPr>
        <w:jc w:val="center"/>
      </w:pPr>
      <w:r>
        <w:drawing>
          <wp:inline xmlns:a="http://schemas.openxmlformats.org/drawingml/2006/main" xmlns:pic="http://schemas.openxmlformats.org/drawingml/2006/picture">
            <wp:extent cx="5400000" cy="3625937"/>
            <wp:docPr id="9" name="Picture 9"/>
            <wp:cNvGraphicFramePr>
              <a:graphicFrameLocks noChangeAspect="1"/>
            </wp:cNvGraphicFramePr>
            <a:graphic>
              <a:graphicData uri="http://schemas.openxmlformats.org/drawingml/2006/picture">
                <pic:pic>
                  <pic:nvPicPr>
                    <pic:cNvPr id="0" name="ui_manage.png"/>
                    <pic:cNvPicPr/>
                  </pic:nvPicPr>
                  <pic:blipFill>
                    <a:blip r:embed="rId17"/>
                    <a:stretch>
                      <a:fillRect/>
                    </a:stretch>
                  </pic:blipFill>
                  <pic:spPr>
                    <a:xfrm>
                      <a:off x="0" y="0"/>
                      <a:ext cx="5400000" cy="3625937"/>
                    </a:xfrm>
                    <a:prstGeom prst="rect"/>
                  </pic:spPr>
                </pic:pic>
              </a:graphicData>
            </a:graphic>
          </wp:inline>
        </w:drawing>
      </w:r>
    </w:p>
    <w:p>
      <w:pPr>
        <w:jc w:val="center"/>
      </w:pPr>
      <w:r>
        <w:rPr>
          <w:i/>
          <w:sz w:val="20"/>
        </w:rPr>
        <w:t>Separador Gerir dados — cópia de segurança, restauro, limpeza, publicação GeoNode.</w:t>
      </w:r>
    </w:p>
    <w:p>
      <w:pPr>
        <w:jc w:val="center"/>
      </w:pPr>
      <w:r>
        <w:drawing>
          <wp:inline xmlns:a="http://schemas.openxmlformats.org/drawingml/2006/main" xmlns:pic="http://schemas.openxmlformats.org/drawingml/2006/picture">
            <wp:extent cx="5400000" cy="3636735"/>
            <wp:docPr id="10" name="Picture 10"/>
            <wp:cNvGraphicFramePr>
              <a:graphicFrameLocks noChangeAspect="1"/>
            </wp:cNvGraphicFramePr>
            <a:graphic>
              <a:graphicData uri="http://schemas.openxmlformats.org/drawingml/2006/picture">
                <pic:pic>
                  <pic:nvPicPr>
                    <pic:cNvPr id="0" name="ui_config.png"/>
                    <pic:cNvPicPr/>
                  </pic:nvPicPr>
                  <pic:blipFill>
                    <a:blip r:embed="rId18"/>
                    <a:stretch>
                      <a:fillRect/>
                    </a:stretch>
                  </pic:blipFill>
                  <pic:spPr>
                    <a:xfrm>
                      <a:off x="0" y="0"/>
                      <a:ext cx="5400000" cy="3636735"/>
                    </a:xfrm>
                    <a:prstGeom prst="rect"/>
                  </pic:spPr>
                </pic:pic>
              </a:graphicData>
            </a:graphic>
          </wp:inline>
        </w:drawing>
      </w:r>
    </w:p>
    <w:p>
      <w:pPr>
        <w:jc w:val="center"/>
      </w:pPr>
      <w:r>
        <w:rPr>
          <w:i/>
          <w:sz w:val="20"/>
        </w:rPr>
        <w:t>Separador Config — editor directo de config.ini, com janela Afinação do processamento.</w:t>
      </w:r>
    </w:p>
    <w:p>
      <w:pPr>
        <w:jc w:val="center"/>
      </w:pPr>
      <w:r>
        <w:drawing>
          <wp:inline xmlns:a="http://schemas.openxmlformats.org/drawingml/2006/main" xmlns:pic="http://schemas.openxmlformats.org/drawingml/2006/picture">
            <wp:extent cx="5400000" cy="3647788"/>
            <wp:docPr id="11" name="Picture 11"/>
            <wp:cNvGraphicFramePr>
              <a:graphicFrameLocks noChangeAspect="1"/>
            </wp:cNvGraphicFramePr>
            <a:graphic>
              <a:graphicData uri="http://schemas.openxmlformats.org/drawingml/2006/picture">
                <pic:pic>
                  <pic:nvPicPr>
                    <pic:cNvPr id="0" name="ui_about.png"/>
                    <pic:cNvPicPr/>
                  </pic:nvPicPr>
                  <pic:blipFill>
                    <a:blip r:embed="rId19"/>
                    <a:stretch>
                      <a:fillRect/>
                    </a:stretch>
                  </pic:blipFill>
                  <pic:spPr>
                    <a:xfrm>
                      <a:off x="0" y="0"/>
                      <a:ext cx="5400000" cy="3647788"/>
                    </a:xfrm>
                    <a:prstGeom prst="rect"/>
                  </pic:spPr>
                </pic:pic>
              </a:graphicData>
            </a:graphic>
          </wp:inline>
        </w:drawing>
      </w:r>
    </w:p>
    <w:p>
      <w:pPr>
        <w:jc w:val="center"/>
      </w:pPr>
      <w:r>
        <w:rPr>
          <w:i/>
          <w:sz w:val="20"/>
        </w:rPr>
        <w:t>Separador Sobre — informação da versão e perfil do sistema.</w:t>
      </w:r>
    </w:p>
    <w:p>
      <w:pPr>
        <w:pStyle w:val="Heading2"/>
      </w:pPr>
      <w:r>
        <w:t>4.1 Preparar dados (passo 1)</w:t>
      </w:r>
    </w:p>
    <w:p>
      <w:pPr>
        <w:jc w:val="center"/>
      </w:pPr>
      <w:r>
        <w:drawing>
          <wp:inline xmlns:a="http://schemas.openxmlformats.org/drawingml/2006/main" xmlns:pic="http://schemas.openxmlformats.org/drawingml/2006/picture">
            <wp:extent cx="5400000" cy="6942857"/>
            <wp:docPr id="12" name="Picture 12"/>
            <wp:cNvGraphicFramePr>
              <a:graphicFrameLocks noChangeAspect="1"/>
            </wp:cNvGraphicFramePr>
            <a:graphic>
              <a:graphicData uri="http://schemas.openxmlformats.org/drawingml/2006/picture">
                <pic:pic>
                  <pic:nvPicPr>
                    <pic:cNvPr id="0" name="overview_prepare_data.png"/>
                    <pic:cNvPicPr/>
                  </pic:nvPicPr>
                  <pic:blipFill>
                    <a:blip r:embed="rId20"/>
                    <a:stretch>
                      <a:fillRect/>
                    </a:stretch>
                  </pic:blipFill>
                  <pic:spPr>
                    <a:xfrm>
                      <a:off x="0" y="0"/>
                      <a:ext cx="5400000" cy="6942857"/>
                    </a:xfrm>
                    <a:prstGeom prst="rect"/>
                  </pic:spPr>
                </pic:pic>
              </a:graphicData>
            </a:graphic>
          </wp:inline>
        </w:drawing>
      </w:r>
    </w:p>
    <w:p>
      <w:pPr>
        <w:jc w:val="center"/>
      </w:pPr>
      <w:r>
        <w:rPr>
          <w:i/>
          <w:sz w:val="20"/>
        </w:rPr>
        <w:t>Preparar dados — activos, geocódigos, atlas.</w:t>
      </w:r>
    </w:p>
    <w:p>
      <w:pPr>
        <w:pStyle w:val="ListBullet"/>
      </w:pPr>
      <w:r>
        <w:t>Activos — importar activos de área a partir de input/asset/ e manter metadados dos grupos. Duas opções de conveniência estão activas por omissão: Dissolver polígonos adjacentes (remove o efeito moiré da grelha de origem) e amortecimento automático de entradas de pontos e linhas.</w:t>
      </w:r>
    </w:p>
    <w:p>
      <w:pPr>
        <w:pStyle w:val="ListBullet"/>
      </w:pPr>
      <w:r>
        <w:t>Geocódigos — importar camadas ou gerar grelhas suportadas usadas pela análise e pelos relatórios.</w:t>
      </w:r>
    </w:p>
    <w:p>
      <w:pPr>
        <w:pStyle w:val="ListBullet"/>
      </w:pPr>
      <w:r>
        <w:t>Atlas — importar ou criar polígonos de atlas e manter os metadados das páginas. O auxiliar mostra agora o estado existente ao abrir e inclui uma acção Eliminar.</w:t>
      </w:r>
    </w:p>
    <w:p>
      <w:pPr>
        <w:jc w:val="center"/>
      </w:pPr>
      <w:r>
        <w:drawing>
          <wp:inline xmlns:a="http://schemas.openxmlformats.org/drawingml/2006/main" xmlns:pic="http://schemas.openxmlformats.org/drawingml/2006/picture">
            <wp:extent cx="5400000" cy="4060559"/>
            <wp:docPr id="13" name="Picture 13"/>
            <wp:cNvGraphicFramePr>
              <a:graphicFrameLocks noChangeAspect="1"/>
            </wp:cNvGraphicFramePr>
            <a:graphic>
              <a:graphicData uri="http://schemas.openxmlformats.org/drawingml/2006/picture">
                <pic:pic>
                  <pic:nvPicPr>
                    <pic:cNvPr id="0" name="ui_asset_manage.png"/>
                    <pic:cNvPicPr/>
                  </pic:nvPicPr>
                  <pic:blipFill>
                    <a:blip r:embed="rId21"/>
                    <a:stretch>
                      <a:fillRect/>
                    </a:stretch>
                  </pic:blipFill>
                  <pic:spPr>
                    <a:xfrm>
                      <a:off x="0" y="0"/>
                      <a:ext cx="5400000" cy="4060559"/>
                    </a:xfrm>
                    <a:prstGeom prst="rect"/>
                  </pic:spPr>
                </pic:pic>
              </a:graphicData>
            </a:graphic>
          </wp:inline>
        </w:drawing>
      </w:r>
    </w:p>
    <w:p>
      <w:pPr>
        <w:jc w:val="center"/>
      </w:pPr>
      <w:r>
        <w:rPr>
          <w:i/>
          <w:sz w:val="20"/>
        </w:rPr>
        <w:t>Gestor de activos — metadados de grupo e controlos por camada.</w:t>
      </w:r>
    </w:p>
    <w:p>
      <w:pPr>
        <w:jc w:val="center"/>
      </w:pPr>
      <w:r>
        <w:drawing>
          <wp:inline xmlns:a="http://schemas.openxmlformats.org/drawingml/2006/main" xmlns:pic="http://schemas.openxmlformats.org/drawingml/2006/picture">
            <wp:extent cx="5400000" cy="4058630"/>
            <wp:docPr id="14" name="Picture 14"/>
            <wp:cNvGraphicFramePr>
              <a:graphicFrameLocks noChangeAspect="1"/>
            </wp:cNvGraphicFramePr>
            <a:graphic>
              <a:graphicData uri="http://schemas.openxmlformats.org/drawingml/2006/picture">
                <pic:pic>
                  <pic:nvPicPr>
                    <pic:cNvPr id="0" name="ui_geocode_create.png"/>
                    <pic:cNvPicPr/>
                  </pic:nvPicPr>
                  <pic:blipFill>
                    <a:blip r:embed="rId22"/>
                    <a:stretch>
                      <a:fillRect/>
                    </a:stretch>
                  </pic:blipFill>
                  <pic:spPr>
                    <a:xfrm>
                      <a:off x="0" y="0"/>
                      <a:ext cx="5400000" cy="4058630"/>
                    </a:xfrm>
                    <a:prstGeom prst="rect"/>
                  </pic:spPr>
                </pic:pic>
              </a:graphicData>
            </a:graphic>
          </wp:inline>
        </w:drawing>
      </w:r>
    </w:p>
    <w:p>
      <w:pPr>
        <w:jc w:val="center"/>
      </w:pPr>
      <w:r>
        <w:rPr>
          <w:i/>
          <w:sz w:val="20"/>
        </w:rPr>
        <w:t>Criação de geocódigos — gerar ou importar camadas.</w:t>
      </w:r>
    </w:p>
    <w:p>
      <w:pPr>
        <w:jc w:val="center"/>
      </w:pPr>
      <w:r>
        <w:drawing>
          <wp:inline xmlns:a="http://schemas.openxmlformats.org/drawingml/2006/main" xmlns:pic="http://schemas.openxmlformats.org/drawingml/2006/picture">
            <wp:extent cx="5400000" cy="4058630"/>
            <wp:docPr id="15" name="Picture 15"/>
            <wp:cNvGraphicFramePr>
              <a:graphicFrameLocks noChangeAspect="1"/>
            </wp:cNvGraphicFramePr>
            <a:graphic>
              <a:graphicData uri="http://schemas.openxmlformats.org/drawingml/2006/picture">
                <pic:pic>
                  <pic:nvPicPr>
                    <pic:cNvPr id="0" name="ui_atlas_manage.png"/>
                    <pic:cNvPicPr/>
                  </pic:nvPicPr>
                  <pic:blipFill>
                    <a:blip r:embed="rId23"/>
                    <a:stretch>
                      <a:fillRect/>
                    </a:stretch>
                  </pic:blipFill>
                  <pic:spPr>
                    <a:xfrm>
                      <a:off x="0" y="0"/>
                      <a:ext cx="5400000" cy="4058630"/>
                    </a:xfrm>
                    <a:prstGeom prst="rect"/>
                  </pic:spPr>
                </pic:pic>
              </a:graphicData>
            </a:graphic>
          </wp:inline>
        </w:drawing>
      </w:r>
    </w:p>
    <w:p>
      <w:pPr>
        <w:jc w:val="center"/>
      </w:pPr>
      <w:r>
        <w:rPr>
          <w:i/>
          <w:sz w:val="20"/>
        </w:rPr>
        <w:t>Gestor de atlas — páginas e metadados.</w:t>
      </w:r>
    </w:p>
    <w:p>
      <w:pPr>
        <w:pStyle w:val="Heading2"/>
      </w:pPr>
      <w:r>
        <w:t>4.2 Configurar (passo 2)</w:t>
      </w:r>
    </w:p>
    <w:p>
      <w:pPr>
        <w:jc w:val="center"/>
      </w:pPr>
      <w:r>
        <w:drawing>
          <wp:inline xmlns:a="http://schemas.openxmlformats.org/drawingml/2006/main" xmlns:pic="http://schemas.openxmlformats.org/drawingml/2006/picture">
            <wp:extent cx="5400000" cy="6942857"/>
            <wp:docPr id="16" name="Picture 16"/>
            <wp:cNvGraphicFramePr>
              <a:graphicFrameLocks noChangeAspect="1"/>
            </wp:cNvGraphicFramePr>
            <a:graphic>
              <a:graphicData uri="http://schemas.openxmlformats.org/drawingml/2006/picture">
                <pic:pic>
                  <pic:nvPicPr>
                    <pic:cNvPr id="0" name="overview_configure_analysis.png"/>
                    <pic:cNvPicPr/>
                  </pic:nvPicPr>
                  <pic:blipFill>
                    <a:blip r:embed="rId24"/>
                    <a:stretch>
                      <a:fillRect/>
                    </a:stretch>
                  </pic:blipFill>
                  <pic:spPr>
                    <a:xfrm>
                      <a:off x="0" y="0"/>
                      <a:ext cx="5400000" cy="6942857"/>
                    </a:xfrm>
                    <a:prstGeom prst="rect"/>
                  </pic:spPr>
                </pic:pic>
              </a:graphicData>
            </a:graphic>
          </wp:inline>
        </w:drawing>
      </w:r>
    </w:p>
    <w:p>
      <w:pPr>
        <w:jc w:val="center"/>
      </w:pPr>
      <w:r>
        <w:rPr>
          <w:i/>
          <w:sz w:val="20"/>
        </w:rPr>
        <w:t>Configurar — parâmetros, linhas, análise.</w:t>
      </w:r>
    </w:p>
    <w:p>
      <w:pPr>
        <w:pStyle w:val="ListBullet"/>
      </w:pPr>
      <w:r>
        <w:t>Parâmetros — ajustar regras de processamento como pesos, limiares e valores relacionados.</w:t>
      </w:r>
    </w:p>
    <w:p>
      <w:pPr>
        <w:pStyle w:val="ListBullet"/>
      </w:pPr>
      <w:r>
        <w:t>Linhas — importar e editar conjuntos lineares como transportes, rios, infra-estruturas ou linhas costeiras.</w:t>
      </w:r>
    </w:p>
    <w:p>
      <w:pPr>
        <w:pStyle w:val="ListBullet"/>
      </w:pPr>
      <w:r>
        <w:t>Análise — definir polígonos de áreas de estudo e grupos de análise nomeados.</w:t>
      </w:r>
    </w:p>
    <w:p>
      <w:pPr>
        <w:jc w:val="center"/>
      </w:pPr>
      <w:r>
        <w:drawing>
          <wp:inline xmlns:a="http://schemas.openxmlformats.org/drawingml/2006/main" xmlns:pic="http://schemas.openxmlformats.org/drawingml/2006/picture">
            <wp:extent cx="5400000" cy="4560000"/>
            <wp:docPr id="17" name="Picture 17"/>
            <wp:cNvGraphicFramePr>
              <a:graphicFrameLocks noChangeAspect="1"/>
            </wp:cNvGraphicFramePr>
            <a:graphic>
              <a:graphicData uri="http://schemas.openxmlformats.org/drawingml/2006/picture">
                <pic:pic>
                  <pic:nvPicPr>
                    <pic:cNvPr id="0" name="ui_processing_setup.png"/>
                    <pic:cNvPicPr/>
                  </pic:nvPicPr>
                  <pic:blipFill>
                    <a:blip r:embed="rId25"/>
                    <a:stretch>
                      <a:fillRect/>
                    </a:stretch>
                  </pic:blipFill>
                  <pic:spPr>
                    <a:xfrm>
                      <a:off x="0" y="0"/>
                      <a:ext cx="5400000" cy="4560000"/>
                    </a:xfrm>
                    <a:prstGeom prst="rect"/>
                  </pic:spPr>
                </pic:pic>
              </a:graphicData>
            </a:graphic>
          </wp:inline>
        </w:drawing>
      </w:r>
    </w:p>
    <w:p>
      <w:pPr>
        <w:jc w:val="center"/>
      </w:pPr>
      <w:r>
        <w:rPr>
          <w:i/>
          <w:sz w:val="20"/>
        </w:rPr>
        <w:t>Auxiliar de parâmetros — pesos de sensibilidade e índices.</w:t>
      </w:r>
    </w:p>
    <w:p>
      <w:pPr>
        <w:jc w:val="center"/>
      </w:pPr>
      <w:r>
        <w:drawing>
          <wp:inline xmlns:a="http://schemas.openxmlformats.org/drawingml/2006/main" xmlns:pic="http://schemas.openxmlformats.org/drawingml/2006/picture">
            <wp:extent cx="5400000" cy="3646652"/>
            <wp:docPr id="18" name="Picture 18"/>
            <wp:cNvGraphicFramePr>
              <a:graphicFrameLocks noChangeAspect="1"/>
            </wp:cNvGraphicFramePr>
            <a:graphic>
              <a:graphicData uri="http://schemas.openxmlformats.org/drawingml/2006/picture">
                <pic:pic>
                  <pic:nvPicPr>
                    <pic:cNvPr id="0" name="ui_line_manage.png"/>
                    <pic:cNvPicPr/>
                  </pic:nvPicPr>
                  <pic:blipFill>
                    <a:blip r:embed="rId26"/>
                    <a:stretch>
                      <a:fillRect/>
                    </a:stretch>
                  </pic:blipFill>
                  <pic:spPr>
                    <a:xfrm>
                      <a:off x="0" y="0"/>
                      <a:ext cx="5400000" cy="3646652"/>
                    </a:xfrm>
                    <a:prstGeom prst="rect"/>
                  </pic:spPr>
                </pic:pic>
              </a:graphicData>
            </a:graphic>
          </wp:inline>
        </w:drawing>
      </w:r>
    </w:p>
    <w:p>
      <w:pPr>
        <w:jc w:val="center"/>
      </w:pPr>
      <w:r>
        <w:rPr>
          <w:i/>
          <w:sz w:val="20"/>
        </w:rPr>
        <w:t>Gestor de linhas — camadas lineares e definições de segmentação.</w:t>
      </w:r>
    </w:p>
    <w:p>
      <w:pPr>
        <w:jc w:val="center"/>
      </w:pPr>
      <w:r>
        <w:drawing>
          <wp:inline xmlns:a="http://schemas.openxmlformats.org/drawingml/2006/main" xmlns:pic="http://schemas.openxmlformats.org/drawingml/2006/picture">
            <wp:extent cx="5400000" cy="3425807"/>
            <wp:docPr id="19" name="Picture 19"/>
            <wp:cNvGraphicFramePr>
              <a:graphicFrameLocks noChangeAspect="1"/>
            </wp:cNvGraphicFramePr>
            <a:graphic>
              <a:graphicData uri="http://schemas.openxmlformats.org/drawingml/2006/picture">
                <pic:pic>
                  <pic:nvPicPr>
                    <pic:cNvPr id="0" name="ui_analysis_setup.png"/>
                    <pic:cNvPicPr/>
                  </pic:nvPicPr>
                  <pic:blipFill>
                    <a:blip r:embed="rId27"/>
                    <a:stretch>
                      <a:fillRect/>
                    </a:stretch>
                  </pic:blipFill>
                  <pic:spPr>
                    <a:xfrm>
                      <a:off x="0" y="0"/>
                      <a:ext cx="5400000" cy="3425807"/>
                    </a:xfrm>
                    <a:prstGeom prst="rect"/>
                  </pic:spPr>
                </pic:pic>
              </a:graphicData>
            </a:graphic>
          </wp:inline>
        </w:drawing>
      </w:r>
    </w:p>
    <w:p>
      <w:pPr>
        <w:jc w:val="center"/>
      </w:pPr>
      <w:r>
        <w:rPr>
          <w:i/>
          <w:sz w:val="20"/>
        </w:rPr>
        <w:t>Configuração da análise — áreas de estudo e grupos.</w:t>
      </w:r>
    </w:p>
    <w:p>
      <w:pPr>
        <w:pStyle w:val="Heading2"/>
      </w:pPr>
      <w:r>
        <w:t>4.3 Processar (passo 3)</w:t>
      </w:r>
    </w:p>
    <w:p>
      <w:pPr>
        <w:jc w:val="center"/>
      </w:pPr>
      <w:r>
        <w:drawing>
          <wp:inline xmlns:a="http://schemas.openxmlformats.org/drawingml/2006/main" xmlns:pic="http://schemas.openxmlformats.org/drawingml/2006/picture">
            <wp:extent cx="5400000" cy="6922255"/>
            <wp:docPr id="20" name="Picture 20"/>
            <wp:cNvGraphicFramePr>
              <a:graphicFrameLocks noChangeAspect="1"/>
            </wp:cNvGraphicFramePr>
            <a:graphic>
              <a:graphicData uri="http://schemas.openxmlformats.org/drawingml/2006/picture">
                <pic:pic>
                  <pic:nvPicPr>
                    <pic:cNvPr id="0" name="overview_run_processing.png"/>
                    <pic:cNvPicPr/>
                  </pic:nvPicPr>
                  <pic:blipFill>
                    <a:blip r:embed="rId28"/>
                    <a:stretch>
                      <a:fillRect/>
                    </a:stretch>
                  </pic:blipFill>
                  <pic:spPr>
                    <a:xfrm>
                      <a:off x="0" y="0"/>
                      <a:ext cx="5400000" cy="6922255"/>
                    </a:xfrm>
                    <a:prstGeom prst="rect"/>
                  </pic:spPr>
                </pic:pic>
              </a:graphicData>
            </a:graphic>
          </wp:inline>
        </w:drawing>
      </w:r>
    </w:p>
    <w:p>
      <w:pPr>
        <w:jc w:val="center"/>
      </w:pPr>
      <w:r>
        <w:rPr>
          <w:i/>
          <w:sz w:val="20"/>
        </w:rPr>
        <w:t>Processar — executor de processamento unificado.</w:t>
      </w:r>
    </w:p>
    <w:p>
      <w:r>
        <w:t>O executor pode executar oito fases numeradas, por ordem: Processamento de dados (prep, intersect, flatten, backfill, segmentar); Processamento de azulejos; Processamento de linhas; Processamento de análise. A subfase Segmentar constrói uma segmentação por camada de geocódigos (tbl_segmentation) e está activa por omissão quando há dados disponíveis. Cada fase materialmente custosa tem a sua própria caixa na grelha de execução, pelo que qualquer uma pode ser executada novamente sem forçar a repetição das restantes. O alternador Normal / Avançado no topo mantém a vista simples. As contagens de processos de trabalho de cada fase são decididas em tempo de execução pelo passo de auto-ajuste, salvo se forem definidos valores explícitos em config.ini.</w:t>
      </w:r>
    </w:p>
    <w:p>
      <w:pPr>
        <w:jc w:val="center"/>
      </w:pPr>
      <w:r>
        <w:drawing>
          <wp:inline xmlns:a="http://schemas.openxmlformats.org/drawingml/2006/main" xmlns:pic="http://schemas.openxmlformats.org/drawingml/2006/picture">
            <wp:extent cx="5400000" cy="3103494"/>
            <wp:docPr id="21" name="Picture 21"/>
            <wp:cNvGraphicFramePr>
              <a:graphicFrameLocks noChangeAspect="1"/>
            </wp:cNvGraphicFramePr>
            <a:graphic>
              <a:graphicData uri="http://schemas.openxmlformats.org/drawingml/2006/picture">
                <pic:pic>
                  <pic:nvPicPr>
                    <pic:cNvPr id="0" name="ui_processing_pipeline_run.png"/>
                    <pic:cNvPicPr/>
                  </pic:nvPicPr>
                  <pic:blipFill>
                    <a:blip r:embed="rId29"/>
                    <a:stretch>
                      <a:fillRect/>
                    </a:stretch>
                  </pic:blipFill>
                  <pic:spPr>
                    <a:xfrm>
                      <a:off x="0" y="0"/>
                      <a:ext cx="5400000" cy="3103494"/>
                    </a:xfrm>
                    <a:prstGeom prst="rect"/>
                  </pic:spPr>
                </pic:pic>
              </a:graphicData>
            </a:graphic>
          </wp:inline>
        </w:drawing>
      </w:r>
    </w:p>
    <w:p>
      <w:pPr>
        <w:jc w:val="center"/>
      </w:pPr>
      <w:r>
        <w:rPr>
          <w:i/>
          <w:sz w:val="20"/>
        </w:rPr>
        <w:t>Executor da pipeline de processamento — fases numeradas e controlos por fase.</w:t>
      </w:r>
    </w:p>
    <w:p>
      <w:pPr>
        <w:pStyle w:val="Heading2"/>
      </w:pPr>
      <w:r>
        <w:t>4.4 Resultados (passo 4)</w:t>
      </w:r>
    </w:p>
    <w:p>
      <w:pPr>
        <w:jc w:val="center"/>
      </w:pPr>
      <w:r>
        <w:drawing>
          <wp:inline xmlns:a="http://schemas.openxmlformats.org/drawingml/2006/main" xmlns:pic="http://schemas.openxmlformats.org/drawingml/2006/picture">
            <wp:extent cx="5400000" cy="6922255"/>
            <wp:docPr id="22" name="Picture 22"/>
            <wp:cNvGraphicFramePr>
              <a:graphicFrameLocks noChangeAspect="1"/>
            </wp:cNvGraphicFramePr>
            <a:graphic>
              <a:graphicData uri="http://schemas.openxmlformats.org/drawingml/2006/picture">
                <pic:pic>
                  <pic:nvPicPr>
                    <pic:cNvPr id="0" name="overview_review_and_report.png"/>
                    <pic:cNvPicPr/>
                  </pic:nvPicPr>
                  <pic:blipFill>
                    <a:blip r:embed="rId30"/>
                    <a:stretch>
                      <a:fillRect/>
                    </a:stretch>
                  </pic:blipFill>
                  <pic:spPr>
                    <a:xfrm>
                      <a:off x="0" y="0"/>
                      <a:ext cx="5400000" cy="6922255"/>
                    </a:xfrm>
                    <a:prstGeom prst="rect"/>
                  </pic:spPr>
                </pic:pic>
              </a:graphicData>
            </a:graphic>
          </wp:inline>
        </w:drawing>
      </w:r>
    </w:p>
    <w:p>
      <w:pPr>
        <w:jc w:val="center"/>
      </w:pPr>
      <w:r>
        <w:rPr>
          <w:i/>
          <w:sz w:val="20"/>
        </w:rPr>
        <w:t>Resultados — Mapas, comparar áreas de estudo, motor de relatórios.</w:t>
      </w:r>
    </w:p>
    <w:p>
      <w:pPr>
        <w:pStyle w:val="ListBullet"/>
      </w:pPr>
      <w:r>
        <w:t>Mapas — uma janela com separadores (substituindo os antigos visualizadores Mapa de Activos e Mapa de Resultados) com Visão Geral (camadas de índice/sensibilidade), Segmentação (resultado da fase Segmentar) e Activos (camadas de activos importadas); zoom e deslocamento ligados, cursor de opacidade, selector de mapa-base, controlos de camadas flutuantes e Exportar PNG.</w:t>
      </w:r>
    </w:p>
    <w:p>
      <w:pPr>
        <w:pStyle w:val="ListBullet"/>
      </w:pPr>
      <w:r>
        <w:t>Comparar áreas de estudo — comparar grupos de análise lado a lado.</w:t>
      </w:r>
    </w:p>
    <w:p>
      <w:pPr>
        <w:pStyle w:val="ListBullet"/>
      </w:pPr>
      <w:r>
        <w:t>Motor de relatórios — criar um relatório Word a partir dos resultados mais recentes, agora com subtabelas de segmentação por método.</w:t>
      </w:r>
    </w:p>
    <w:p>
      <w:pPr>
        <w:jc w:val="center"/>
      </w:pPr>
      <w:r>
        <w:drawing>
          <wp:inline xmlns:a="http://schemas.openxmlformats.org/drawingml/2006/main" xmlns:pic="http://schemas.openxmlformats.org/drawingml/2006/picture">
            <wp:extent cx="5400000" cy="3229540"/>
            <wp:docPr id="23" name="Picture 23"/>
            <wp:cNvGraphicFramePr>
              <a:graphicFrameLocks noChangeAspect="1"/>
            </wp:cNvGraphicFramePr>
            <a:graphic>
              <a:graphicData uri="http://schemas.openxmlformats.org/drawingml/2006/picture">
                <pic:pic>
                  <pic:nvPicPr>
                    <pic:cNvPr id="0" name="ui_combined_map.png"/>
                    <pic:cNvPicPr/>
                  </pic:nvPicPr>
                  <pic:blipFill>
                    <a:blip r:embed="rId12"/>
                    <a:stretch>
                      <a:fillRect/>
                    </a:stretch>
                  </pic:blipFill>
                  <pic:spPr>
                    <a:xfrm>
                      <a:off x="0" y="0"/>
                      <a:ext cx="5400000" cy="3229540"/>
                    </a:xfrm>
                    <a:prstGeom prst="rect"/>
                  </pic:spPr>
                </pic:pic>
              </a:graphicData>
            </a:graphic>
          </wp:inline>
        </w:drawing>
      </w:r>
    </w:p>
    <w:p>
      <w:pPr>
        <w:jc w:val="center"/>
      </w:pPr>
      <w:r>
        <w:rPr>
          <w:i/>
          <w:sz w:val="20"/>
        </w:rPr>
        <w:t>Janela de Mapas — separadores Visão Geral / Segmentação / Activos.</w:t>
      </w:r>
    </w:p>
    <w:p>
      <w:pPr>
        <w:jc w:val="center"/>
      </w:pPr>
      <w:r>
        <w:drawing>
          <wp:inline xmlns:a="http://schemas.openxmlformats.org/drawingml/2006/main" xmlns:pic="http://schemas.openxmlformats.org/drawingml/2006/picture">
            <wp:extent cx="5400000" cy="3391173"/>
            <wp:docPr id="24" name="Picture 24"/>
            <wp:cNvGraphicFramePr>
              <a:graphicFrameLocks noChangeAspect="1"/>
            </wp:cNvGraphicFramePr>
            <a:graphic>
              <a:graphicData uri="http://schemas.openxmlformats.org/drawingml/2006/picture">
                <pic:pic>
                  <pic:nvPicPr>
                    <pic:cNvPr id="0" name="ui_analysis_present.png"/>
                    <pic:cNvPicPr/>
                  </pic:nvPicPr>
                  <pic:blipFill>
                    <a:blip r:embed="rId31"/>
                    <a:stretch>
                      <a:fillRect/>
                    </a:stretch>
                  </pic:blipFill>
                  <pic:spPr>
                    <a:xfrm>
                      <a:off x="0" y="0"/>
                      <a:ext cx="5400000" cy="3391173"/>
                    </a:xfrm>
                    <a:prstGeom prst="rect"/>
                  </pic:spPr>
                </pic:pic>
              </a:graphicData>
            </a:graphic>
          </wp:inline>
        </w:drawing>
      </w:r>
    </w:p>
    <w:p>
      <w:pPr>
        <w:jc w:val="center"/>
      </w:pPr>
      <w:r>
        <w:rPr>
          <w:i/>
          <w:sz w:val="20"/>
        </w:rPr>
        <w:t>Comparar áreas de estudo.</w:t>
      </w:r>
    </w:p>
    <w:p>
      <w:pPr>
        <w:jc w:val="center"/>
      </w:pPr>
      <w:r>
        <w:drawing>
          <wp:inline xmlns:a="http://schemas.openxmlformats.org/drawingml/2006/main" xmlns:pic="http://schemas.openxmlformats.org/drawingml/2006/picture">
            <wp:extent cx="5400000" cy="4058630"/>
            <wp:docPr id="25" name="Picture 25"/>
            <wp:cNvGraphicFramePr>
              <a:graphicFrameLocks noChangeAspect="1"/>
            </wp:cNvGraphicFramePr>
            <a:graphic>
              <a:graphicData uri="http://schemas.openxmlformats.org/drawingml/2006/picture">
                <pic:pic>
                  <pic:nvPicPr>
                    <pic:cNvPr id="0" name="ui_report_generate.png"/>
                    <pic:cNvPicPr/>
                  </pic:nvPicPr>
                  <pic:blipFill>
                    <a:blip r:embed="rId32"/>
                    <a:stretch>
                      <a:fillRect/>
                    </a:stretch>
                  </pic:blipFill>
                  <pic:spPr>
                    <a:xfrm>
                      <a:off x="0" y="0"/>
                      <a:ext cx="5400000" cy="4058630"/>
                    </a:xfrm>
                    <a:prstGeom prst="rect"/>
                  </pic:spPr>
                </pic:pic>
              </a:graphicData>
            </a:graphic>
          </wp:inline>
        </w:drawing>
      </w:r>
    </w:p>
    <w:p>
      <w:pPr>
        <w:jc w:val="center"/>
      </w:pPr>
      <w:r>
        <w:rPr>
          <w:i/>
          <w:sz w:val="20"/>
        </w:rPr>
        <w:t>Motor de relatórios.</w:t>
      </w:r>
    </w:p>
    <w:p>
      <w:pPr>
        <w:pStyle w:val="Heading2"/>
      </w:pPr>
      <w:r>
        <w:t>4.5 Janela Afinação do processamento</w:t>
      </w:r>
    </w:p>
    <w:p>
      <w:pPr>
        <w:jc w:val="center"/>
      </w:pPr>
      <w:r>
        <w:drawing>
          <wp:inline xmlns:a="http://schemas.openxmlformats.org/drawingml/2006/main" xmlns:pic="http://schemas.openxmlformats.org/drawingml/2006/picture">
            <wp:extent cx="5400000" cy="4058630"/>
            <wp:docPr id="26" name="Picture 26"/>
            <wp:cNvGraphicFramePr>
              <a:graphicFrameLocks noChangeAspect="1"/>
            </wp:cNvGraphicFramePr>
            <a:graphic>
              <a:graphicData uri="http://schemas.openxmlformats.org/drawingml/2006/picture">
                <pic:pic>
                  <pic:nvPicPr>
                    <pic:cNvPr id="0" name="ui_tune_processing_popup.png"/>
                    <pic:cNvPicPr/>
                  </pic:nvPicPr>
                  <pic:blipFill>
                    <a:blip r:embed="rId33"/>
                    <a:stretch>
                      <a:fillRect/>
                    </a:stretch>
                  </pic:blipFill>
                  <pic:spPr>
                    <a:xfrm>
                      <a:off x="0" y="0"/>
                      <a:ext cx="5400000" cy="4058630"/>
                    </a:xfrm>
                    <a:prstGeom prst="rect"/>
                  </pic:spPr>
                </pic:pic>
              </a:graphicData>
            </a:graphic>
          </wp:inline>
        </w:drawing>
      </w:r>
    </w:p>
    <w:p>
      <w:pPr>
        <w:jc w:val="center"/>
      </w:pPr>
      <w:r>
        <w:rPr>
          <w:i/>
          <w:sz w:val="20"/>
        </w:rPr>
        <w:t>Janela Afinação do processamento — avaliar, confirmar, restaurar.</w:t>
      </w:r>
    </w:p>
    <w:p>
      <w:r>
        <w:t>Avaliar compara valores actuais com valores aconselhados com base no CPU e na RAM detectados. Confirmar alterações escreve os valores aconselhados em config.ini. Restaurar afinação anterior repõe os valores guardados antes da última afinação.</w:t>
      </w:r>
    </w:p>
    <w:p>
      <w:r>
        <w:br w:type="page"/>
      </w:r>
    </w:p>
    <w:p>
      <w:pPr>
        <w:pStyle w:val="Heading1"/>
      </w:pPr>
      <w:r>
        <w:t>5. Dados e qualidade dos dados</w:t>
      </w:r>
    </w:p>
    <w:p>
      <w:r>
        <w:t>A maior parte dos resultados do MESA decorre da qualidade das entradas. Duas camadas com a mesma extensão geográfica e os mesmos valores de sensibilidade podem produzir mosaicos muito diferentes consoante a forma como a sua geometria foi preparada e os atributos que sobrevivem nas tabelas de processamento do MESA.</w:t>
      </w:r>
    </w:p>
    <w:p>
      <w:pPr>
        <w:jc w:val="center"/>
      </w:pPr>
      <w:r>
        <w:drawing>
          <wp:inline xmlns:a="http://schemas.openxmlformats.org/drawingml/2006/main" xmlns:pic="http://schemas.openxmlformats.org/drawingml/2006/picture">
            <wp:extent cx="5400000" cy="4050000"/>
            <wp:docPr id="27" name="Picture 27"/>
            <wp:cNvGraphicFramePr>
              <a:graphicFrameLocks noChangeAspect="1"/>
            </wp:cNvGraphicFramePr>
            <a:graphic>
              <a:graphicData uri="http://schemas.openxmlformats.org/drawingml/2006/picture">
                <pic:pic>
                  <pic:nvPicPr>
                    <pic:cNvPr id="0" name="data_folders.png"/>
                    <pic:cNvPicPr/>
                  </pic:nvPicPr>
                  <pic:blipFill>
                    <a:blip r:embed="rId34"/>
                    <a:stretch>
                      <a:fillRect/>
                    </a:stretch>
                  </pic:blipFill>
                  <pic:spPr>
                    <a:xfrm>
                      <a:off x="0" y="0"/>
                      <a:ext cx="5400000" cy="4050000"/>
                    </a:xfrm>
                    <a:prstGeom prst="rect"/>
                  </pic:spPr>
                </pic:pic>
              </a:graphicData>
            </a:graphic>
          </wp:inline>
        </w:drawing>
      </w:r>
    </w:p>
    <w:p>
      <w:pPr>
        <w:jc w:val="center"/>
      </w:pPr>
      <w:r>
        <w:rPr>
          <w:i/>
          <w:sz w:val="20"/>
        </w:rPr>
        <w:t>Dados de entrada e estrutura de pastas do MESA.</w:t>
      </w:r>
    </w:p>
    <w:p>
      <w:pPr>
        <w:pStyle w:val="Heading2"/>
      </w:pPr>
      <w:r>
        <w:t>5.1 Pastas de dados de entrada</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Pasta</w:t>
            </w:r>
          </w:p>
        </w:tc>
        <w:tc>
          <w:tcPr>
            <w:tcW w:type="dxa" w:w="3249"/>
            <w:shd w:val="clear" w:color="auto" w:fill="1F3A5F"/>
          </w:tcPr>
          <w:p>
            <w:r>
              <w:rPr>
                <w:color w:val="FFFFFF"/>
              </w:rPr>
            </w:r>
            <w:r>
              <w:rPr>
                <w:b/>
                <w:color w:val="FFFFFF"/>
              </w:rPr>
              <w:t>Conteúdo</w:t>
            </w:r>
          </w:p>
        </w:tc>
        <w:tc>
          <w:tcPr>
            <w:tcW w:type="dxa" w:w="3249"/>
            <w:shd w:val="clear" w:color="auto" w:fill="1F3A5F"/>
          </w:tcPr>
          <w:p>
            <w:r>
              <w:rPr>
                <w:color w:val="FFFFFF"/>
              </w:rPr>
            </w:r>
            <w:r>
              <w:rPr>
                <w:b/>
                <w:color w:val="FFFFFF"/>
              </w:rPr>
              <w:t>Obrigatório</w:t>
            </w:r>
          </w:p>
        </w:tc>
      </w:tr>
      <w:tr>
        <w:tc>
          <w:tcPr>
            <w:tcW w:type="dxa" w:w="3249"/>
            <w:vAlign w:val="top"/>
          </w:tcPr>
          <w:p>
            <w:r>
              <w:t>input/asset/</w:t>
            </w:r>
          </w:p>
        </w:tc>
        <w:tc>
          <w:tcPr>
            <w:tcW w:type="dxa" w:w="3249"/>
            <w:vAlign w:val="top"/>
          </w:tcPr>
          <w:p>
            <w:r>
              <w:t>Conjuntos de activos de área, organizados numa subpasta por grupo de activos.</w:t>
            </w:r>
          </w:p>
        </w:tc>
        <w:tc>
          <w:tcPr>
            <w:tcW w:type="dxa" w:w="3249"/>
            <w:vAlign w:val="top"/>
          </w:tcPr>
          <w:p>
            <w:r>
              <w:t>Sim</w:t>
            </w:r>
          </w:p>
        </w:tc>
      </w:tr>
      <w:tr>
        <w:tc>
          <w:tcPr>
            <w:tcW w:type="dxa" w:w="3249"/>
            <w:vAlign w:val="top"/>
          </w:tcPr>
          <w:p>
            <w:r>
              <w:t>input/geocode/</w:t>
            </w:r>
          </w:p>
        </w:tc>
        <w:tc>
          <w:tcPr>
            <w:tcW w:type="dxa" w:w="3249"/>
            <w:vAlign w:val="top"/>
          </w:tcPr>
          <w:p>
            <w:r>
              <w:t>Camadas de geocódigos (grelhas / polígonos de análise).</w:t>
            </w:r>
          </w:p>
        </w:tc>
        <w:tc>
          <w:tcPr>
            <w:tcW w:type="dxa" w:w="3249"/>
            <w:vAlign w:val="top"/>
          </w:tcPr>
          <w:p>
            <w:r>
              <w:t>Sim (ou gerar dentro do MESA)</w:t>
            </w:r>
          </w:p>
        </w:tc>
      </w:tr>
      <w:tr>
        <w:tc>
          <w:tcPr>
            <w:tcW w:type="dxa" w:w="3249"/>
            <w:vAlign w:val="top"/>
          </w:tcPr>
          <w:p>
            <w:r>
              <w:t>input/lines/</w:t>
            </w:r>
          </w:p>
        </w:tc>
        <w:tc>
          <w:tcPr>
            <w:tcW w:type="dxa" w:w="3249"/>
            <w:vAlign w:val="top"/>
          </w:tcPr>
          <w:p>
            <w:r>
              <w:t>Conjuntos lineares — oleodutos, rios, estradas, linhas eléctricas.</w:t>
            </w:r>
          </w:p>
        </w:tc>
        <w:tc>
          <w:tcPr>
            <w:tcW w:type="dxa" w:w="3249"/>
            <w:vAlign w:val="top"/>
          </w:tcPr>
          <w:p>
            <w:r>
              <w:t>Opcional</w:t>
            </w:r>
          </w:p>
        </w:tc>
      </w:tr>
      <w:tr>
        <w:tc>
          <w:tcPr>
            <w:tcW w:type="dxa" w:w="3249"/>
            <w:vAlign w:val="top"/>
          </w:tcPr>
          <w:p>
            <w:r>
              <w:t>input/atlas/</w:t>
            </w:r>
          </w:p>
        </w:tc>
        <w:tc>
          <w:tcPr>
            <w:tcW w:type="dxa" w:w="3249"/>
            <w:vAlign w:val="top"/>
          </w:tcPr>
          <w:p>
            <w:r>
              <w:t>Polígonos de azulejo de atlas usados em layouts QGIS.</w:t>
            </w:r>
          </w:p>
        </w:tc>
        <w:tc>
          <w:tcPr>
            <w:tcW w:type="dxa" w:w="3249"/>
            <w:vAlign w:val="top"/>
          </w:tcPr>
          <w:p>
            <w:r>
              <w:t>Opcional</w:t>
            </w:r>
          </w:p>
        </w:tc>
      </w:tr>
      <w:tr>
        <w:tc>
          <w:tcPr>
            <w:tcW w:type="dxa" w:w="3249"/>
            <w:vAlign w:val="top"/>
          </w:tcPr>
          <w:p>
            <w:r>
              <w:t>input/images/</w:t>
            </w:r>
          </w:p>
        </w:tc>
        <w:tc>
          <w:tcPr>
            <w:tcW w:type="dxa" w:w="3249"/>
            <w:vAlign w:val="top"/>
          </w:tcPr>
          <w:p>
            <w:r>
              <w:t>Imagens de projecto referenciadas nos relatórios.</w:t>
            </w:r>
          </w:p>
        </w:tc>
        <w:tc>
          <w:tcPr>
            <w:tcW w:type="dxa" w:w="3249"/>
            <w:vAlign w:val="top"/>
          </w:tcPr>
          <w:p>
            <w:r>
              <w:t>Opcional</w:t>
            </w:r>
          </w:p>
        </w:tc>
      </w:tr>
      <w:tr>
        <w:tc>
          <w:tcPr>
            <w:tcW w:type="dxa" w:w="3249"/>
            <w:vAlign w:val="top"/>
          </w:tcPr>
          <w:p>
            <w:r>
              <w:t>input/evaluate_landuse/</w:t>
            </w:r>
          </w:p>
        </w:tc>
        <w:tc>
          <w:tcPr>
            <w:tcW w:type="dxa" w:w="3249"/>
            <w:vAlign w:val="top"/>
          </w:tcPr>
          <w:p>
            <w:r>
              <w:t>Entradas de classificação de uso do solo (avançado).</w:t>
            </w:r>
          </w:p>
        </w:tc>
        <w:tc>
          <w:tcPr>
            <w:tcW w:type="dxa" w:w="3249"/>
            <w:vAlign w:val="top"/>
          </w:tcPr>
          <w:p>
            <w:r>
              <w:t>Opcional</w:t>
            </w:r>
          </w:p>
        </w:tc>
      </w:tr>
    </w:tbl>
    <w:p/>
    <w:p>
      <w:pPr>
        <w:pStyle w:val="Heading2"/>
      </w:pPr>
      <w:r>
        <w:t>5.2 Formatos de ficheiro suportados</w:t>
      </w:r>
    </w:p>
    <w:p>
      <w:r>
        <w:t>O MESA lê entradas através de GeoPandas e Fiona/PyOGRIO, suportando formatos vectoriais comuns: GeoPackage (.gpkg), Shapefile (.shp + ficheiros associados), GeoParquet (.parquet), entre outros. O GeoPackage é o formato de entrada mais seguro. O Shapefile funciona mas trunca: os nomes de coluna são silenciosamente reduzidos a 10 caracteres, os valores de cadeias de caracteres acima de 254 caracteres são cortados e alguns tipos de campos podem ser rebaixados.</w:t>
      </w:r>
    </w:p>
    <w:p>
      <w:pPr>
        <w:pStyle w:val="Heading2"/>
      </w:pPr>
      <w:r>
        <w:t>5.3 Sistemas de coordenadas e projecções</w:t>
      </w:r>
    </w:p>
    <w:p>
      <w:pPr>
        <w:pStyle w:val="ListBullet"/>
      </w:pPr>
      <w:r>
        <w:t>working_projection_epsg (omissão 4326) — projecção utilizada pelo MESA para trabalho espacial rápido em lat/lon.</w:t>
      </w:r>
    </w:p>
    <w:p>
      <w:pPr>
        <w:pStyle w:val="ListBullet"/>
      </w:pPr>
      <w:r>
        <w:t>area_projection_epsg (omissão 3035 para a Europa) — projecção de igual área utilizada para calcular áreas em m². Escolha uma adequada à região de estudo.</w:t>
      </w:r>
    </w:p>
    <w:p>
      <w:pPr>
        <w:pStyle w:val="ListBullet"/>
      </w:pPr>
      <w:r>
        <w:t>output_projection_epsg (omissão 4326) — projecção em que o MESA escreve os resultados.</w:t>
      </w:r>
    </w:p>
    <w:p>
      <w:pPr>
        <w:pStyle w:val="Heading2"/>
      </w:pPr>
      <w:r>
        <w:t>5.4 Preparação dos dados</w:t>
      </w:r>
    </w:p>
    <w:p>
      <w:r>
        <w:t>Os polígonos de activos ecológicos / orgânicos funcionam melhor — contornos de zonas húmidas, áreas de povoamento, polígonos de rios, limites de áreas protegidas. O mosaico mantém-se compacto e o mapa final lê-se como zonas discretas de sensibilidade. As camadas de activos derivadas de grelha / raster são o modo de falha: efeito moiré célula a célula e colapso de faces do mosaico quando a camada não tem uma coluna classificadora honesta. Conclusão: camadas de activos derivadas de raster sem atributo classificador são um perigo conhecido. O MESA trata-as de forma conservadora (sem dissolução → moiré), mas a correcção correcta é a montante.</w:t>
      </w:r>
    </w:p>
    <w:p>
      <w:pPr>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artefacts.png"/>
                    <pic:cNvPicPr/>
                  </pic:nvPicPr>
                  <pic:blipFill>
                    <a:blip r:embed="rId35"/>
                    <a:stretch>
                      <a:fillRect/>
                    </a:stretch>
                  </pic:blipFill>
                  <pic:spPr>
                    <a:xfrm>
                      <a:off x="0" y="0"/>
                      <a:ext cx="5400000" cy="4050000"/>
                    </a:xfrm>
                    <a:prstGeom prst="rect"/>
                  </pic:spPr>
                </pic:pic>
              </a:graphicData>
            </a:graphic>
          </wp:inline>
        </w:drawing>
      </w:r>
    </w:p>
    <w:p>
      <w:pPr>
        <w:jc w:val="center"/>
      </w:pPr>
      <w:r>
        <w:rPr>
          <w:i/>
          <w:sz w:val="20"/>
        </w:rPr>
        <w:t>Como os dados vectoriais em grelha geram artefactos cartográficos.</w:t>
      </w:r>
    </w:p>
    <w:p>
      <w:pPr>
        <w:pStyle w:val="Heading2"/>
      </w:pPr>
      <w:r>
        <w:t>5.5 O que o MESA faz na importação</w:t>
      </w:r>
    </w:p>
    <w:p>
      <w:pPr>
        <w:pStyle w:val="ListNumber"/>
        <w:numPr>
          <w:ilvl w:val="0"/>
          <w:numId w:val="13"/>
        </w:numPr>
      </w:pPr>
      <w:r>
        <w:t>Validação geométrica (activa por omissão; "Validate geometries" na janela de importação) — toda a geometria passa por make_valid() com um buffer(0) como recurso.</w:t>
      </w:r>
    </w:p>
    <w:p>
      <w:pPr>
        <w:pStyle w:val="ListNumber"/>
        <w:numPr>
          <w:ilvl w:val="0"/>
          <w:numId w:val="13"/>
        </w:numPr>
      </w:pPr>
      <w:r>
        <w:t>Dissolução por chave inteligente — classifica colunas de atributos como uniformes ou divergentes; combina polígonos contíguos que partilham valores uniformes.</w:t>
      </w:r>
    </w:p>
    <w:p>
      <w:pPr>
        <w:pStyle w:val="ListNumber"/>
        <w:numPr>
          <w:ilvl w:val="0"/>
          <w:numId w:val="13"/>
        </w:numPr>
      </w:pPr>
      <w:r>
        <w:t>Amortecimento de pontos e linhas (sempre activo para entradas não-poligonais) — Pontos e LineStrings recebem um amortecimento usando default_point_buffer_m e default_line_buffer_m antes da intersecção.</w:t>
      </w:r>
    </w:p>
    <w:p>
      <w:pPr>
        <w:pStyle w:val="Heading2"/>
      </w:pPr>
      <w:r>
        <w:t>5.6 Tabelas de resultados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F3A5F"/>
          </w:tcPr>
          <w:p>
            <w:r>
              <w:rPr>
                <w:color w:val="FFFFFF"/>
              </w:rPr>
            </w:r>
            <w:r>
              <w:rPr>
                <w:b/>
                <w:color w:val="FFFFFF"/>
              </w:rPr>
              <w:t>Tabela</w:t>
            </w:r>
          </w:p>
        </w:tc>
        <w:tc>
          <w:tcPr>
            <w:tcW w:type="dxa" w:w="4873"/>
            <w:shd w:val="clear" w:color="auto" w:fill="1F3A5F"/>
          </w:tcPr>
          <w:p>
            <w:r>
              <w:rPr>
                <w:color w:val="FFFFFF"/>
              </w:rPr>
            </w:r>
            <w:r>
              <w:rPr>
                <w:b/>
                <w:color w:val="FFFFFF"/>
              </w:rPr>
              <w:t>Conteúdo</w:t>
            </w:r>
          </w:p>
        </w:tc>
      </w:tr>
      <w:tr>
        <w:tc>
          <w:tcPr>
            <w:tcW w:type="dxa" w:w="4873"/>
            <w:vAlign w:val="top"/>
          </w:tcPr>
          <w:p>
            <w:r>
              <w:t>tbl_asset_group</w:t>
            </w:r>
          </w:p>
        </w:tc>
        <w:tc>
          <w:tcPr>
            <w:tcW w:type="dxa" w:w="4873"/>
            <w:vAlign w:val="top"/>
          </w:tcPr>
          <w:p>
            <w:r>
              <w:t>Uma linha por grupo de activos (subpasta em input/asset/).</w:t>
            </w:r>
          </w:p>
        </w:tc>
      </w:tr>
      <w:tr>
        <w:tc>
          <w:tcPr>
            <w:tcW w:type="dxa" w:w="4873"/>
            <w:vAlign w:val="top"/>
          </w:tcPr>
          <w:p>
            <w:r>
              <w:t>tbl_asset_object</w:t>
            </w:r>
          </w:p>
        </w:tc>
        <w:tc>
          <w:tcPr>
            <w:tcW w:type="dxa" w:w="4873"/>
            <w:vAlign w:val="top"/>
          </w:tcPr>
          <w:p>
            <w:r>
              <w:t>Uma linha por polígono de activo importado, com atributos e cadeia serializada de atributos.</w:t>
            </w:r>
          </w:p>
        </w:tc>
      </w:tr>
      <w:tr>
        <w:tc>
          <w:tcPr>
            <w:tcW w:type="dxa" w:w="4873"/>
            <w:vAlign w:val="top"/>
          </w:tcPr>
          <w:p>
            <w:r>
              <w:t>tbl_geocode_group</w:t>
            </w:r>
          </w:p>
        </w:tc>
        <w:tc>
          <w:tcPr>
            <w:tcW w:type="dxa" w:w="4873"/>
            <w:vAlign w:val="top"/>
          </w:tcPr>
          <w:p>
            <w:r>
              <w:t>Uma linha por grupo de geocódigos (basic_mosaic, níveis H3, ...).</w:t>
            </w:r>
          </w:p>
        </w:tc>
      </w:tr>
      <w:tr>
        <w:tc>
          <w:tcPr>
            <w:tcW w:type="dxa" w:w="4873"/>
            <w:vAlign w:val="top"/>
          </w:tcPr>
          <w:p>
            <w:r>
              <w:t>tbl_geocode_object</w:t>
            </w:r>
          </w:p>
        </w:tc>
        <w:tc>
          <w:tcPr>
            <w:tcW w:type="dxa" w:w="4873"/>
            <w:vAlign w:val="top"/>
          </w:tcPr>
          <w:p>
            <w:r>
              <w:t>Uma linha por célula de geocódigo, com referência ao grupo-pai.</w:t>
            </w:r>
          </w:p>
        </w:tc>
      </w:tr>
      <w:tr>
        <w:tc>
          <w:tcPr>
            <w:tcW w:type="dxa" w:w="4873"/>
            <w:vAlign w:val="top"/>
          </w:tcPr>
          <w:p>
            <w:r>
              <w:t>tbl_stacked</w:t>
            </w:r>
          </w:p>
        </w:tc>
        <w:tc>
          <w:tcPr>
            <w:tcW w:type="dxa" w:w="4873"/>
            <w:vAlign w:val="top"/>
          </w:tcPr>
          <w:p>
            <w:r>
              <w:t>Onde os activos tocam os geocódigos — uma linha por par (activo, geocódigo).</w:t>
            </w:r>
          </w:p>
        </w:tc>
      </w:tr>
      <w:tr>
        <w:tc>
          <w:tcPr>
            <w:tcW w:type="dxa" w:w="4873"/>
            <w:vAlign w:val="top"/>
          </w:tcPr>
          <w:p>
            <w:r>
              <w:t>tbl_flat</w:t>
            </w:r>
          </w:p>
        </w:tc>
        <w:tc>
          <w:tcPr>
            <w:tcW w:type="dxa" w:w="4873"/>
            <w:vAlign w:val="top"/>
          </w:tcPr>
          <w:p>
            <w:r>
              <w:t>Resultado de análise achatado — uma linha por célula com sensibilidade resumida (máx., média, contagem, códigos, área_m²).</w:t>
            </w:r>
          </w:p>
        </w:tc>
      </w:tr>
      <w:tr>
        <w:tc>
          <w:tcPr>
            <w:tcW w:type="dxa" w:w="4873"/>
            <w:vAlign w:val="top"/>
          </w:tcPr>
          <w:p>
            <w:r>
              <w:t>tbl_system_capabilities</w:t>
            </w:r>
          </w:p>
        </w:tc>
        <w:tc>
          <w:tcPr>
            <w:tcW w:type="dxa" w:w="4873"/>
            <w:vAlign w:val="top"/>
          </w:tcPr>
          <w:p>
            <w:r>
              <w:t>Fotografia da impressão digital do computador usada por Sobre e auto_tune.</w:t>
            </w:r>
          </w:p>
        </w:tc>
      </w:tr>
    </w:tbl>
    <w:p/>
    <w:p>
      <w:r>
        <w:br w:type="page"/>
      </w:r>
    </w:p>
    <w:p>
      <w:pPr>
        <w:pStyle w:val="Heading1"/>
      </w:pPr>
      <w:r>
        <w:t>6. Método</w:t>
      </w:r>
    </w:p>
    <w:p>
      <w:pPr>
        <w:jc w:val="center"/>
      </w:pPr>
      <w:r>
        <w:drawing>
          <wp:inline xmlns:a="http://schemas.openxmlformats.org/drawingml/2006/main" xmlns:pic="http://schemas.openxmlformats.org/drawingml/2006/picture">
            <wp:extent cx="4320000" cy="3567273"/>
            <wp:docPr id="29" name="Picture 29"/>
            <wp:cNvGraphicFramePr>
              <a:graphicFrameLocks noChangeAspect="1"/>
            </wp:cNvGraphicFramePr>
            <a:graphic>
              <a:graphicData uri="http://schemas.openxmlformats.org/drawingml/2006/picture">
                <pic:pic>
                  <pic:nvPicPr>
                    <pic:cNvPr id="0" name="sensitivity_table.png"/>
                    <pic:cNvPicPr/>
                  </pic:nvPicPr>
                  <pic:blipFill>
                    <a:blip r:embed="rId36"/>
                    <a:stretch>
                      <a:fillRect/>
                    </a:stretch>
                  </pic:blipFill>
                  <pic:spPr>
                    <a:xfrm>
                      <a:off x="0" y="0"/>
                      <a:ext cx="4320000" cy="3567273"/>
                    </a:xfrm>
                    <a:prstGeom prst="rect"/>
                  </pic:spPr>
                </pic:pic>
              </a:graphicData>
            </a:graphic>
          </wp:inline>
        </w:drawing>
      </w:r>
    </w:p>
    <w:p>
      <w:pPr>
        <w:jc w:val="center"/>
      </w:pPr>
      <w:r>
        <w:rPr>
          <w:i/>
          <w:sz w:val="20"/>
        </w:rPr>
        <w:t>MESA — Mapeamento de Activos Ambientalmente Sensíveis.</w:t>
      </w:r>
    </w:p>
    <w:p>
      <w:r>
        <w:t>O MESA (Mapeamento de Activos Ambientalmente Sensíveis) é um método dirigido a um público alargado de pessoas que trabalham no desenvolvimento e utilização de mapas de sensibilidade ambiental. O método fornece um protocolo passo a passo para desenvolver um atlas de sensibilidade ambiental baseado numa metodologia padronizada, desenvolvida após a revisão de vários métodos existentes.</w:t>
      </w:r>
    </w:p>
    <w:p>
      <w:pPr>
        <w:pStyle w:val="Heading2"/>
      </w:pPr>
      <w:r>
        <w:t>6.1 Introdução</w:t>
      </w:r>
    </w:p>
    <w:p>
      <w:r>
        <w:t>Os Atlas de Sensibilidade Ambiental mostram a sensibilidade relativa dos lugares a uma ou mais pressões claramente definidas. Historicamente, muitos atlas foram desenvolvidos para resposta a emergências costeiras e cenários de poluição aguda. No MESA, a mesma ideia é utilizada mais amplamente para a triagem inicial de uma área de interesse, relacionando-a com os activos mapeados.</w:t>
      </w:r>
    </w:p>
    <w:p>
      <w:r>
        <w:t>Neste contexto mais amplo de planeamento é importante ser explícito quanto à cadeia actividade → pressão → via → activo. A sensibilidade não é uma propriedade inerente a um local: depende da pressão considerada, da forma e momento em que é expressa, e dos activos valorizados.</w:t>
      </w:r>
    </w:p>
    <w:p>
      <w:pPr>
        <w:jc w:val="center"/>
      </w:pPr>
      <w:r>
        <w:drawing>
          <wp:inline xmlns:a="http://schemas.openxmlformats.org/drawingml/2006/main" xmlns:pic="http://schemas.openxmlformats.org/drawingml/2006/picture">
            <wp:extent cx="5400000" cy="3066279"/>
            <wp:docPr id="30" name="Picture 30"/>
            <wp:cNvGraphicFramePr>
              <a:graphicFrameLocks noChangeAspect="1"/>
            </wp:cNvGraphicFramePr>
            <a:graphic>
              <a:graphicData uri="http://schemas.openxmlformats.org/drawingml/2006/picture">
                <pic:pic>
                  <pic:nvPicPr>
                    <pic:cNvPr id="0" name="process_overview.png"/>
                    <pic:cNvPicPr/>
                  </pic:nvPicPr>
                  <pic:blipFill>
                    <a:blip r:embed="rId14"/>
                    <a:stretch>
                      <a:fillRect/>
                    </a:stretch>
                  </pic:blipFill>
                  <pic:spPr>
                    <a:xfrm>
                      <a:off x="0" y="0"/>
                      <a:ext cx="5400000" cy="3066279"/>
                    </a:xfrm>
                    <a:prstGeom prst="rect"/>
                  </pic:spPr>
                </pic:pic>
              </a:graphicData>
            </a:graphic>
          </wp:inline>
        </w:drawing>
      </w:r>
    </w:p>
    <w:p>
      <w:pPr>
        <w:jc w:val="center"/>
      </w:pPr>
      <w:r>
        <w:rPr>
          <w:i/>
          <w:sz w:val="20"/>
        </w:rPr>
        <w:t>Visão geral do processo — passos metodológicos.</w:t>
      </w:r>
    </w:p>
    <w:p>
      <w:pPr>
        <w:pStyle w:val="Heading2"/>
      </w:pPr>
      <w:r>
        <w:t>6.2 Importância, susceptibilidade, sensibilidade</w:t>
      </w:r>
    </w:p>
    <w:p>
      <w:pPr>
        <w:jc w:val="center"/>
      </w:pPr>
      <w:r>
        <w:drawing>
          <wp:inline xmlns:a="http://schemas.openxmlformats.org/drawingml/2006/main" xmlns:pic="http://schemas.openxmlformats.org/drawingml/2006/picture">
            <wp:extent cx="4320000" cy="2186024"/>
            <wp:docPr id="31" name="Picture 31"/>
            <wp:cNvGraphicFramePr>
              <a:graphicFrameLocks noChangeAspect="1"/>
            </wp:cNvGraphicFramePr>
            <a:graphic>
              <a:graphicData uri="http://schemas.openxmlformats.org/drawingml/2006/picture">
                <pic:pic>
                  <pic:nvPicPr>
                    <pic:cNvPr id="0" name="calculation_mesa.png"/>
                    <pic:cNvPicPr/>
                  </pic:nvPicPr>
                  <pic:blipFill>
                    <a:blip r:embed="rId37"/>
                    <a:stretch>
                      <a:fillRect/>
                    </a:stretch>
                  </pic:blipFill>
                  <pic:spPr>
                    <a:xfrm>
                      <a:off x="0" y="0"/>
                      <a:ext cx="4320000" cy="2186024"/>
                    </a:xfrm>
                    <a:prstGeom prst="rect"/>
                  </pic:spPr>
                </pic:pic>
              </a:graphicData>
            </a:graphic>
          </wp:inline>
        </w:drawing>
      </w:r>
    </w:p>
    <w:p>
      <w:pPr>
        <w:jc w:val="center"/>
      </w:pPr>
      <w:r>
        <w:rPr>
          <w:i/>
          <w:sz w:val="20"/>
        </w:rPr>
        <w:t>Cálculo MESA — importância × susceptibilidade = sensibilidade.</w:t>
      </w:r>
    </w:p>
    <w:p>
      <w:pPr>
        <w:pStyle w:val="ListBullet"/>
      </w:pPr>
      <w:r>
        <w:t>Importância do activo — o seu valor baseado na raridade, significado, valor funcional e intrínseco. Quantificada de 1 a 5.</w:t>
      </w:r>
    </w:p>
    <w:p>
      <w:pPr>
        <w:pStyle w:val="ListBullet"/>
      </w:pPr>
      <w:r>
        <w:t>Susceptibilidade do activo — o grau em que um activo será afectado por uma pressão, com base na severidade prevista do impacte e na capacidade de recuperação. Quantificada de 1 a 5.</w:t>
      </w:r>
    </w:p>
    <w:p>
      <w:pPr>
        <w:pStyle w:val="ListBullet"/>
      </w:pPr>
      <w:r>
        <w:t>Sensibilidade — o produto de importância e susceptibilidade, também expressa numa escala 1–5.</w:t>
      </w:r>
    </w:p>
    <w:p>
      <w:pPr>
        <w:pStyle w:val="Heading2"/>
      </w:pPr>
      <w:r>
        <w:t>6.3 Utilização prevista</w:t>
      </w:r>
    </w:p>
    <w:p>
      <w:r>
        <w:t>Saber se o atlas se destina a uso estratégico (planeamento nacional), operacional (gestão de projecto) ou táctico (resposta a emergências) ajuda a identificar a resolução e os activos adequados a incluir, e fornece um filtro para identificar as pressões relevantes.</w:t>
      </w:r>
    </w:p>
    <w:p>
      <w:pPr>
        <w:pStyle w:val="Heading2"/>
      </w:pPr>
      <w:r>
        <w:t>6.4 Pressões</w:t>
      </w:r>
    </w:p>
    <w:p>
      <w:r>
        <w:t>As pressões consideradas determinam que activos são mais sensíveis. As fontes de impacte devem ser claramente identificadas antes do mapeamento. A Tabela 6.1 lista pressões potenciais das operações de petróleo e gás nos domínios terrestre, costeiro e marinho.</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Terrestre</w:t>
            </w:r>
          </w:p>
        </w:tc>
        <w:tc>
          <w:tcPr>
            <w:tcW w:type="dxa" w:w="3249"/>
            <w:shd w:val="clear" w:color="auto" w:fill="1F3A5F"/>
          </w:tcPr>
          <w:p>
            <w:r>
              <w:rPr>
                <w:color w:val="FFFFFF"/>
              </w:rPr>
            </w:r>
            <w:r>
              <w:rPr>
                <w:b/>
                <w:color w:val="FFFFFF"/>
              </w:rPr>
              <w:t>Costeiro</w:t>
            </w:r>
          </w:p>
        </w:tc>
        <w:tc>
          <w:tcPr>
            <w:tcW w:type="dxa" w:w="3249"/>
            <w:shd w:val="clear" w:color="auto" w:fill="1F3A5F"/>
          </w:tcPr>
          <w:p>
            <w:r>
              <w:rPr>
                <w:color w:val="FFFFFF"/>
              </w:rPr>
            </w:r>
            <w:r>
              <w:rPr>
                <w:b/>
                <w:color w:val="FFFFFF"/>
              </w:rPr>
              <w:t>Marinho</w:t>
            </w:r>
          </w:p>
        </w:tc>
      </w:tr>
      <w:tr>
        <w:tc>
          <w:tcPr>
            <w:tcW w:type="dxa" w:w="3249"/>
            <w:vAlign w:val="top"/>
          </w:tcPr>
          <w:p>
            <w:r>
              <w:t>Derrame de petróleo</w:t>
            </w:r>
          </w:p>
        </w:tc>
        <w:tc>
          <w:tcPr>
            <w:tcW w:type="dxa" w:w="3249"/>
            <w:vAlign w:val="top"/>
          </w:tcPr>
          <w:p>
            <w:r>
              <w:t>Derrame de petróleo</w:t>
            </w:r>
          </w:p>
        </w:tc>
        <w:tc>
          <w:tcPr>
            <w:tcW w:type="dxa" w:w="3249"/>
            <w:vAlign w:val="top"/>
          </w:tcPr>
          <w:p>
            <w:r>
              <w:t>Derrame de petróleo</w:t>
            </w:r>
          </w:p>
        </w:tc>
      </w:tr>
      <w:tr>
        <w:tc>
          <w:tcPr>
            <w:tcW w:type="dxa" w:w="3249"/>
            <w:vAlign w:val="top"/>
          </w:tcPr>
          <w:p>
            <w:r>
              <w:t>Perda de habitat</w:t>
            </w:r>
          </w:p>
        </w:tc>
        <w:tc>
          <w:tcPr>
            <w:tcW w:type="dxa" w:w="3249"/>
            <w:vAlign w:val="top"/>
          </w:tcPr>
          <w:p>
            <w:r>
              <w:t>Perda de habitat</w:t>
            </w:r>
          </w:p>
        </w:tc>
        <w:tc>
          <w:tcPr>
            <w:tcW w:type="dxa" w:w="3249"/>
            <w:vAlign w:val="top"/>
          </w:tcPr>
          <w:p>
            <w:r>
              <w:t>Perda de habitat</w:t>
            </w:r>
          </w:p>
        </w:tc>
      </w:tr>
      <w:tr>
        <w:tc>
          <w:tcPr>
            <w:tcW w:type="dxa" w:w="3249"/>
            <w:vAlign w:val="top"/>
          </w:tcPr>
          <w:p>
            <w:r>
              <w:t>Fragmentação de habitat</w:t>
            </w:r>
          </w:p>
        </w:tc>
        <w:tc>
          <w:tcPr>
            <w:tcW w:type="dxa" w:w="3249"/>
            <w:vAlign w:val="top"/>
          </w:tcPr>
          <w:p>
            <w:r>
              <w:t>Fragmentação de habitat</w:t>
            </w:r>
          </w:p>
        </w:tc>
        <w:tc>
          <w:tcPr>
            <w:tcW w:type="dxa" w:w="3249"/>
            <w:vAlign w:val="top"/>
          </w:tcPr>
          <w:p>
            <w:r>
              <w:t>Fragmentação de habitat</w:t>
            </w:r>
          </w:p>
        </w:tc>
      </w:tr>
      <w:tr>
        <w:tc>
          <w:tcPr>
            <w:tcW w:type="dxa" w:w="3249"/>
            <w:vAlign w:val="top"/>
          </w:tcPr>
          <w:p>
            <w:r>
              <w:t>Perturbação</w:t>
            </w:r>
          </w:p>
        </w:tc>
        <w:tc>
          <w:tcPr>
            <w:tcW w:type="dxa" w:w="3249"/>
            <w:vAlign w:val="top"/>
          </w:tcPr>
          <w:p>
            <w:r>
              <w:t>Perturbação</w:t>
            </w:r>
          </w:p>
        </w:tc>
        <w:tc>
          <w:tcPr>
            <w:tcW w:type="dxa" w:w="3249"/>
            <w:vAlign w:val="top"/>
          </w:tcPr>
          <w:p>
            <w:r>
              <w:t>Perturbação</w:t>
            </w:r>
          </w:p>
        </w:tc>
      </w:tr>
      <w:tr>
        <w:tc>
          <w:tcPr>
            <w:tcW w:type="dxa" w:w="3249"/>
            <w:vAlign w:val="top"/>
          </w:tcPr>
          <w:p>
            <w:r>
              <w:t>Emissões atmosféricas</w:t>
            </w:r>
          </w:p>
        </w:tc>
        <w:tc>
          <w:tcPr>
            <w:tcW w:type="dxa" w:w="3249"/>
            <w:vAlign w:val="top"/>
          </w:tcPr>
          <w:p>
            <w:r>
              <w:t>Emissões atmosféricas</w:t>
            </w:r>
          </w:p>
        </w:tc>
        <w:tc>
          <w:tcPr>
            <w:tcW w:type="dxa" w:w="3249"/>
            <w:vAlign w:val="top"/>
          </w:tcPr>
          <w:p>
            <w:r>
              <w:t>Emissões atmosféricas</w:t>
            </w:r>
          </w:p>
        </w:tc>
      </w:tr>
      <w:tr>
        <w:tc>
          <w:tcPr>
            <w:tcW w:type="dxa" w:w="3249"/>
            <w:vAlign w:val="top"/>
          </w:tcPr>
          <w:p>
            <w:r>
              <w:t>Poluição aquática (excl. petróleo)</w:t>
            </w:r>
          </w:p>
        </w:tc>
        <w:tc>
          <w:tcPr>
            <w:tcW w:type="dxa" w:w="3249"/>
            <w:vAlign w:val="top"/>
          </w:tcPr>
          <w:p>
            <w:r>
              <w:t>Poluição aquática (excl. petróleo)</w:t>
            </w:r>
          </w:p>
        </w:tc>
        <w:tc>
          <w:tcPr>
            <w:tcW w:type="dxa" w:w="3249"/>
            <w:vAlign w:val="top"/>
          </w:tcPr>
          <w:p>
            <w:r>
              <w:t>Poluição aquática (excl. petróleo)</w:t>
            </w:r>
          </w:p>
        </w:tc>
      </w:tr>
      <w:tr>
        <w:tc>
          <w:tcPr>
            <w:tcW w:type="dxa" w:w="3249"/>
            <w:vAlign w:val="top"/>
          </w:tcPr>
          <w:p>
            <w:r>
              <w:t>Erosão e degradação do solo</w:t>
            </w:r>
          </w:p>
        </w:tc>
        <w:tc>
          <w:tcPr>
            <w:tcW w:type="dxa" w:w="3249"/>
            <w:vAlign w:val="top"/>
          </w:tcPr>
          <w:p>
            <w:r>
              <w:t>Erosão do solo</w:t>
            </w:r>
          </w:p>
        </w:tc>
        <w:tc>
          <w:tcPr>
            <w:tcW w:type="dxa" w:w="3249"/>
            <w:vAlign w:val="top"/>
          </w:tcPr>
          <w:p>
            <w:r>
              <w:t>Maior uso de recursos biológicos</w:t>
            </w:r>
          </w:p>
        </w:tc>
      </w:tr>
      <w:tr>
        <w:tc>
          <w:tcPr>
            <w:tcW w:type="dxa" w:w="3249"/>
            <w:vAlign w:val="top"/>
          </w:tcPr>
          <w:p>
            <w:r>
              <w:t>Partículas em suspensão (p. ex. poeira)</w:t>
            </w:r>
          </w:p>
        </w:tc>
        <w:tc>
          <w:tcPr>
            <w:tcW w:type="dxa" w:w="3249"/>
            <w:vAlign w:val="top"/>
          </w:tcPr>
          <w:p>
            <w:r>
              <w:t>Partículas em suspensão (p. ex. poeira)</w:t>
            </w:r>
          </w:p>
        </w:tc>
        <w:tc>
          <w:tcPr>
            <w:tcW w:type="dxa" w:w="3249"/>
            <w:vAlign w:val="top"/>
          </w:tcPr>
          <w:p>
            <w:r/>
          </w:p>
        </w:tc>
      </w:tr>
      <w:tr>
        <w:tc>
          <w:tcPr>
            <w:tcW w:type="dxa" w:w="3249"/>
            <w:vAlign w:val="top"/>
          </w:tcPr>
          <w:p>
            <w:r>
              <w:t>Maior uso de recursos biológicos</w:t>
            </w:r>
          </w:p>
        </w:tc>
        <w:tc>
          <w:tcPr>
            <w:tcW w:type="dxa" w:w="3249"/>
            <w:vAlign w:val="top"/>
          </w:tcPr>
          <w:p>
            <w:r>
              <w:t>Maior uso de recursos biológicos</w:t>
            </w:r>
          </w:p>
        </w:tc>
        <w:tc>
          <w:tcPr>
            <w:tcW w:type="dxa" w:w="3249"/>
            <w:vAlign w:val="top"/>
          </w:tcPr>
          <w:p>
            <w:r/>
          </w:p>
        </w:tc>
      </w:tr>
    </w:tbl>
    <w:p/>
    <w:p>
      <w:pPr>
        <w:pStyle w:val="Heading2"/>
      </w:pPr>
      <w:r>
        <w:t>6.5 Activos</w:t>
      </w:r>
    </w:p>
    <w:p>
      <w:r>
        <w:t>Embora seja ideal identificar todas as feições que cabem na definição ampla de activos ecológicos, é necessário um ponto de partida pragmático que capte os principais valores de biodiversidade. Os activos ecológicos recomendados incluem áreas com estatuto de protecção, designações de biodiversidade (KBA, AZE), Habitats Críticos segundo a IFC PS6, áreas que suportam Espécies Ameaçadas, habitats de elevada biodiversidade (mangais, florestas, recifes de coral) e outros activos ecologicamente importantes.</w:t>
      </w:r>
    </w:p>
    <w:p>
      <w:pPr>
        <w:pStyle w:val="Heading2"/>
      </w:pPr>
      <w:r>
        <w:t>6.6 Geocodificação e segmentação</w:t>
      </w:r>
    </w:p>
    <w:p>
      <w:r>
        <w:t>As camadas de geocódigos definem como o MESA agrega os resultados espacialmente. Coloque conjuntos poligonais (células de grelha de quarto de grau, limites municipais, hexágonos H3 ou qualquer outra tesselação) em input/geocode/ e referencie-os em config.ini. As feições lineares seguem um padrão semelhante: coloque conjuntos lineares em input/lines/. O MESA aplica amortecimento e, opcionalmente, segmenta estas feições, armazenando os resultados em tbl_segment_flat.parquet.</w:t>
      </w:r>
    </w:p>
    <w:p>
      <w:r>
        <w:t>Distinta da segmentação de linhas, o MESA 5.2 acrescenta a segmentação por camada de geocódigos: a fase Segmentar do executor agrupa os polígonos de uma camada de geocódigos num número menor de zonas que partilham um perfil de sensibilidade semelhante, permitindo ler um mapa de resultados denso como um punhado de tipos de área distintos em vez de milhares de células individuais. São oferecidos dois métodos — Assinaturas, uma tipologia determinística em que cada polígono é rotulado pelo conjunto de códigos de sensibilidade (A–E) dos activos que o sobrepõem (a opção por omissão, sem afinação), e Agrupamentos, um agrupamento algorítmico por perfil numérico de sensibilidade (KMeans ou uma variante espacialmente contígua). O resultado (tbl_segmentation) não contém geometria e associa-se de novo aos polígonos de geocódigo pelo campo code no momento da renderização; as zonas resultantes surgem no separador Segmentação da janela de Mapas e no motor de relatórios.</w:t>
      </w:r>
    </w:p>
    <w:p>
      <w:r>
        <w:br w:type="page"/>
      </w:r>
    </w:p>
    <w:p>
      <w:pPr>
        <w:pStyle w:val="Heading1"/>
      </w:pPr>
      <w:r>
        <w:t>7. Índices</w:t>
      </w:r>
    </w:p>
    <w:p>
      <w:r>
        <w:t>Um índice é uma função que mapeia uma ou mais variáveis medidas ou derivadas para um único valor sumário. A construção de um índice envolve normalmente a selecção de variáveis, a sua normalização, a aplicação de pesos e a sua agregação. Os índices reduzem a complexidade mas introduzem escolhas de modelação: regras de ponderação, escala e agregação podem afectar substancialmente a interpretação e a ordenação.</w:t>
      </w:r>
    </w:p>
    <w:p>
      <w:r>
        <w:t>O MESA produz um índice composto normalizado mais um conjunto de indicadores em estado bruto que resumem a intensidade e a composição de activos sobrepostos em cada unidade espacial (um polígono de geocódigo, e em alguns fluxos de trabalho ao longo de linhas amortecidas/segmentadas). O Índice OWA (index_owa) funciona como sobreposição principal precaucional, juntamente com quatro indicadores complementares por célula que fornecem máximos e contagens em estado bruto: Sensibilidade (sensitivity_max), Importância (importance_max), Grupos de activos (asset_groups_total) e Objectos de activo (assets_overlap_total). Todos os cinco são guardados como campos em tbl_flat.parquet e renderizados como sobreposições no visualizador desktop. (O antigo Índice de Importância e Índice de Sensibilidade foram removidos no MESA 5.2.)</w:t>
      </w:r>
    </w:p>
    <w:p>
      <w:r>
        <w:t>Para a apresentação cartográfica, um valor de índice igual a 0 indica a ausência de sobreposições relevantes e não é simbolizado nas sobreposições de índice — essas unidades aparecem em branco nos mapas.</w:t>
      </w:r>
    </w:p>
    <w:p>
      <w:pPr>
        <w:pStyle w:val="Heading2"/>
      </w:pPr>
      <w:r>
        <w:t>7.1 Índice OWA (index_owa)</w:t>
      </w:r>
    </w:p>
    <w:p>
      <w:r>
        <w:t>O OWA é utilizado como mecanismo de classificação precaucional: locais que contenham quaisquer sobreposições de sensibilidade muito alta são priorizados face a locais com muitas sobreposições moderadas. Isto corresponde a uma comparação lexicográfica do vector de contagens das classes de sensibilidade, da mais alta para a mais baixa. O Índice OWA é intencionalmente não-compensatório: um pequeno número de sobreposições de sensibilidade alta pode dominar a classificação, pelo que deve ser acompanhado de relatórios contextuais antes de tomar decisões de gestão.</w:t>
      </w:r>
    </w:p>
    <w:p>
      <w:pPr>
        <w:pStyle w:val="Heading2"/>
      </w:pPr>
      <w:r>
        <w:t>7.2 Sensibilidade (sensitivity_max)</w:t>
      </w:r>
    </w:p>
    <w:p>
      <w:r>
        <w:t>O valor de sensibilidade mais alto presente na sobreposição de uma unidade espacial. A sensibilidade por sobreposição é o produto da importância e da susceptibilidade (tipicamente 1–25); esta camada reporta a pior sobreposição — um único activo classificado como A é suficiente para colorir a célula como A, mesmo que muitos activos de classe inferior também se sobreponham.</w:t>
      </w:r>
    </w:p>
    <w:p>
      <w:pPr>
        <w:pStyle w:val="Heading2"/>
      </w:pPr>
      <w:r>
        <w:t>7.3 Importância (importance_max)</w:t>
      </w:r>
    </w:p>
    <w:p>
      <w:r>
        <w:t>A classe de importância máxima entre os activos sobrepostos numa unidade espacial. As classes de importância são tipicamente inteiros em 1..5. Esta camada responde: qual é a classe de importância mais alta presente nesta célula, independentemente de quantos activos de menor importância partilham a célula?</w:t>
      </w:r>
    </w:p>
    <w:p>
      <w:pPr>
        <w:pStyle w:val="Heading2"/>
      </w:pPr>
      <w:r>
        <w:t>7.4 Grupos de activos (asset_groups_total)</w:t>
      </w:r>
    </w:p>
    <w:p>
      <w:r>
        <w:t>O número de grupos de activos distintos cujas pegadas se sobrepõem a uma unidade espacial. Um grupo de activos é uma categoria lógica de feições (por exemplo, zonas húmidas, locais industriais); múltiplos objectos do mesmo grupo contam como um. Esta camada é um indicador de diversidade: valores altos marcam células onde coincidem muitos tipos de feições (um ponto crítico multi-temático), independentemente do número de objectos individuais envolvidos. Os nomes dos grupos contribuintes são guardados no campo asset_group_names.</w:t>
      </w:r>
    </w:p>
    <w:p>
      <w:pPr>
        <w:pStyle w:val="Heading2"/>
      </w:pPr>
      <w:r>
        <w:t>7.5 Objectos de activo (assets_overlap_total)</w:t>
      </w:r>
    </w:p>
    <w:p>
      <w:r>
        <w:t>O número total de objectos de activo individuais (polígonos, linhas, pontos) que se sobrepõem a uma unidade espacial. Dois objectos do mesmo grupo de activos contam ambos. Esta camada é um indicador de densidade: valores altos marcam células onde muitas feições estão empilhadas, independentemente da diversidade de grupos. Combine com Grupos de activos para distinguir 'muito de uma coisa' (1 grupo, 50 objectos) de 'mistura diversa, mas fina' (5 grupos, 5 objectos).</w:t>
      </w:r>
    </w:p>
    <w:p>
      <w:r>
        <w:br w:type="page"/>
      </w:r>
    </w:p>
    <w:p>
      <w:pPr>
        <w:pStyle w:val="Heading1"/>
      </w:pPr>
      <w:r>
        <w:t>8. QGIS</w:t>
      </w:r>
    </w:p>
    <w:p>
      <w:r>
        <w:t>O MESA inclui um modelo de projecto QGIS (qgis/mesa.qgz). O projecto carrega tabelas GeoParquet de output/geoparquet/ (resultados de análise) e MBTiles de output/mbtiles/ (camadas de renderização rápida). Os caminhos são relativos à pasta qgis/, pelo que deve manter a estrutura padrão do MESA.</w:t>
      </w:r>
    </w:p>
    <w:p>
      <w:r>
        <w:t>Pré-requisitos: executar o processamento MESA pelo menos uma vez para que as pastas output/ existam com dados; instalar o QGIS 3.36 ou superior (o projecto foi criado com QGIS 3.44). Abra o QGIS fazendo duplo clique em qgis/mesa.qgz.</w:t>
      </w:r>
    </w:p>
    <w:p>
      <w:pPr>
        <w:pStyle w:val="Heading2"/>
      </w:pPr>
      <w:r>
        <w:t>8.1 QGIS aberto</w:t>
      </w:r>
    </w:p>
    <w:p>
      <w:r>
        <w:t>Quando o QGIS abre, o projecto pode opcionalmente fazer pan/zoom até aos seus dados. Isto depende das macros do QGIS: se aparecer um aviso sobre macros, active-as para permitir a execução da lógica de arranque. Se preferir não activar as macros, pode continuar a usar o projecto — basta fazer zoom manualmente. Se as camadas aparecerem partidas ou vazias, confirme que output/geoparquet/ e output/mbtiles/ foram criadas por uma execução bem sucedida do MESA.</w:t>
      </w:r>
    </w:p>
    <w:p>
      <w:pPr>
        <w:jc w:val="center"/>
      </w:pPr>
      <w:r>
        <w:drawing>
          <wp:inline xmlns:a="http://schemas.openxmlformats.org/drawingml/2006/main" xmlns:pic="http://schemas.openxmlformats.org/drawingml/2006/picture">
            <wp:extent cx="5400000" cy="3857143"/>
            <wp:docPr id="32" name="Picture 32"/>
            <wp:cNvGraphicFramePr>
              <a:graphicFrameLocks noChangeAspect="1"/>
            </wp:cNvGraphicFramePr>
            <a:graphic>
              <a:graphicData uri="http://schemas.openxmlformats.org/drawingml/2006/picture">
                <pic:pic>
                  <pic:nvPicPr>
                    <pic:cNvPr id="0" name="qgis_default.png"/>
                    <pic:cNvPicPr/>
                  </pic:nvPicPr>
                  <pic:blipFill>
                    <a:blip r:embed="rId38"/>
                    <a:stretch>
                      <a:fillRect/>
                    </a:stretch>
                  </pic:blipFill>
                  <pic:spPr>
                    <a:xfrm>
                      <a:off x="0" y="0"/>
                      <a:ext cx="5400000" cy="3857143"/>
                    </a:xfrm>
                    <a:prstGeom prst="rect"/>
                  </pic:spPr>
                </pic:pic>
              </a:graphicData>
            </a:graphic>
          </wp:inline>
        </w:drawing>
      </w:r>
    </w:p>
    <w:p>
      <w:pPr>
        <w:jc w:val="center"/>
      </w:pPr>
      <w:r>
        <w:rPr>
          <w:i/>
          <w:sz w:val="20"/>
        </w:rPr>
        <w:t>Vista padrão do projecto QGIS.</w:t>
      </w:r>
    </w:p>
    <w:p>
      <w:pPr>
        <w:pStyle w:val="Heading2"/>
      </w:pPr>
      <w:r>
        <w:t>8.2 Segmentos</w:t>
      </w:r>
    </w:p>
    <w:p>
      <w:r>
        <w:t>O grupo Segmentos visualiza os resultados de activos lineares processados (estradas, rios, linhas costeiras, oleodutos, etc.). Estas camadas são suportadas pelas tabelas GeoParquet em output/geoparquet/.</w:t>
      </w:r>
    </w:p>
    <w:p>
      <w:pPr>
        <w:jc w:val="center"/>
      </w:pPr>
      <w:r>
        <w:drawing>
          <wp:inline xmlns:a="http://schemas.openxmlformats.org/drawingml/2006/main" xmlns:pic="http://schemas.openxmlformats.org/drawingml/2006/picture">
            <wp:extent cx="5400000" cy="3753050"/>
            <wp:docPr id="33" name="Picture 33"/>
            <wp:cNvGraphicFramePr>
              <a:graphicFrameLocks noChangeAspect="1"/>
            </wp:cNvGraphicFramePr>
            <a:graphic>
              <a:graphicData uri="http://schemas.openxmlformats.org/drawingml/2006/picture">
                <pic:pic>
                  <pic:nvPicPr>
                    <pic:cNvPr id="0" name="qgis_segments.png"/>
                    <pic:cNvPicPr/>
                  </pic:nvPicPr>
                  <pic:blipFill>
                    <a:blip r:embed="rId39"/>
                    <a:stretch>
                      <a:fillRect/>
                    </a:stretch>
                  </pic:blipFill>
                  <pic:spPr>
                    <a:xfrm>
                      <a:off x="0" y="0"/>
                      <a:ext cx="5400000" cy="3753050"/>
                    </a:xfrm>
                    <a:prstGeom prst="rect"/>
                  </pic:spPr>
                </pic:pic>
              </a:graphicData>
            </a:graphic>
          </wp:inline>
        </w:drawing>
      </w:r>
    </w:p>
    <w:p>
      <w:pPr>
        <w:jc w:val="center"/>
      </w:pPr>
      <w:r>
        <w:rPr>
          <w:i/>
          <w:sz w:val="20"/>
        </w:rPr>
        <w:t>QGIS — grupo de segmentos.</w:t>
      </w:r>
    </w:p>
    <w:p>
      <w:pPr>
        <w:pStyle w:val="Heading2"/>
      </w:pPr>
      <w:r>
        <w:t>8.3 Importância</w:t>
      </w:r>
    </w:p>
    <w:p>
      <w:r>
        <w:t>As camadas de Importância mostram o índice de importância calculado e/ou os resultados categóricos. São tipicamente impulsionadas por tbl_flat.parquet (polígonos) e tabelas relacionadas.</w:t>
      </w:r>
    </w:p>
    <w:p>
      <w:pPr>
        <w:jc w:val="center"/>
      </w:pPr>
      <w:r>
        <w:drawing>
          <wp:inline xmlns:a="http://schemas.openxmlformats.org/drawingml/2006/main" xmlns:pic="http://schemas.openxmlformats.org/drawingml/2006/picture">
            <wp:extent cx="5400000" cy="3728096"/>
            <wp:docPr id="34" name="Picture 34"/>
            <wp:cNvGraphicFramePr>
              <a:graphicFrameLocks noChangeAspect="1"/>
            </wp:cNvGraphicFramePr>
            <a:graphic>
              <a:graphicData uri="http://schemas.openxmlformats.org/drawingml/2006/picture">
                <pic:pic>
                  <pic:nvPicPr>
                    <pic:cNvPr id="0" name="qgis_importance.png"/>
                    <pic:cNvPicPr/>
                  </pic:nvPicPr>
                  <pic:blipFill>
                    <a:blip r:embed="rId40"/>
                    <a:stretch>
                      <a:fillRect/>
                    </a:stretch>
                  </pic:blipFill>
                  <pic:spPr>
                    <a:xfrm>
                      <a:off x="0" y="0"/>
                      <a:ext cx="5400000" cy="3728096"/>
                    </a:xfrm>
                    <a:prstGeom prst="rect"/>
                  </pic:spPr>
                </pic:pic>
              </a:graphicData>
            </a:graphic>
          </wp:inline>
        </w:drawing>
      </w:r>
    </w:p>
    <w:p>
      <w:pPr>
        <w:jc w:val="center"/>
      </w:pPr>
      <w:r>
        <w:rPr>
          <w:i/>
          <w:sz w:val="20"/>
        </w:rPr>
        <w:t>QGIS — sobreposição de importância.</w:t>
      </w:r>
    </w:p>
    <w:p>
      <w:pPr>
        <w:pStyle w:val="Heading2"/>
      </w:pPr>
      <w:r>
        <w:t>8.4 Activos</w:t>
      </w:r>
    </w:p>
    <w:p>
      <w:r>
        <w:t>O grupo de Activos mostra os activos importados (frequentemente com múltiplos tipos de geometria) carregados a partir do repositório GeoParquet. Utilize estas camadas para validar importações e para perceber quais os conjuntos que contribuem para os pontos críticos.</w:t>
      </w:r>
    </w:p>
    <w:p>
      <w:pPr>
        <w:jc w:val="center"/>
      </w:pPr>
      <w:r>
        <w:drawing>
          <wp:inline xmlns:a="http://schemas.openxmlformats.org/drawingml/2006/main" xmlns:pic="http://schemas.openxmlformats.org/drawingml/2006/picture">
            <wp:extent cx="5400000" cy="3757604"/>
            <wp:docPr id="35" name="Picture 35"/>
            <wp:cNvGraphicFramePr>
              <a:graphicFrameLocks noChangeAspect="1"/>
            </wp:cNvGraphicFramePr>
            <a:graphic>
              <a:graphicData uri="http://schemas.openxmlformats.org/drawingml/2006/picture">
                <pic:pic>
                  <pic:nvPicPr>
                    <pic:cNvPr id="0" name="qgis_assets.png"/>
                    <pic:cNvPicPr/>
                  </pic:nvPicPr>
                  <pic:blipFill>
                    <a:blip r:embed="rId41"/>
                    <a:stretch>
                      <a:fillRect/>
                    </a:stretch>
                  </pic:blipFill>
                  <pic:spPr>
                    <a:xfrm>
                      <a:off x="0" y="0"/>
                      <a:ext cx="5400000" cy="3757604"/>
                    </a:xfrm>
                    <a:prstGeom prst="rect"/>
                  </pic:spPr>
                </pic:pic>
              </a:graphicData>
            </a:graphic>
          </wp:inline>
        </w:drawing>
      </w:r>
    </w:p>
    <w:p>
      <w:pPr>
        <w:jc w:val="center"/>
      </w:pPr>
      <w:r>
        <w:rPr>
          <w:i/>
          <w:sz w:val="20"/>
        </w:rPr>
        <w:t>QGIS — grupo de activos.</w:t>
      </w:r>
    </w:p>
    <w:p>
      <w:r>
        <w:br w:type="page"/>
      </w:r>
    </w:p>
    <w:p>
      <w:pPr>
        <w:pStyle w:val="Heading1"/>
      </w:pPr>
      <w:r>
        <w:t>9. Definições</w:t>
      </w:r>
    </w:p>
    <w:p>
      <w:pPr>
        <w:pStyle w:val="Heading2"/>
      </w:pPr>
      <w:r>
        <w:t>9.1 Mapeamento de sensibilidade</w:t>
      </w:r>
    </w:p>
    <w:p>
      <w:r>
        <w:t>O mapeamento de sensibilidade é um método estruturado e antecipatório para integrar considerações ambientais, sociais e culturais na tomada de decisão espacial. Identifica os activos que a sociedade valoriza — habitats, espécies, funções de ecossistema, património cultural, meios de subsistência — e avalia a sua sensibilidade a pressões ou intervenções específicas. Está explicitamente desenhado para planeamento e triagem em fase inicial: não substitui as avaliações de impacte detalhadas, mas apoia escolhas estratégicas tornando visíveis as compensações.</w:t>
      </w:r>
    </w:p>
    <w:p>
      <w:pPr>
        <w:pStyle w:val="Heading2"/>
      </w:pPr>
      <w:r>
        <w:t>9.2 Geocódigos</w:t>
      </w:r>
    </w:p>
    <w:p>
      <w:r>
        <w:t>No MESA, os geocódigos são camadas poligonais utilizadas como unidades de referência comum para agregar resultados (índices, contagens, resumos). O geocódigo nativo basic_mosaic é um mosaico de polígonos não sobrepostos produzido a partir da pegada combinada de todos os activos importados. Pode ainda usar outros geocódigos: Células de Grelha de Quarto de Grau (QDGC), limites administrativos, hexágonos H3 e qualquer conjunto de polígonos personalizado destinado a servir como zonas de análise (idealmente não sobrepostas).</w:t>
      </w:r>
    </w:p>
    <w:p>
      <w:pPr>
        <w:pStyle w:val="Heading2"/>
      </w:pPr>
      <w:r>
        <w:t>9.3 Linhas</w:t>
      </w:r>
    </w:p>
    <w:p>
      <w:r>
        <w:t>As linhas no MESA são utilizadas para analisar a sensibilidade ao longo de feições lineares (rios, estradas, linhas costeiras, linhas eléctricas, oleodutos, etc.). Para representar a sua pegada ou área de risco, o MESA aplica um amortecimento às linhas antes da análise. A largura do amortecimento é configurável em config.ini. As linhas podem também ser divididas em segmentos para que os resultados variem ao longo da feição; as métricas por segmento são guardadas em output/geoparquet/tbl_segment_flat.parquet.</w:t>
      </w:r>
    </w:p>
    <w:p>
      <w:pPr>
        <w:jc w:val="center"/>
      </w:pPr>
      <w:r>
        <w:drawing>
          <wp:inline xmlns:a="http://schemas.openxmlformats.org/drawingml/2006/main" xmlns:pic="http://schemas.openxmlformats.org/drawingml/2006/picture">
            <wp:extent cx="5040000" cy="1622334"/>
            <wp:docPr id="36" name="Picture 36"/>
            <wp:cNvGraphicFramePr>
              <a:graphicFrameLocks noChangeAspect="1"/>
            </wp:cNvGraphicFramePr>
            <a:graphic>
              <a:graphicData uri="http://schemas.openxmlformats.org/drawingml/2006/picture">
                <pic:pic>
                  <pic:nvPicPr>
                    <pic:cNvPr id="0" name="segments.png"/>
                    <pic:cNvPicPr/>
                  </pic:nvPicPr>
                  <pic:blipFill>
                    <a:blip r:embed="rId42"/>
                    <a:stretch>
                      <a:fillRect/>
                    </a:stretch>
                  </pic:blipFill>
                  <pic:spPr>
                    <a:xfrm>
                      <a:off x="0" y="0"/>
                      <a:ext cx="5040000" cy="1622334"/>
                    </a:xfrm>
                    <a:prstGeom prst="rect"/>
                  </pic:spPr>
                </pic:pic>
              </a:graphicData>
            </a:graphic>
          </wp:inline>
        </w:drawing>
      </w:r>
    </w:p>
    <w:p>
      <w:pPr>
        <w:jc w:val="center"/>
      </w:pPr>
      <w:r>
        <w:rPr>
          <w:i/>
          <w:sz w:val="20"/>
        </w:rPr>
        <w:t>Segmentos de linha — sensibilidade ao longo de feições lineares.</w:t>
      </w:r>
    </w:p>
    <w:p>
      <w:pPr>
        <w:pStyle w:val="Heading2"/>
      </w:pPr>
      <w:r>
        <w:t>9.4 Atlas</w:t>
      </w:r>
    </w:p>
    <w:p>
      <w:r>
        <w:t>A funcionalidade de atlas do QGIS automatiza a criação de séries de mapas baseadas num determinado layout e em determinados dados, ideal para apresentar análises espaciais abrangentes. Ao integrar o atlas QGIS com o MESA, os utilizadores podem produzir eficientemente uma série de mapas alinhados com o método MESA, facilitando uma melhor visualização e tomada de decisão no planeamento de conservação e gestão de recursos. O ArcGIS Pro da ESRI oferece funcionalidade comparável através da ferramenta Map Series.</w:t>
      </w:r>
    </w:p>
    <w:p>
      <w:pPr>
        <w:pStyle w:val="Heading2"/>
      </w:pPr>
      <w:r>
        <w:t>9.5 Outras definições</w:t>
      </w:r>
    </w:p>
    <w:p>
      <w:pPr>
        <w:pStyle w:val="ListBullet"/>
      </w:pPr>
      <w:r>
        <w:t>Atlas de Sensibilidade Ambiental — colectânea de mapas e texto narrativo de suporte que apresenta dados espaciais sobre a sensibilidade de activos ecológicos e/ou socioeconómicos a uma pressão específica.</w:t>
      </w:r>
    </w:p>
    <w:p>
      <w:pPr>
        <w:pStyle w:val="ListBullet"/>
      </w:pPr>
      <w:r>
        <w:t>Sensibilidade Ambiental — combinação da susceptibilidade e da importância de um activo afectado, indicando o impacte potencial de uma dada pressão.</w:t>
      </w:r>
    </w:p>
    <w:p>
      <w:pPr>
        <w:pStyle w:val="ListBullet"/>
      </w:pPr>
      <w:r>
        <w:t>Pressão (factor de stress) — fonte de impacte potencial de uma actividade (perda de habitat, perturbação, poluição, alteração de níveis de água, …).</w:t>
      </w:r>
    </w:p>
    <w:p>
      <w:pPr>
        <w:pStyle w:val="ListBullet"/>
      </w:pPr>
      <w:r>
        <w:t>Activo Ecológico — entidades naturais que prestam funções ou serviços ecológicos, incluindo as que não têm valor monetário.</w:t>
      </w:r>
    </w:p>
    <w:p>
      <w:pPr>
        <w:pStyle w:val="ListBullet"/>
      </w:pPr>
      <w:r>
        <w:t>Activo Socioeconómico — entidades naturais ou antropogénicas com valor social, cultural, económico ou político.</w:t>
      </w:r>
    </w:p>
    <w:p>
      <w:pPr>
        <w:pStyle w:val="ListBullet"/>
      </w:pPr>
      <w:r>
        <w:t>Importância — valor de um activo à escala global, nacional ou local, em relação à raridade, ao significado, ao valor funcional e intrínseco.</w:t>
      </w:r>
    </w:p>
    <w:p>
      <w:pPr>
        <w:pStyle w:val="ListBullet"/>
      </w:pPr>
      <w:r>
        <w:t>Susceptibilidade — grau em que um activo é afectado por uma pressão, com base na severidade do impacte e na capacidade de recuperação.</w:t>
      </w:r>
    </w:p>
    <w:p>
      <w:pPr>
        <w:pStyle w:val="ListBullet"/>
      </w:pPr>
      <w:r>
        <w:t>Sensibilidade — classificação global das consequências de permitir um impacte. Combina importância e susceptibilidade para uma dada pressão.</w:t>
      </w:r>
    </w:p>
    <w:p>
      <w:r>
        <w:br w:type="page"/>
      </w:r>
    </w:p>
    <w:p>
      <w:pPr>
        <w:pStyle w:val="Heading1"/>
      </w:pPr>
      <w:r>
        <w:t>10. Avançado</w:t>
      </w:r>
    </w:p>
    <w:p>
      <w:pPr>
        <w:pStyle w:val="Heading2"/>
      </w:pPr>
      <w:r>
        <w:t>10.1 Sobreposições da localização do espaço de trabalho (MESA_BASE_DIR)</w:t>
      </w:r>
    </w:p>
    <w:p>
      <w:r>
        <w:t>Por omissão, o MESA assume que as pastas do espaço de trabalho (input/, output/, qgis/, config.ini) estão junto a mesa.py (código-fonte) ou a mesa.exe (empacotado). Se quiser manter o código da aplicação numa pasta e os dados noutra, defina a variável de ambiente MESA_BASE_DIR para a raiz do espaço de trabalho antes de iniciar. Quando definida, o MESA lê config.ini e escreve output/ dentro dessa pasta.</w:t>
      </w:r>
    </w:p>
    <w:p>
      <w:pPr>
        <w:pStyle w:val="Heading2"/>
      </w:pPr>
      <w:r>
        <w:t>10.2 Fluxo iterativo: primeiro a execução completa, depois reexecutar apenas o que mudou</w:t>
      </w:r>
    </w:p>
    <w:p>
      <w:r>
        <w:t>O pipeline de processamento é uma cadeia de fases, cada uma a ler o resultado parquet da fase anterior em disco e a escrever o seu próprio. Essa transferência em disco é o que torna possíveis as reexecuções selectivas — assim que uma fase termina, pode alterar parâmetros que só afectam uma fase a jusante e reexecutar apenas essa fase, sem repetir o trabalho pesado a montante.</w:t>
      </w:r>
    </w:p>
    <w:p>
      <w:r>
        <w:t>O fluxo de trabalho previsto é, portanto:</w:t>
      </w:r>
    </w:p>
    <w:p>
      <w:pPr>
        <w:pStyle w:val="ListNumber"/>
        <w:numPr>
          <w:ilvl w:val="0"/>
          <w:numId w:val="14"/>
        </w:numPr>
      </w:pPr>
      <w:r>
        <w:t>Primeira vez: execute todo o pipeline de ponta a ponta para que cada fase tenha um resultado válido.</w:t>
      </w:r>
    </w:p>
    <w:p>
      <w:pPr>
        <w:pStyle w:val="ListNumber"/>
        <w:numPr>
          <w:ilvl w:val="0"/>
          <w:numId w:val="14"/>
        </w:numPr>
      </w:pPr>
      <w:r>
        <w:t>Iterar: altere o parâmetro que pretende explorar, depois no executor de Processamento mude para Avançado, desactive tudo excepto a fase afectada e as fases a jusante, e reexecute.</w:t>
      </w:r>
    </w:p>
    <w:p>
      <w:pPr>
        <w:jc w:val="center"/>
      </w:pPr>
      <w:r>
        <w:drawing>
          <wp:inline xmlns:a="http://schemas.openxmlformats.org/drawingml/2006/main" xmlns:pic="http://schemas.openxmlformats.org/drawingml/2006/picture">
            <wp:extent cx="5580000" cy="3140419"/>
            <wp:docPr id="37" name="Picture 37"/>
            <wp:cNvGraphicFramePr>
              <a:graphicFrameLocks noChangeAspect="1"/>
            </wp:cNvGraphicFramePr>
            <a:graphic>
              <a:graphicData uri="http://schemas.openxmlformats.org/drawingml/2006/picture">
                <pic:pic>
                  <pic:nvPicPr>
                    <pic:cNvPr id="0" name="efficient_workflow.png"/>
                    <pic:cNvPicPr/>
                  </pic:nvPicPr>
                  <pic:blipFill>
                    <a:blip r:embed="rId43"/>
                    <a:stretch>
                      <a:fillRect/>
                    </a:stretch>
                  </pic:blipFill>
                  <pic:spPr>
                    <a:xfrm>
                      <a:off x="0" y="0"/>
                      <a:ext cx="5580000" cy="3140419"/>
                    </a:xfrm>
                    <a:prstGeom prst="rect"/>
                  </pic:spPr>
                </pic:pic>
              </a:graphicData>
            </a:graphic>
          </wp:inline>
        </w:drawing>
      </w:r>
    </w:p>
    <w:p>
      <w:pPr>
        <w:jc w:val="center"/>
      </w:pPr>
      <w:r>
        <w:rPr>
          <w:i/>
          <w:sz w:val="20"/>
        </w:rPr>
        <w:t>Cenários do pipeline MESA — execução completa vs. reexecuções selectivas. Cada linha é um cenário; as barras indicam que fases são executadas.</w:t>
      </w:r>
    </w:p>
    <w:p>
      <w:pPr>
        <w:pStyle w:val="Heading2"/>
      </w:pPr>
      <w:r>
        <w:t>10.2.1 O que cada fase lê e escreve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Pr>
                <w:color w:val="FFFFFF"/>
              </w:rPr>
            </w:r>
            <w:r>
              <w:rPr>
                <w:b/>
                <w:color w:val="FFFFFF"/>
              </w:rPr>
              <w:t>Fase</w:t>
            </w:r>
          </w:p>
        </w:tc>
        <w:tc>
          <w:tcPr>
            <w:tcW w:type="dxa" w:w="2436"/>
            <w:shd w:val="clear" w:color="auto" w:fill="1F3A5F"/>
          </w:tcPr>
          <w:p>
            <w:r>
              <w:rPr>
                <w:color w:val="FFFFFF"/>
              </w:rPr>
            </w:r>
            <w:r>
              <w:rPr>
                <w:b/>
                <w:color w:val="FFFFFF"/>
              </w:rPr>
              <w:t>Lê</w:t>
            </w:r>
          </w:p>
        </w:tc>
        <w:tc>
          <w:tcPr>
            <w:tcW w:type="dxa" w:w="2436"/>
            <w:shd w:val="clear" w:color="auto" w:fill="1F3A5F"/>
          </w:tcPr>
          <w:p>
            <w:r>
              <w:rPr>
                <w:color w:val="FFFFFF"/>
              </w:rPr>
            </w:r>
            <w:r>
              <w:rPr>
                <w:b/>
                <w:color w:val="FFFFFF"/>
              </w:rPr>
              <w:t>Escreve</w:t>
            </w:r>
          </w:p>
        </w:tc>
        <w:tc>
          <w:tcPr>
            <w:tcW w:type="dxa" w:w="2436"/>
            <w:shd w:val="clear" w:color="auto" w:fill="1F3A5F"/>
          </w:tcPr>
          <w:p>
            <w:r>
              <w:rPr>
                <w:color w:val="FFFFFF"/>
              </w:rPr>
            </w:r>
            <w:r>
              <w:rPr>
                <w:b/>
                <w:color w:val="FFFFFF"/>
              </w:rPr>
              <w:t>Custo de reexecução</w:t>
            </w:r>
          </w:p>
        </w:tc>
      </w:tr>
      <w:tr>
        <w:tc>
          <w:tcPr>
            <w:tcW w:type="dxa" w:w="2436"/>
            <w:vAlign w:val="top"/>
          </w:tcPr>
          <w:p>
            <w:r>
              <w:t>Prep</w:t>
            </w:r>
          </w:p>
        </w:tc>
        <w:tc>
          <w:tcPr>
            <w:tcW w:type="dxa" w:w="2436"/>
            <w:vAlign w:val="top"/>
          </w:tcPr>
          <w:p>
            <w:r>
              <w:t>metadados dos parquet de entrada, contagens de activos e geocódigos</w:t>
            </w:r>
          </w:p>
        </w:tc>
        <w:tc>
          <w:tcPr>
            <w:tcW w:type="dxa" w:w="2436"/>
            <w:vAlign w:val="top"/>
          </w:tcPr>
          <w:p>
            <w:r>
              <w:t>ficheiros de estado do espaço de trabalho</w:t>
            </w:r>
          </w:p>
        </w:tc>
        <w:tc>
          <w:tcPr>
            <w:tcW w:type="dxa" w:w="2436"/>
            <w:vAlign w:val="top"/>
          </w:tcPr>
          <w:p>
            <w:r>
              <w:t>segundos</w:t>
            </w:r>
          </w:p>
        </w:tc>
      </w:tr>
      <w:tr>
        <w:tc>
          <w:tcPr>
            <w:tcW w:type="dxa" w:w="2436"/>
            <w:vAlign w:val="top"/>
          </w:tcPr>
          <w:p>
            <w:r>
              <w:t>Intersect</w:t>
            </w:r>
          </w:p>
        </w:tc>
        <w:tc>
          <w:tcPr>
            <w:tcW w:type="dxa" w:w="2436"/>
            <w:vAlign w:val="top"/>
          </w:tcPr>
          <w:p>
            <w:r>
              <w:t>tbl_asset_object, tbl_geocode_object</w:t>
            </w:r>
          </w:p>
        </w:tc>
        <w:tc>
          <w:tcPr>
            <w:tcW w:type="dxa" w:w="2436"/>
            <w:vAlign w:val="top"/>
          </w:tcPr>
          <w:p>
            <w:r>
              <w:t>tbl_stacked/ (conjunto particionado)</w:t>
            </w:r>
          </w:p>
        </w:tc>
        <w:tc>
          <w:tcPr>
            <w:tcW w:type="dxa" w:w="2436"/>
            <w:vAlign w:val="top"/>
          </w:tcPr>
          <w:p>
            <w:r>
              <w:t>minutos a horas; a fase mais pesada</w:t>
            </w:r>
          </w:p>
        </w:tc>
      </w:tr>
      <w:tr>
        <w:tc>
          <w:tcPr>
            <w:tcW w:type="dxa" w:w="2436"/>
            <w:vAlign w:val="top"/>
          </w:tcPr>
          <w:p>
            <w:r>
              <w:t>Flatten</w:t>
            </w:r>
          </w:p>
        </w:tc>
        <w:tc>
          <w:tcPr>
            <w:tcW w:type="dxa" w:w="2436"/>
            <w:vAlign w:val="top"/>
          </w:tcPr>
          <w:p>
            <w:r>
              <w:t>tbl_stacked, pesos de sensibilidade/índice em config.ini</w:t>
            </w:r>
          </w:p>
        </w:tc>
        <w:tc>
          <w:tcPr>
            <w:tcW w:type="dxa" w:w="2436"/>
            <w:vAlign w:val="top"/>
          </w:tcPr>
          <w:p>
            <w:r>
              <w:t>tbl_flat.parquet</w:t>
            </w:r>
          </w:p>
        </w:tc>
        <w:tc>
          <w:tcPr>
            <w:tcW w:type="dxa" w:w="2436"/>
            <w:vAlign w:val="top"/>
          </w:tcPr>
          <w:p>
            <w:r>
              <w:t>segundos a minutos; escala com o tamanho de tbl_stacked</w:t>
            </w:r>
          </w:p>
        </w:tc>
      </w:tr>
      <w:tr>
        <w:tc>
          <w:tcPr>
            <w:tcW w:type="dxa" w:w="2436"/>
            <w:vAlign w:val="top"/>
          </w:tcPr>
          <w:p>
            <w:r>
              <w:t>Backfill</w:t>
            </w:r>
          </w:p>
        </w:tc>
        <w:tc>
          <w:tcPr>
            <w:tcW w:type="dxa" w:w="2436"/>
            <w:vAlign w:val="top"/>
          </w:tcPr>
          <w:p>
            <w:r>
              <w:t>tbl_flat, tbl_stacked</w:t>
            </w:r>
          </w:p>
        </w:tc>
        <w:tc>
          <w:tcPr>
            <w:tcW w:type="dxa" w:w="2436"/>
            <w:vAlign w:val="top"/>
          </w:tcPr>
          <w:p>
            <w:r>
              <w:t>area_m2 por célula enriquecido em tbl_stacked</w:t>
            </w:r>
          </w:p>
        </w:tc>
        <w:tc>
          <w:tcPr>
            <w:tcW w:type="dxa" w:w="2436"/>
            <w:vAlign w:val="top"/>
          </w:tcPr>
          <w:p>
            <w:r>
              <w:t>minutos; sobretudo merges pandas</w:t>
            </w:r>
          </w:p>
        </w:tc>
      </w:tr>
      <w:tr>
        <w:tc>
          <w:tcPr>
            <w:tcW w:type="dxa" w:w="2436"/>
            <w:vAlign w:val="top"/>
          </w:tcPr>
          <w:p>
            <w:r>
              <w:t>Tiles</w:t>
            </w:r>
          </w:p>
        </w:tc>
        <w:tc>
          <w:tcPr>
            <w:tcW w:type="dxa" w:w="2436"/>
            <w:vAlign w:val="top"/>
          </w:tcPr>
          <w:p>
            <w:r>
              <w:t>tbl_flat</w:t>
            </w:r>
          </w:p>
        </w:tc>
        <w:tc>
          <w:tcPr>
            <w:tcW w:type="dxa" w:w="2436"/>
            <w:vAlign w:val="top"/>
          </w:tcPr>
          <w:p>
            <w:r>
              <w:t>output/mbtiles/*.mbtiles</w:t>
            </w:r>
          </w:p>
        </w:tc>
        <w:tc>
          <w:tcPr>
            <w:tcW w:type="dxa" w:w="2436"/>
            <w:vAlign w:val="top"/>
          </w:tcPr>
          <w:p>
            <w:r>
              <w:t>minutos; depende do intervalo de zoom e da extensão</w:t>
            </w:r>
          </w:p>
        </w:tc>
      </w:tr>
      <w:tr>
        <w:tc>
          <w:tcPr>
            <w:tcW w:type="dxa" w:w="2436"/>
            <w:vAlign w:val="top"/>
          </w:tcPr>
          <w:p>
            <w:r>
              <w:t>Lines</w:t>
            </w:r>
          </w:p>
        </w:tc>
        <w:tc>
          <w:tcPr>
            <w:tcW w:type="dxa" w:w="2436"/>
            <w:vAlign w:val="top"/>
          </w:tcPr>
          <w:p>
            <w:r>
              <w:t>linhas de entrada, tbl_flat</w:t>
            </w:r>
          </w:p>
        </w:tc>
        <w:tc>
          <w:tcPr>
            <w:tcW w:type="dxa" w:w="2436"/>
            <w:vAlign w:val="top"/>
          </w:tcPr>
          <w:p>
            <w:r>
              <w:t>tbl_lines_buffered, tbl_segments, tbl_segment_flat</w:t>
            </w:r>
          </w:p>
        </w:tc>
        <w:tc>
          <w:tcPr>
            <w:tcW w:type="dxa" w:w="2436"/>
            <w:vAlign w:val="top"/>
          </w:tcPr>
          <w:p>
            <w:r>
              <w:t>segundos a minutos</w:t>
            </w:r>
          </w:p>
        </w:tc>
      </w:tr>
      <w:tr>
        <w:tc>
          <w:tcPr>
            <w:tcW w:type="dxa" w:w="2436"/>
            <w:vAlign w:val="top"/>
          </w:tcPr>
          <w:p>
            <w:r>
              <w:t>Analysis</w:t>
            </w:r>
          </w:p>
        </w:tc>
        <w:tc>
          <w:tcPr>
            <w:tcW w:type="dxa" w:w="2436"/>
            <w:vAlign w:val="top"/>
          </w:tcPr>
          <w:p>
            <w:r>
              <w:t>tbl_flat, tbl_stacked, polígonos de análise</w:t>
            </w:r>
          </w:p>
        </w:tc>
        <w:tc>
          <w:tcPr>
            <w:tcW w:type="dxa" w:w="2436"/>
            <w:vAlign w:val="top"/>
          </w:tcPr>
          <w:p>
            <w:r>
              <w:t>tabelas tbl_analysis_* e resumos JSON</w:t>
            </w:r>
          </w:p>
        </w:tc>
        <w:tc>
          <w:tcPr>
            <w:tcW w:type="dxa" w:w="2436"/>
            <w:vAlign w:val="top"/>
          </w:tcPr>
          <w:p>
            <w:r>
              <w:t>segundos por área de estudo</w:t>
            </w:r>
          </w:p>
        </w:tc>
      </w:tr>
    </w:tbl>
    <w:p/>
    <w:p>
      <w:r>
        <w:t>A caixa de selecção de uma fase fica desactivada quando o seu input obrigatório está em falta no disco. É essa a rede de segurança — o executor recusa-se a correr Tiles sem tbl_flat, recusa-se a correr Backfill sem tbl_stacked, e assim por diante.</w:t>
      </w:r>
    </w:p>
    <w:p>
      <w:pPr>
        <w:pStyle w:val="Heading2"/>
      </w:pPr>
      <w:r>
        <w:t>10.2.2 Receituário: o que mudou → que fase reexecutar</w:t>
      </w:r>
    </w:p>
    <w:p>
      <w:r>
        <w:t>A primeira coluna lista o parâmetro ou entrada que alterou; a segunda lista o conjunto mínimo de fases que precisa de seleccionar no modo Avançado. 'Mais a jusante' refere-se a qualquer fase posterior cujo resultado ainda queira actualizar (mapa de Tiles, relatório de Análise, etc.).</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Se alterou…</w:t>
            </w:r>
          </w:p>
        </w:tc>
        <w:tc>
          <w:tcPr>
            <w:tcW w:type="dxa" w:w="3249"/>
            <w:shd w:val="clear" w:color="auto" w:fill="1F3A5F"/>
          </w:tcPr>
          <w:p>
            <w:r>
              <w:rPr>
                <w:color w:val="FFFFFF"/>
              </w:rPr>
            </w:r>
            <w:r>
              <w:rPr>
                <w:b/>
                <w:color w:val="FFFFFF"/>
              </w:rPr>
              <w:t>Reexecute a partir de…</w:t>
            </w:r>
          </w:p>
        </w:tc>
        <w:tc>
          <w:tcPr>
            <w:tcW w:type="dxa" w:w="3249"/>
            <w:shd w:val="clear" w:color="auto" w:fill="1F3A5F"/>
          </w:tcPr>
          <w:p>
            <w:r>
              <w:rPr>
                <w:color w:val="FFFFFF"/>
              </w:rPr>
            </w:r>
            <w:r>
              <w:rPr>
                <w:b/>
                <w:color w:val="FFFFFF"/>
              </w:rPr>
              <w:t>Notas</w:t>
            </w:r>
          </w:p>
        </w:tc>
      </w:tr>
      <w:tr>
        <w:tc>
          <w:tcPr>
            <w:tcW w:type="dxa" w:w="3249"/>
            <w:vAlign w:val="top"/>
          </w:tcPr>
          <w:p>
            <w:r>
              <w:t>Pesos de sensibilidade, pesos de importância, pesos de índice (auxiliar Parâmetros)</w:t>
            </w:r>
          </w:p>
        </w:tc>
        <w:tc>
          <w:tcPr>
            <w:tcW w:type="dxa" w:w="3249"/>
            <w:vAlign w:val="top"/>
          </w:tcPr>
          <w:p>
            <w:r>
              <w:t>Flatten + Backfill (mais Tiles / Análise)</w:t>
            </w:r>
          </w:p>
        </w:tc>
        <w:tc>
          <w:tcPr>
            <w:tcW w:type="dxa" w:w="3249"/>
            <w:vAlign w:val="top"/>
          </w:tcPr>
          <w:p>
            <w:r>
              <w:t>O resultado de Intersect não muda; apenas tbl_flat é recalculado. O ciclo de iteração mais barato.</w:t>
            </w:r>
          </w:p>
        </w:tc>
      </w:tr>
      <w:tr>
        <w:tc>
          <w:tcPr>
            <w:tcW w:type="dxa" w:w="3249"/>
            <w:vAlign w:val="top"/>
          </w:tcPr>
          <w:p>
            <w:r>
              <w:t>Limpeza de fragmentos (flatten_sliver_min_area_m2, caixa de selecção no executor)</w:t>
            </w:r>
          </w:p>
        </w:tc>
        <w:tc>
          <w:tcPr>
            <w:tcW w:type="dxa" w:w="3249"/>
            <w:vAlign w:val="top"/>
          </w:tcPr>
          <w:p>
            <w:r>
              <w:t>Flatten + Backfill (mais Tiles / Análise)</w:t>
            </w:r>
          </w:p>
        </w:tc>
        <w:tc>
          <w:tcPr>
            <w:tcW w:type="dxa" w:w="3249"/>
            <w:vAlign w:val="top"/>
          </w:tcPr>
          <w:p>
            <w:r>
              <w:t>A remoção de fragmentos faz parte do flatten.</w:t>
            </w:r>
          </w:p>
        </w:tc>
      </w:tr>
      <w:tr>
        <w:tc>
          <w:tcPr>
            <w:tcW w:type="dxa" w:w="3249"/>
            <w:vAlign w:val="top"/>
          </w:tcPr>
          <w:p>
            <w:r>
              <w:t>tiles_minzoom / tiles_maxzoom</w:t>
            </w:r>
          </w:p>
        </w:tc>
        <w:tc>
          <w:tcPr>
            <w:tcW w:type="dxa" w:w="3249"/>
            <w:vAlign w:val="top"/>
          </w:tcPr>
          <w:p>
            <w:r>
              <w:t>Apenas Tiles</w:t>
            </w:r>
          </w:p>
        </w:tc>
        <w:tc>
          <w:tcPr>
            <w:tcW w:type="dxa" w:w="3249"/>
            <w:vAlign w:val="top"/>
          </w:tcPr>
          <w:p>
            <w:r>
              <w:t>tbl_flat não muda; apenas os MBTiles são regenerados.</w:t>
            </w:r>
          </w:p>
        </w:tc>
      </w:tr>
      <w:tr>
        <w:tc>
          <w:tcPr>
            <w:tcW w:type="dxa" w:w="3249"/>
            <w:vAlign w:val="top"/>
          </w:tcPr>
          <w:p>
            <w:r>
              <w:t>Parâmetros de buffer / segmentação de linhas, edições de geometria</w:t>
            </w:r>
          </w:p>
        </w:tc>
        <w:tc>
          <w:tcPr>
            <w:tcW w:type="dxa" w:w="3249"/>
            <w:vAlign w:val="top"/>
          </w:tcPr>
          <w:p>
            <w:r>
              <w:t>Apenas Lines</w:t>
            </w:r>
          </w:p>
        </w:tc>
        <w:tc>
          <w:tcPr>
            <w:tcW w:type="dxa" w:w="3249"/>
            <w:vAlign w:val="top"/>
          </w:tcPr>
          <w:p>
            <w:r>
              <w:t>Os resultados de linhas são independentes do pipeline de geocódigos.</w:t>
            </w:r>
          </w:p>
        </w:tc>
      </w:tr>
      <w:tr>
        <w:tc>
          <w:tcPr>
            <w:tcW w:type="dxa" w:w="3249"/>
            <w:vAlign w:val="top"/>
          </w:tcPr>
          <w:p>
            <w:r>
              <w:t>Polígonos / definições de áreas de estudo</w:t>
            </w:r>
          </w:p>
        </w:tc>
        <w:tc>
          <w:tcPr>
            <w:tcW w:type="dxa" w:w="3249"/>
            <w:vAlign w:val="top"/>
          </w:tcPr>
          <w:p>
            <w:r>
              <w:t>Apenas Analysis</w:t>
            </w:r>
          </w:p>
        </w:tc>
        <w:tc>
          <w:tcPr>
            <w:tcW w:type="dxa" w:w="3249"/>
            <w:vAlign w:val="top"/>
          </w:tcPr>
          <w:p>
            <w:r>
              <w:t>Lê o tbl_flat e o tbl_stacked existentes.</w:t>
            </w:r>
          </w:p>
        </w:tc>
      </w:tr>
      <w:tr>
        <w:tc>
          <w:tcPr>
            <w:tcW w:type="dxa" w:w="3249"/>
            <w:vAlign w:val="top"/>
          </w:tcPr>
          <w:p>
            <w:r>
              <w:t>cell_size, chunk_size, geocode_soft_limit, asset_soft_limit</w:t>
            </w:r>
          </w:p>
        </w:tc>
        <w:tc>
          <w:tcPr>
            <w:tcW w:type="dxa" w:w="3249"/>
            <w:vAlign w:val="top"/>
          </w:tcPr>
          <w:p>
            <w:r>
              <w:t>Intersect + Flatten + Backfill (mais a jusante)</w:t>
            </w:r>
          </w:p>
        </w:tc>
        <w:tc>
          <w:tcPr>
            <w:tcW w:type="dxa" w:w="3249"/>
            <w:vAlign w:val="top"/>
          </w:tcPr>
          <w:p>
            <w:r>
              <w:t>Estes parâmetros moldam o próprio tbl_stacked.</w:t>
            </w:r>
          </w:p>
        </w:tc>
      </w:tr>
      <w:tr>
        <w:tc>
          <w:tcPr>
            <w:tcW w:type="dxa" w:w="3249"/>
            <w:vAlign w:val="top"/>
          </w:tcPr>
          <w:p>
            <w:r>
              <w:t>Adicionou uma nova resolução H3 ou um novo grupo de geocódigos personalizado</w:t>
            </w:r>
          </w:p>
        </w:tc>
        <w:tc>
          <w:tcPr>
            <w:tcW w:type="dxa" w:w="3249"/>
            <w:vAlign w:val="top"/>
          </w:tcPr>
          <w:p>
            <w:r>
              <w:t>Intersect + Flatten + Backfill (mais a jusante)</w:t>
            </w:r>
          </w:p>
        </w:tc>
        <w:tc>
          <w:tcPr>
            <w:tcW w:type="dxa" w:w="3249"/>
            <w:vAlign w:val="top"/>
          </w:tcPr>
          <w:p>
            <w:r>
              <w:t>Aparecem novos identificadores de geocódigo em tbl_stacked, pelo que flatten e tudo o que se segue tem de reexecutar.</w:t>
            </w:r>
          </w:p>
        </w:tc>
      </w:tr>
      <w:tr>
        <w:tc>
          <w:tcPr>
            <w:tcW w:type="dxa" w:w="3249"/>
            <w:vAlign w:val="top"/>
          </w:tcPr>
          <w:p>
            <w:r>
              <w:t>Reimportou activos (Fluxos de trabalho → Preparar dados → Activos)</w:t>
            </w:r>
          </w:p>
        </w:tc>
        <w:tc>
          <w:tcPr>
            <w:tcW w:type="dxa" w:w="3249"/>
            <w:vAlign w:val="top"/>
          </w:tcPr>
          <w:p>
            <w:r>
              <w:t>Intersect + Flatten + Backfill (mais a jusante)</w:t>
            </w:r>
          </w:p>
        </w:tc>
        <w:tc>
          <w:tcPr>
            <w:tcW w:type="dxa" w:w="3249"/>
            <w:vAlign w:val="top"/>
          </w:tcPr>
          <w:p>
            <w:r>
              <w:t>Novas linhas de activos em tbl_asset_object invalidam a intersecção existente.</w:t>
            </w:r>
          </w:p>
        </w:tc>
      </w:tr>
      <w:tr>
        <w:tc>
          <w:tcPr>
            <w:tcW w:type="dxa" w:w="3249"/>
            <w:vAlign w:val="top"/>
          </w:tcPr>
          <w:p>
            <w:r>
              <w:t>Reimportou ou regenerou geocódigos</w:t>
            </w:r>
          </w:p>
        </w:tc>
        <w:tc>
          <w:tcPr>
            <w:tcW w:type="dxa" w:w="3249"/>
            <w:vAlign w:val="top"/>
          </w:tcPr>
          <w:p>
            <w:r>
              <w:t>Intersect + Flatten + Backfill (mais a jusante)</w:t>
            </w:r>
          </w:p>
        </w:tc>
        <w:tc>
          <w:tcPr>
            <w:tcW w:type="dxa" w:w="3249"/>
            <w:vAlign w:val="top"/>
          </w:tcPr>
          <w:p>
            <w:r>
              <w:t>Pela mesma razão — tbl_geocode_object mudou.</w:t>
            </w:r>
          </w:p>
        </w:tc>
      </w:tr>
      <w:tr>
        <w:tc>
          <w:tcPr>
            <w:tcW w:type="dxa" w:w="3249"/>
            <w:vAlign w:val="top"/>
          </w:tcPr>
          <w:p>
            <w:r>
              <w:t>Afinação do mosaico (mosaic_coverage_union_batch, mosaic_line_union_max_partials, mosaic_coverage_union)</w:t>
            </w:r>
          </w:p>
        </w:tc>
        <w:tc>
          <w:tcPr>
            <w:tcW w:type="dxa" w:w="3249"/>
            <w:vAlign w:val="top"/>
          </w:tcPr>
          <w:p>
            <w:r>
              <w:t>Republicar basic_mosaic em Geocodes, depois Intersect + Flatten + Backfill (mais a jusante)</w:t>
            </w:r>
          </w:p>
        </w:tc>
        <w:tc>
          <w:tcPr>
            <w:tcW w:type="dxa" w:w="3249"/>
            <w:vAlign w:val="top"/>
          </w:tcPr>
          <w:p>
            <w:r>
              <w:t>Estes parâmetros afinam a construção do mosaico. O mosaico é um grupo de geocódigos, pelo que as alterações se propagam a partir do intersect.</w:t>
            </w:r>
          </w:p>
        </w:tc>
      </w:tr>
      <w:tr>
        <w:tc>
          <w:tcPr>
            <w:tcW w:type="dxa" w:w="3249"/>
            <w:vAlign w:val="top"/>
          </w:tcPr>
          <w:p>
            <w:r>
              <w:t>Número de processos de trabalho (max_workers, flatten_*_workers, tiles_max_workers, backfill_max_workers)</w:t>
            </w:r>
          </w:p>
        </w:tc>
        <w:tc>
          <w:tcPr>
            <w:tcW w:type="dxa" w:w="3249"/>
            <w:vAlign w:val="top"/>
          </w:tcPr>
          <w:p>
            <w:r>
              <w:t>A fase seguinte que pretender executar</w:t>
            </w:r>
          </w:p>
        </w:tc>
        <w:tc>
          <w:tcPr>
            <w:tcW w:type="dxa" w:w="3249"/>
            <w:vAlign w:val="top"/>
          </w:tcPr>
          <w:p>
            <w:r>
              <w:t>Não alteram resultados, apenas como a próxima execução decorre. Sobrescreva o que precisa e reexecute a fase afectada.</w:t>
            </w:r>
          </w:p>
        </w:tc>
      </w:tr>
      <w:tr>
        <w:tc>
          <w:tcPr>
            <w:tcW w:type="dxa" w:w="3249"/>
            <w:vAlign w:val="top"/>
          </w:tcPr>
          <w:p>
            <w:r>
              <w:t>report_basemap_mode, esquema / estilo do relatório</w:t>
            </w:r>
          </w:p>
        </w:tc>
        <w:tc>
          <w:tcPr>
            <w:tcW w:type="dxa" w:w="3249"/>
            <w:vAlign w:val="top"/>
          </w:tcPr>
          <w:p>
            <w:r>
              <w:t>Reexecutar o Motor de relatórios (Fluxos de trabalho → Resultados)</w:t>
            </w:r>
          </w:p>
        </w:tc>
        <w:tc>
          <w:tcPr>
            <w:tcW w:type="dxa" w:w="3249"/>
            <w:vAlign w:val="top"/>
          </w:tcPr>
          <w:p>
            <w:r>
              <w:t>Os relatórios lêem o parquet / MBTiles existentes. As fases de processamento não precisam de reexecutar.</w:t>
            </w:r>
          </w:p>
        </w:tc>
      </w:tr>
    </w:tbl>
    <w:p/>
    <w:p>
      <w:pPr>
        <w:pStyle w:val="Heading2"/>
      </w:pPr>
      <w:r>
        <w:t>10.2.3 Sugestões práticas</w:t>
      </w:r>
    </w:p>
    <w:p>
      <w:pPr>
        <w:pStyle w:val="ListBullet"/>
      </w:pPr>
      <w:r>
        <w:t>Leia o bloco [auto-tune] no topo de cada registo de execução para confirmar que o executor escolheu o número de processos esperado. Se acabou de definir flatten_max_workers = 4 em config.ini mas o registo mostra flatten_max_workers = 1, o auto-tune foi limitado pela RAM disponível — feche outras aplicações ou aumente mem_target_frac e volte a executar.</w:t>
      </w:r>
    </w:p>
    <w:p>
      <w:pPr>
        <w:pStyle w:val="ListBullet"/>
      </w:pPr>
      <w:r>
        <w:t>A verificação prévia no início de Flatten avalia tanto a utilização global de RAM como uma estimativa do pico que tem em conta o tamanho dos dados (ver 10.4 Redes de segurança de memória). Permite passar conjuntos pequenos em computadores ocupados; se alguma vez bloquear incorrectamente, a mensagem de aborto identifica os dois parâmetros do operador a relaxar.</w:t>
      </w:r>
    </w:p>
    <w:p>
      <w:pPr>
        <w:pStyle w:val="ListBullet"/>
      </w:pPr>
      <w:r>
        <w:t>Utilize Gerir dados → Criar cópia de segurança antes de explorações de parâmetros. Reverter é um clique; descobrir três iterações depois o que mudou não.</w:t>
      </w:r>
    </w:p>
    <w:p>
      <w:pPr>
        <w:pStyle w:val="ListBullet"/>
      </w:pPr>
      <w:r>
        <w:t>A aba Estado mostra as contagens de linhas de tbl_stacked e tbl_flat. Se seleccionar apenas 'Flatten' e reexecutar, observe a variação na contagem de tbl_flat; tbl_stacked deve permanecer igual.</w:t>
      </w:r>
    </w:p>
    <w:p>
      <w:pPr>
        <w:pStyle w:val="ListBullet"/>
      </w:pPr>
      <w:r>
        <w:t>Para explorações puras de parâmetros (apenas pesos de sensibilidade/índice), seleccione apenas Flatten + Backfill. Tiles e Analysis podem esperar até ter um conjunto de parâmetros que valha a pena renderizar.</w:t>
      </w:r>
    </w:p>
    <w:p>
      <w:pPr>
        <w:pStyle w:val="Heading2"/>
      </w:pPr>
      <w:r>
        <w:t>10.3 Parâmetros de desempenho (config.ini)</w:t>
      </w:r>
    </w:p>
    <w:p>
      <w:pPr>
        <w:pStyle w:val="ListBullet"/>
      </w:pPr>
      <w:r>
        <w:t>chunk_size — tamanho do bloco de processamento para operações espaciais pesadas.</w:t>
      </w:r>
    </w:p>
    <w:p>
      <w:pPr>
        <w:pStyle w:val="ListBullet"/>
      </w:pPr>
      <w:r>
        <w:t>max_workers, flatten_max_workers, flatten_small_max_workers, tiles_max_workers, backfill_max_workers — limites de processos de trabalho por fase. Deixe a 0 para que o auto_tune decida; defina um inteiro positivo para forçar.</w:t>
      </w:r>
    </w:p>
    <w:p>
      <w:pPr>
        <w:pStyle w:val="ListBullet"/>
      </w:pPr>
      <w:r>
        <w:t>h3_max_cells — protecção para resoluções H3 extremamente finas.</w:t>
      </w:r>
    </w:p>
    <w:p>
      <w:pPr>
        <w:pStyle w:val="ListBullet"/>
      </w:pPr>
      <w:r>
        <w:t>tiles_minzoom / tiles_maxzoom — intervalo de zoom dos MBTiles produzidos.</w:t>
      </w:r>
    </w:p>
    <w:p>
      <w:pPr>
        <w:pStyle w:val="ListBullet"/>
      </w:pPr>
      <w:r>
        <w:t>mem_target_frac / approx_gb_per_worker — alvo de memória para o auto-ajuste.</w:t>
      </w:r>
    </w:p>
    <w:p>
      <w:pPr>
        <w:pStyle w:val="Heading2"/>
      </w:pPr>
      <w:r>
        <w:t>10.4 Redes de segurança de memória</w:t>
      </w:r>
    </w:p>
    <w:p>
      <w:pPr>
        <w:pStyle w:val="ListBullet"/>
      </w:pPr>
      <w:r>
        <w:t>Verificação prévia antes do flatten — avalia dois sinais e aborta apenas quando ambos falham: utilização global de RAM acima de flatten_preflight_max_vm_percent E memória disponível abaixo de flatten_preflight_avail_safety_factor × pico estimado (calculado a partir do tamanho em disco de tbl_stacked e do número de trabalhadores auto-ajustado). O swap acima de flatten_preflight_max_swap_gb continua a ser um sinal forte por si só. Conjuntos de dados pequenos em computadores ocupados passam agora a verificação; conjuntos grandes em computadores com pouca memória continuam a abortar limpamente.</w:t>
      </w:r>
    </w:p>
    <w:p>
      <w:pPr>
        <w:pStyle w:val="ListBullet"/>
      </w:pPr>
      <w:r>
        <w:t>Vigilante de pânico por pool (mem_panic_percent / mem_panic_grace_secs) — se a RAM ultrapassar o limite além do período de tolerância, o pool é encerrado limpamente.</w:t>
      </w:r>
    </w:p>
    <w:p>
      <w:pPr>
        <w:pStyle w:val="ListBullet"/>
      </w:pPr>
      <w:r>
        <w:t>Sentinela do tempo de vida do processo (mem_lifetime_panic_percent / mem_lifetime_panic_grace_secs) — rede de segurança final que cobre o trabalho do processo-pai entre pools.</w:t>
      </w:r>
    </w:p>
    <w:p>
      <w:pPr>
        <w:pStyle w:val="Heading2"/>
      </w:pPr>
      <w:r>
        <w:t>10.5 Lotes de união do mosaico</w:t>
      </w:r>
    </w:p>
    <w:p>
      <w:pPr>
        <w:pStyle w:val="ListBullet"/>
      </w:pPr>
      <w:r>
        <w:t>mosaic_coverage_union_batch — lotes maiores (~2000–4000 em máquinas com 64+ GB) produzem uniões intermédias menores em número e maiores em tamanho.</w:t>
      </w:r>
    </w:p>
    <w:p>
      <w:pPr>
        <w:pStyle w:val="ListBullet"/>
      </w:pPr>
      <w:r>
        <w:t>mosaic_line_union_max_partials — limite mais alto (32–64) reduz o número de rondas de redução.</w:t>
      </w:r>
    </w:p>
    <w:p>
      <w:pPr>
        <w:pStyle w:val="ListBullet"/>
      </w:pPr>
      <w:r>
        <w:t>mosaic_coverage_union = false — saída de emergência que ignora completamente a fase de redução de cobertura e usa filtragem STRtree.</w:t>
      </w:r>
    </w:p>
    <w:p>
      <w:pPr>
        <w:pStyle w:val="Heading2"/>
      </w:pPr>
      <w:r>
        <w:t>10.6 Mapas-base e cache de azulejos</w:t>
      </w:r>
    </w:p>
    <w:p>
      <w:pPr>
        <w:pStyle w:val="ListBullet"/>
      </w:pPr>
      <w:r>
        <w:t>xyz — usa o transferidor incorporado com cache persistente em output/tile_cache/.</w:t>
      </w:r>
    </w:p>
    <w:p>
      <w:pPr>
        <w:pStyle w:val="ListBullet"/>
      </w:pPr>
      <w:r>
        <w:t>contextily — usa contextily se estiver instalado.</w:t>
      </w:r>
    </w:p>
    <w:p>
      <w:pPr>
        <w:pStyle w:val="ListBullet"/>
      </w:pPr>
      <w:r>
        <w:t>auto — prefere contextily, com xyz como recurso.</w:t>
      </w:r>
    </w:p>
    <w:p>
      <w:r>
        <w:t>Custo da primeira execução: a primeira geração de relatório numa nova AOI (ou após a cache ter expirado) tem de descarregar todos os azulejos do mapa-base que o relatório precisa, a partir de tile.openstreetmap.org. Como cada mapa cobre várias centenas de azulejos em vários níveis de zoom, isto pode acrescentar minutos a dezenas de minutos ao tempo de execução, conforme o âmbito do relatório, a velocidade da rede e a resposta do servidor de azulejos do OSM. Execuções subsequentes que toquem a mesma área leem de output/tile_cache/ e são muito mais rápidas. Os azulejos são guardados durante 30 dias (TILE_CACHE_MAX_AGE_DAYS em code/report_generate.py); azulejos mais antigos são novamente transferidos quando voltarem a ser necessários. A cache é indexada por zoom/x/y, pelo que as entradas são reutilizáveis entre atlas e relatórios que cobrem áreas sobrepostas.</w:t>
      </w:r>
    </w:p>
    <w:p>
      <w:pPr>
        <w:pStyle w:val="ListBullet"/>
      </w:pPr>
      <w:r>
        <w:t>Execute o relatório uma vez numa AOI representativa antes de um workshop ou demonstração ao vivo para que a cache esteja preparada.</w:t>
      </w:r>
    </w:p>
    <w:p>
      <w:pPr>
        <w:pStyle w:val="ListBullet"/>
      </w:pPr>
      <w:r>
        <w:t>A cache é portátil: copiar output/tile_cache/ entre máquinas ou projectos que cobrem a mesma área evita totalmente a fase de descarga.</w:t>
      </w:r>
    </w:p>
    <w:p>
      <w:pPr>
        <w:pStyle w:val="ListBullet"/>
      </w:pPr>
      <w:r>
        <w:t>Se gerar relatórios com frequência e a resposta do servidor de azulejos for lenta, prefira uma primeira execução ampla que cubra a extensão final do relatório, em vez de começar com uma área pequena e ir alargando.</w:t>
      </w:r>
    </w:p>
    <w:p>
      <w:pPr>
        <w:pStyle w:val="ListBullet"/>
      </w:pPr>
      <w:r>
        <w:t>Respeite a política de utilização do servidor de azulejos do OpenStreetMap (https://operations.osmfoundation.org/policies/tiles/); a cache local existe parcialmente por essa razão.</w:t>
      </w:r>
    </w:p>
    <w:p>
      <w:r>
        <w:br w:type="page"/>
      </w:r>
    </w:p>
    <w:p>
      <w:pPr>
        <w:pStyle w:val="Heading1"/>
      </w:pPr>
      <w:r>
        <w:t>11. Resolução de problemas</w:t>
      </w:r>
    </w:p>
    <w:p>
      <w:pPr>
        <w:pStyle w:val="Heading2"/>
      </w:pPr>
      <w:r>
        <w:t>11.1 O que conta como lentidão normal</w:t>
      </w:r>
    </w:p>
    <w:p>
      <w:r>
        <w:t>O MESA trabalha com grandes conjuntos de dados geoespaciais e utiliza uma pilha Python (GeoPandas/Shapely/PyProj/Arrow) que pode demorar a carregar. O arranque e a primeira abertura de ferramentas pesadas podem parecer lentos (dezenas de segundos). Após o carregamento, a interface e a interacção com mapas costumam ser ágeis e estáveis. Prefira um SSD e mantenha o espaço de trabalho do MESA num disco local; evite unidades de rede ou pastas muito sincronizadas como OneDrive se o desempenho for fraco.</w:t>
      </w:r>
    </w:p>
    <w:p>
      <w:pPr>
        <w:pStyle w:val="Heading2"/>
      </w:pPr>
      <w:r>
        <w:t>11.2 Mapas: a janela não abre ou abre em branco</w:t>
      </w:r>
    </w:p>
    <w:p>
      <w:r>
        <w:t>Os visualizadores de mapas embutidos do MESA usam pywebview com WebView2 (Edge Chromium). O WebView2 não é o Google Chrome e não depende dele. Verifique em Definições do Windows → Aplicações → Aplicações instaladas se Microsoft Edge WebView2 Runtime está presente. Se faltar, execute totalmente o Windows Update e reinicie, ou instale o WebView2 Runtime Evergreen (ou via 'winget install Microsoft.WebView2Runtime').</w:t>
      </w:r>
    </w:p>
    <w:p>
      <w:r>
        <w:t>Se o mapa abrir mas não mostrar camadas, o mapa de análise usa MBTiles em output/mbtiles/. Se essa pasta estiver vazia, execute Fluxos de trabalho → Processar com Área activada e confirme que existem ficheiros .mbtiles.</w:t>
      </w:r>
    </w:p>
    <w:p>
      <w:r>
        <w:t>Comportamento sem ligação (MESA 5.0.2 e posterior): as janelas de mapa incluem a biblioteca Leaflet localmente, pelo que funcionam mesmo em computadores sem acesso à Internet ou com proxies empresariais que bloqueiem CDN públicos. Quando o WebView indica que o computador está offline, surge uma faixa laranja fina no topo do mapa com o texto 'Offline – showing cached map tiles only. Pan to areas you have viewed online before.' Os azulejos do mapa-base OpenStreetMap continuam a ser servidos a partir da cache local em output/cache/osm_tiles, pelo que áreas previamente vistas com ligação permanecem disponíveis. Áreas nunca visitadas online aparecerão como uma grelha cinzenta até voltar a haver rede; os controlos de edição em si funcionam em ambos os casos.</w:t>
      </w:r>
    </w:p>
    <w:p>
      <w:pPr>
        <w:pStyle w:val="Heading2"/>
      </w:pPr>
      <w:r>
        <w:t>11.3 'Nada acontece' ao clicar num botão de mapa</w:t>
      </w:r>
    </w:p>
    <w:p>
      <w:r>
        <w:t>Na aplicação empacotada, alguns auxiliares são lançados no mesmo processo e outros como processos separados a partir de tools/. Abra a PowerShell na pasta do MESA e execute o auxiliar autónomo directamente para ver os erros: tools\map_overview.exe, tools\asset_map_view.exe, tools\analysis_setup.exe, tools\line_manage.exe, tools\tiles_create_raster.exe.</w:t>
      </w:r>
    </w:p>
    <w:p>
      <w:pPr>
        <w:pStyle w:val="Heading2"/>
      </w:pPr>
      <w:r>
        <w:t>11.4 Armadilhas comuns na instalação Windows</w:t>
      </w:r>
    </w:p>
    <w:p>
      <w:pPr>
        <w:pStyle w:val="ListBullet"/>
      </w:pPr>
      <w:r>
        <w:t>Executar a partir de uma pasta protegida (p. ex. C:\Program Files) pode impedir o MESA de escrever em output/ e nos registos. Prefira uma pasta de espaço de trabalho com permissão de escrita do utilizador.</w:t>
      </w:r>
    </w:p>
    <w:p>
      <w:pPr>
        <w:pStyle w:val="ListBullet"/>
      </w:pPr>
      <w:r>
        <w:t>Descompactar versões 'parciais' — mantenha a estrutura de pastas entregue (input/, output/, tools/, system_resources/, qgis/, config.ini).</w:t>
      </w:r>
    </w:p>
    <w:p>
      <w:pPr>
        <w:pStyle w:val="ListBullet"/>
      </w:pPr>
      <w:r>
        <w:t>Em instalações Windows novas, os mapas podem falhar até que todas as actualizações Windows e runtimes (incluindo WebView2) estejam instalados.</w:t>
      </w:r>
    </w:p>
    <w:p>
      <w:pPr>
        <w:pStyle w:val="Heading2"/>
      </w:pPr>
      <w:r>
        <w:t>11.5 O processamento aborta no flatten com PRE-FLIGHT ABORT</w:t>
      </w:r>
    </w:p>
    <w:p>
      <w:r>
        <w:t>A fase flatten recusa-se a iniciar se o computador já estiver sob demasiada pressão de memória para terminar com segurança. A partir do MESA 5.0.2, a verificação avalia dois sinais em conjunto — utilização global de RAM E uma estimativa de margem que considera o tamanho do conjunto de dados — e só aborta quando ambos falham. O resíduo de swap continua a ser um sinal independente. A linha de registo identifica o critério que disparou, por exemplo 'vm.percent 78.4% &gt; 60% AND avail 6.2 GB &lt; 1.25 × est_peak 8.0 GB = 10.0 GB' ou 'swap_used 7.3 GB &gt; 5.0 GB'. Feche outras aplicações pesadas, aguarde um minuto para o swap baixar, reinicie o iniciador MESA e volte a executar Processar. Se o pre-flight continuar a disparar num computador com bastante RAM livre, aumente flatten_preflight_avail_safety_factor (predefinição 1.25) ou flatten_preflight_max_vm_percent (predefinição 60) em config.ini; a própria mensagem de aborto refere os dois parâmetros.</w:t>
      </w:r>
    </w:p>
    <w:p>
      <w:pPr>
        <w:pStyle w:val="Heading2"/>
      </w:pPr>
      <w:r>
        <w:t>11.6 'Reducing coverage' parece encravado</w:t>
      </w:r>
    </w:p>
    <w:p>
      <w:r>
        <w:t>A fase de redução de cobertura do basic_mosaic executa uniões GEOS num único thread. Em projectos maiores pode demorar horas, e o heartbeat fica em silêncio durante uma única chamada de união muito grande. Confirme no Gestor de Tarefas que o processo está vivo (CPU em ~85% num único núcleo significa que está a processar, não bloqueado). Para melhorias de longo prazo, execute Afinação do processamento → Avaliar → Confirmar alterações — os valores aconselhados para mosaic_coverage_union_batch e mosaic_line_union_max_partials escalam com o nível de RAM do computador e reduzem drasticamente o número de rondas. Para um conjunto de dados extremo, defina mosaic_coverage_union = false em config.ini para ignorar completamente a fase de redução de cobertura.</w:t>
      </w:r>
    </w:p>
    <w:p>
      <w:pPr>
        <w:pStyle w:val="Heading2"/>
      </w:pPr>
      <w:r>
        <w:t>11.7 Ainda com problemas?</w:t>
      </w:r>
    </w:p>
    <w:p>
      <w:r>
        <w:t>Ao reportar um problema, inclua: versão do Windows (Home/Pro + build); se executa empacotado ou a partir do código-fonte; se o Microsoft Edge WebView2 Runtime está instalado; se output/mbtiles contém ficheiros .mbtiles; as linhas mais recentes de log.txt na pasta MESA.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