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A7DB" w14:textId="77777777" w:rsidR="00DE0A58" w:rsidRDefault="00000000" w:rsidP="00501AB8">
      <w:pPr>
        <w:pStyle w:val="Title"/>
        <w:spacing w:after="60"/>
      </w:pPr>
      <w:r>
        <w:t>CLM Suite — End-to-End Test Script</w:t>
      </w:r>
    </w:p>
    <w:p w14:paraId="50F049BC" w14:textId="77777777" w:rsidR="00DE0A58" w:rsidRDefault="00000000" w:rsidP="00501AB8">
      <w:pPr>
        <w:spacing w:after="60"/>
      </w:pPr>
      <w:r>
        <w:rPr>
          <w:i/>
          <w:iCs/>
          <w:color w:val="555555"/>
          <w:sz w:val="24"/>
          <w:szCs w:val="24"/>
        </w:rPr>
        <w:t>Manual verification, including confidentiality — v2.4.0+</w:t>
      </w:r>
    </w:p>
    <w:p w14:paraId="2D498E96" w14:textId="77777777" w:rsidR="00DE0A58" w:rsidRDefault="00000000" w:rsidP="00501AB8">
      <w:pPr>
        <w:spacing w:after="60"/>
      </w:pPr>
      <w:r>
        <w:t>This mirrors the automated regression tests already run during development, written as a manual click-through so you can independently verify the app before relying on it for real contract management. Tick each box as you go. Part 0 (Confidentiality) should be run first and treated as a hard gate — do not proceed to real confidential document testing until it passes in full.</w:t>
      </w:r>
    </w:p>
    <w:p w14:paraId="79EFC96F" w14:textId="77777777" w:rsidR="00DE0A58" w:rsidRDefault="00000000" w:rsidP="00501AB8">
      <w:pPr>
        <w:pStyle w:val="Heading1"/>
        <w:spacing w:after="60"/>
      </w:pPr>
      <w:r>
        <w:t>Part 0 — Confidentiality verification (run this FIRST, treat as a hard gate)</w:t>
      </w:r>
    </w:p>
    <w:p w14:paraId="7F0FA952" w14:textId="77777777" w:rsidR="00DE0A58" w:rsidRDefault="00000000" w:rsidP="00501AB8">
      <w:pPr>
        <w:spacing w:after="60"/>
      </w:pPr>
      <w:r>
        <w:t xml:space="preserve">Before testing with any real confidential document, open your browser's Developer Tools and go to the Network tab (F12, or right-click, then </w:t>
      </w:r>
      <w:proofErr w:type="gramStart"/>
      <w:r>
        <w:t>Inspect</w:t>
      </w:r>
      <w:proofErr w:type="gramEnd"/>
      <w:r>
        <w:t>, then Network). Keep it open and watching throughout this section.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200"/>
        <w:gridCol w:w="1300"/>
      </w:tblGrid>
      <w:tr w:rsidR="00DE0A58" w14:paraId="76269E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8B1A1A"/>
          </w:tcPr>
          <w:p w14:paraId="16DFB4B0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8B1A1A"/>
          </w:tcPr>
          <w:p w14:paraId="1F238E32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200" w:type="dxa"/>
            <w:shd w:val="clear" w:color="auto" w:fill="8B1A1A"/>
          </w:tcPr>
          <w:p w14:paraId="3212C7DE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300" w:type="dxa"/>
            <w:shd w:val="clear" w:color="auto" w:fill="8B1A1A"/>
          </w:tcPr>
          <w:p w14:paraId="158A4FDD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Pass?</w:t>
            </w:r>
          </w:p>
        </w:tc>
      </w:tr>
      <w:tr w:rsidR="00DE0A58" w14:paraId="3B9180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294326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200" w:type="dxa"/>
          </w:tcPr>
          <w:p w14:paraId="4A5ECDC5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In Settings, select 'Sandbox' as the Primary AI mode.</w:t>
            </w:r>
          </w:p>
        </w:tc>
        <w:tc>
          <w:tcPr>
            <w:tcW w:w="4200" w:type="dxa"/>
          </w:tcPr>
          <w:p w14:paraId="3208E06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Sandbox is confirmed selected.</w:t>
            </w:r>
          </w:p>
        </w:tc>
        <w:tc>
          <w:tcPr>
            <w:tcW w:w="1300" w:type="dxa"/>
          </w:tcPr>
          <w:p w14:paraId="1996719E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6AFF4C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8083B5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200" w:type="dxa"/>
          </w:tcPr>
          <w:p w14:paraId="4ED8D81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Go to Tiering. Confirm the screen shows a green/lock indicator confirming Sandbox mode.</w:t>
            </w:r>
          </w:p>
        </w:tc>
        <w:tc>
          <w:tcPr>
            <w:tcW w:w="4200" w:type="dxa"/>
          </w:tcPr>
          <w:p w14:paraId="6FE6A44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 visible lock-style badge stating nothing leaves your browser is shown - not just a dropdown value.</w:t>
            </w:r>
          </w:p>
        </w:tc>
        <w:tc>
          <w:tcPr>
            <w:tcW w:w="1300" w:type="dxa"/>
          </w:tcPr>
          <w:p w14:paraId="7E38FAE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7B4119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F2EAA4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4200" w:type="dxa"/>
          </w:tcPr>
          <w:p w14:paraId="1C47164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With Network tab open and cleared, upload a test document (non-sensitive test file) via 'Upload &amp; </w:t>
            </w:r>
            <w:proofErr w:type="spellStart"/>
            <w:r>
              <w:rPr>
                <w:color w:val="000000"/>
                <w:sz w:val="19"/>
                <w:szCs w:val="19"/>
              </w:rPr>
              <w:t>Analyze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Contract'.</w:t>
            </w:r>
          </w:p>
        </w:tc>
        <w:tc>
          <w:tcPr>
            <w:tcW w:w="4200" w:type="dxa"/>
          </w:tcPr>
          <w:p w14:paraId="6E2E42E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Document parses and a tier/obligation result appears using local heuristics.</w:t>
            </w:r>
          </w:p>
        </w:tc>
        <w:tc>
          <w:tcPr>
            <w:tcW w:w="1300" w:type="dxa"/>
          </w:tcPr>
          <w:p w14:paraId="7FC9C96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5BE063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B8BEC3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4200" w:type="dxa"/>
          </w:tcPr>
          <w:p w14:paraId="11F1DB77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Inspect the Network tab for the entire upload/analysis process.</w:t>
            </w:r>
          </w:p>
        </w:tc>
        <w:tc>
          <w:tcPr>
            <w:tcW w:w="4200" w:type="dxa"/>
          </w:tcPr>
          <w:p w14:paraId="067D23C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ZERO requests to generativelanguage.googleapis.com (or any Gemini/Google AI host) appear. Critical check - do not proceed past this step until confirmed.</w:t>
            </w:r>
          </w:p>
        </w:tc>
        <w:tc>
          <w:tcPr>
            <w:tcW w:w="1300" w:type="dxa"/>
          </w:tcPr>
          <w:p w14:paraId="09D2179C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08DFBA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A518AC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4200" w:type="dxa"/>
          </w:tcPr>
          <w:p w14:paraId="3545EEE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In Settings, switch Primary mode to 'Gemini' (enter a key if required).</w:t>
            </w:r>
          </w:p>
        </w:tc>
        <w:tc>
          <w:tcPr>
            <w:tcW w:w="4200" w:type="dxa"/>
          </w:tcPr>
          <w:p w14:paraId="56E9E782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Mode is now Gemini.</w:t>
            </w:r>
          </w:p>
        </w:tc>
        <w:tc>
          <w:tcPr>
            <w:tcW w:w="1300" w:type="dxa"/>
          </w:tcPr>
          <w:p w14:paraId="666341C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33445D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A10EAB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4200" w:type="dxa"/>
          </w:tcPr>
          <w:p w14:paraId="4608F89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Return to Tiering.</w:t>
            </w:r>
          </w:p>
        </w:tc>
        <w:tc>
          <w:tcPr>
            <w:tcW w:w="4200" w:type="dxa"/>
          </w:tcPr>
          <w:p w14:paraId="6135CD1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An amber warning badge now appears, stating document review sends content to Gemini's API - distinct from the Sandbox badge.</w:t>
            </w:r>
          </w:p>
        </w:tc>
        <w:tc>
          <w:tcPr>
            <w:tcW w:w="1300" w:type="dxa"/>
          </w:tcPr>
          <w:p w14:paraId="6808C397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1F4D57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0C2370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4200" w:type="dxa"/>
          </w:tcPr>
          <w:p w14:paraId="15C60C7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 document again with Gemini mode active and a key stored.</w:t>
            </w:r>
          </w:p>
        </w:tc>
        <w:tc>
          <w:tcPr>
            <w:tcW w:w="4200" w:type="dxa"/>
          </w:tcPr>
          <w:p w14:paraId="69D913E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 blocking confirmation dialog appears BEFORE any network call, explicitly naming Gemini as the destination.</w:t>
            </w:r>
          </w:p>
        </w:tc>
        <w:tc>
          <w:tcPr>
            <w:tcW w:w="1300" w:type="dxa"/>
          </w:tcPr>
          <w:p w14:paraId="47DDB3F3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75A8C2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5137AE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4200" w:type="dxa"/>
          </w:tcPr>
          <w:p w14:paraId="075DDBF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Click Cancel/decline on that dialog.</w:t>
            </w:r>
          </w:p>
        </w:tc>
        <w:tc>
          <w:tcPr>
            <w:tcW w:w="4200" w:type="dxa"/>
          </w:tcPr>
          <w:p w14:paraId="36CB43B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 network request fires (check Network tab), no active contract is set, nothing is analysed.</w:t>
            </w:r>
          </w:p>
        </w:tc>
        <w:tc>
          <w:tcPr>
            <w:tcW w:w="1300" w:type="dxa"/>
          </w:tcPr>
          <w:p w14:paraId="2EF12F1A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6F3482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6422717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4200" w:type="dxa"/>
          </w:tcPr>
          <w:p w14:paraId="12E2841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again and this time confirm/accept the dialog.</w:t>
            </w:r>
          </w:p>
        </w:tc>
        <w:tc>
          <w:tcPr>
            <w:tcW w:w="4200" w:type="dxa"/>
          </w:tcPr>
          <w:p w14:paraId="16F1F49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Network tab now shows a request to Gemini - expected and correct in this mode, confirming the warning accurately predicted what would happen.</w:t>
            </w:r>
          </w:p>
        </w:tc>
        <w:tc>
          <w:tcPr>
            <w:tcW w:w="1300" w:type="dxa"/>
          </w:tcPr>
          <w:p w14:paraId="5B413253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4322B7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C7D6FFC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4200" w:type="dxa"/>
          </w:tcPr>
          <w:p w14:paraId="033DFA4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Switch back to Sandbox mode. Upload the same document again.</w:t>
            </w:r>
          </w:p>
        </w:tc>
        <w:tc>
          <w:tcPr>
            <w:tcW w:w="4200" w:type="dxa"/>
          </w:tcPr>
          <w:p w14:paraId="7BB7469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 confirmation dialog appears, and again zero Gemini network requests occur.</w:t>
            </w:r>
          </w:p>
        </w:tc>
        <w:tc>
          <w:tcPr>
            <w:tcW w:w="1300" w:type="dxa"/>
          </w:tcPr>
          <w:p w14:paraId="411AFB2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25DEE987" w14:textId="77777777" w:rsidR="00DE0A58" w:rsidRDefault="00000000" w:rsidP="00501AB8">
      <w:pPr>
        <w:spacing w:after="60"/>
      </w:pPr>
      <w:r>
        <w:t>If any check in this section fails - especially a Gemini network request occurring while Sandbox is selected - STOP. Do not use the app for any real confidential document until this is investigated and fixed.</w:t>
      </w:r>
    </w:p>
    <w:p w14:paraId="73B1B0BD" w14:textId="77777777" w:rsidR="00DE0A58" w:rsidRDefault="00000000" w:rsidP="00501AB8">
      <w:pPr>
        <w:pStyle w:val="Heading1"/>
        <w:spacing w:after="60"/>
      </w:pPr>
      <w:r>
        <w:t>Part 1 - Tiering fundamentals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200"/>
        <w:gridCol w:w="1300"/>
      </w:tblGrid>
      <w:tr w:rsidR="00DE0A58" w14:paraId="39BC78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B2440"/>
          </w:tcPr>
          <w:p w14:paraId="02D6348E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1B2440"/>
          </w:tcPr>
          <w:p w14:paraId="6EAAE2A8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200" w:type="dxa"/>
            <w:shd w:val="clear" w:color="auto" w:fill="1B2440"/>
          </w:tcPr>
          <w:p w14:paraId="2CC63448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300" w:type="dxa"/>
            <w:shd w:val="clear" w:color="auto" w:fill="1B2440"/>
          </w:tcPr>
          <w:p w14:paraId="4AD07244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Pass?</w:t>
            </w:r>
          </w:p>
        </w:tc>
      </w:tr>
      <w:tr w:rsidR="00DE0A58" w14:paraId="56A8D3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E73A2C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200" w:type="dxa"/>
          </w:tcPr>
          <w:p w14:paraId="053940C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Score a contract Low/Low on </w:t>
            </w:r>
            <w:proofErr w:type="spellStart"/>
            <w:r>
              <w:rPr>
                <w:color w:val="000000"/>
                <w:sz w:val="19"/>
                <w:szCs w:val="19"/>
              </w:rPr>
              <w:t>Value+Risk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Low on </w:t>
            </w:r>
            <w:proofErr w:type="spellStart"/>
            <w:r>
              <w:rPr>
                <w:color w:val="000000"/>
                <w:sz w:val="19"/>
                <w:szCs w:val="19"/>
              </w:rPr>
              <w:t>Criticality+Impact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4200" w:type="dxa"/>
          </w:tcPr>
          <w:p w14:paraId="0076F5E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Lands in Routine/Leverage tier.</w:t>
            </w:r>
          </w:p>
        </w:tc>
        <w:tc>
          <w:tcPr>
            <w:tcW w:w="1300" w:type="dxa"/>
          </w:tcPr>
          <w:p w14:paraId="6EC35535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3AEB20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5C12E3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200" w:type="dxa"/>
          </w:tcPr>
          <w:p w14:paraId="7F17AE6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Score High/High/High/High.</w:t>
            </w:r>
          </w:p>
        </w:tc>
        <w:tc>
          <w:tcPr>
            <w:tcW w:w="4200" w:type="dxa"/>
          </w:tcPr>
          <w:p w14:paraId="4A899F5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Lands in Strategic tier.</w:t>
            </w:r>
          </w:p>
        </w:tc>
        <w:tc>
          <w:tcPr>
            <w:tcW w:w="1300" w:type="dxa"/>
          </w:tcPr>
          <w:p w14:paraId="1CB3DB27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47B065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94193E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4200" w:type="dxa"/>
          </w:tcPr>
          <w:p w14:paraId="13D44F3A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Switch naming scheme to Gold/Silver/Bronze (GSB).</w:t>
            </w:r>
          </w:p>
        </w:tc>
        <w:tc>
          <w:tcPr>
            <w:tcW w:w="4200" w:type="dxa"/>
          </w:tcPr>
          <w:p w14:paraId="52F0280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Labels change; Transactional and Routine both display as Bronze, underlying score unchanged.</w:t>
            </w:r>
          </w:p>
        </w:tc>
        <w:tc>
          <w:tcPr>
            <w:tcW w:w="1300" w:type="dxa"/>
          </w:tcPr>
          <w:p w14:paraId="623C8B1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7264AA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53BFDF1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4200" w:type="dxa"/>
          </w:tcPr>
          <w:p w14:paraId="7989F12C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Trigger a corrupted/missing score value if a test path exists.</w:t>
            </w:r>
          </w:p>
        </w:tc>
        <w:tc>
          <w:tcPr>
            <w:tcW w:w="4200" w:type="dxa"/>
          </w:tcPr>
          <w:p w14:paraId="3BF6110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Row shows a distinct 'Data error' state - NOT silently folded into Routine/Leverage. Governance separately names a data-error count.</w:t>
            </w:r>
          </w:p>
        </w:tc>
        <w:tc>
          <w:tcPr>
            <w:tcW w:w="1300" w:type="dxa"/>
          </w:tcPr>
          <w:p w14:paraId="69F8370C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1AF602C7" w14:textId="77777777" w:rsidR="00DE0A58" w:rsidRDefault="00000000" w:rsidP="00501AB8">
      <w:pPr>
        <w:pStyle w:val="Heading1"/>
        <w:spacing w:after="60"/>
      </w:pPr>
      <w:r>
        <w:t>Part 2 - Document import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200"/>
        <w:gridCol w:w="1300"/>
      </w:tblGrid>
      <w:tr w:rsidR="00DE0A58" w14:paraId="140B61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B2440"/>
          </w:tcPr>
          <w:p w14:paraId="6AD54D1B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1B2440"/>
          </w:tcPr>
          <w:p w14:paraId="13FBE339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200" w:type="dxa"/>
            <w:shd w:val="clear" w:color="auto" w:fill="1B2440"/>
          </w:tcPr>
          <w:p w14:paraId="4148B017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300" w:type="dxa"/>
            <w:shd w:val="clear" w:color="auto" w:fill="1B2440"/>
          </w:tcPr>
          <w:p w14:paraId="1C98268B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Pass?</w:t>
            </w:r>
          </w:p>
        </w:tc>
      </w:tr>
      <w:tr w:rsidR="00DE0A58" w14:paraId="53269C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39D2FBC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200" w:type="dxa"/>
          </w:tcPr>
          <w:p w14:paraId="103CEDF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 PDF longer than the page cap (check current value in Settings/About).</w:t>
            </w:r>
          </w:p>
        </w:tc>
        <w:tc>
          <w:tcPr>
            <w:tcW w:w="4200" w:type="dxa"/>
          </w:tcPr>
          <w:p w14:paraId="0C826FE2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Import correctly reads up to the cap and shows a 'read first N of M pages' warning.</w:t>
            </w:r>
          </w:p>
        </w:tc>
        <w:tc>
          <w:tcPr>
            <w:tcW w:w="1300" w:type="dxa"/>
          </w:tcPr>
          <w:p w14:paraId="030ADF5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4F573E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B4E54B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200" w:type="dxa"/>
          </w:tcPr>
          <w:p w14:paraId="57157B4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 document containing at least one very long clause.</w:t>
            </w:r>
          </w:p>
        </w:tc>
        <w:tc>
          <w:tcPr>
            <w:tcW w:w="4200" w:type="dxa"/>
          </w:tcPr>
          <w:p w14:paraId="6E280BFE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Import notice shows a count of clauses skipped for length, not a silent drop.</w:t>
            </w:r>
          </w:p>
        </w:tc>
        <w:tc>
          <w:tcPr>
            <w:tcW w:w="1300" w:type="dxa"/>
          </w:tcPr>
          <w:p w14:paraId="1160F302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12DBB3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0FA771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4200" w:type="dxa"/>
          </w:tcPr>
          <w:p w14:paraId="03B735D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Force an AI call to hang or fail in a non-Sandbox mode.</w:t>
            </w:r>
          </w:p>
        </w:tc>
        <w:tc>
          <w:tcPr>
            <w:tcW w:w="4200" w:type="dxa"/>
          </w:tcPr>
          <w:p w14:paraId="2698A74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Call times out within ~30s and falls back through the configured chain rather than hanging indefinitely.</w:t>
            </w:r>
          </w:p>
        </w:tc>
        <w:tc>
          <w:tcPr>
            <w:tcW w:w="1300" w:type="dxa"/>
          </w:tcPr>
          <w:p w14:paraId="495667D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117D29CB" w14:textId="77777777" w:rsidR="00DE0A58" w:rsidRDefault="00000000" w:rsidP="00501AB8">
      <w:pPr>
        <w:pStyle w:val="Heading1"/>
        <w:spacing w:after="60"/>
      </w:pPr>
      <w:r>
        <w:t>Part 3 - Chunked document review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200"/>
        <w:gridCol w:w="1300"/>
      </w:tblGrid>
      <w:tr w:rsidR="00DE0A58" w14:paraId="2F399B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B2440"/>
          </w:tcPr>
          <w:p w14:paraId="09B901E7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1B2440"/>
          </w:tcPr>
          <w:p w14:paraId="198AB464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200" w:type="dxa"/>
            <w:shd w:val="clear" w:color="auto" w:fill="1B2440"/>
          </w:tcPr>
          <w:p w14:paraId="79372004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300" w:type="dxa"/>
            <w:shd w:val="clear" w:color="auto" w:fill="1B2440"/>
          </w:tcPr>
          <w:p w14:paraId="52D4226D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Pass?</w:t>
            </w:r>
          </w:p>
        </w:tc>
      </w:tr>
      <w:tr w:rsidR="00DE0A58" w14:paraId="42F2BC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01D7F8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200" w:type="dxa"/>
          </w:tcPr>
          <w:p w14:paraId="16B2E6E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 short document (a few pages).</w:t>
            </w:r>
          </w:p>
        </w:tc>
        <w:tc>
          <w:tcPr>
            <w:tcW w:w="4200" w:type="dxa"/>
          </w:tcPr>
          <w:p w14:paraId="68517CA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Single AI call, no chunk-count message, no quick/full choice offered.</w:t>
            </w:r>
          </w:p>
        </w:tc>
        <w:tc>
          <w:tcPr>
            <w:tcW w:w="1300" w:type="dxa"/>
          </w:tcPr>
          <w:p w14:paraId="192887E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0B1655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53D1A2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200" w:type="dxa"/>
          </w:tcPr>
          <w:p w14:paraId="44222EA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 long document (60+ pages) in a non-Sandbox mode.</w:t>
            </w:r>
          </w:p>
        </w:tc>
        <w:tc>
          <w:tcPr>
            <w:tcW w:w="4200" w:type="dxa"/>
          </w:tcPr>
          <w:p w14:paraId="6E65864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Chunk-count and cost estimate shown before running; quick vs full choice offered.</w:t>
            </w:r>
          </w:p>
        </w:tc>
        <w:tc>
          <w:tcPr>
            <w:tcW w:w="1300" w:type="dxa"/>
          </w:tcPr>
          <w:p w14:paraId="47DD2D0E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48A71D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2D004B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4200" w:type="dxa"/>
          </w:tcPr>
          <w:p w14:paraId="31526D6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Run 'Quick review' on a long document.</w:t>
            </w:r>
          </w:p>
        </w:tc>
        <w:tc>
          <w:tcPr>
            <w:tcW w:w="4200" w:type="dxa"/>
          </w:tcPr>
          <w:p w14:paraId="423BB872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Fast, cheap, does NOT recover content from late in the document (expected - proves this is honestly partial).</w:t>
            </w:r>
          </w:p>
        </w:tc>
        <w:tc>
          <w:tcPr>
            <w:tcW w:w="1300" w:type="dxa"/>
          </w:tcPr>
          <w:p w14:paraId="081FD7D1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5A812F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E2B65B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4200" w:type="dxa"/>
          </w:tcPr>
          <w:p w14:paraId="71EB24AE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Run 'Full review' on the same long document.</w:t>
            </w:r>
          </w:p>
        </w:tc>
        <w:tc>
          <w:tcPr>
            <w:tcW w:w="4200" w:type="dxa"/>
          </w:tcPr>
          <w:p w14:paraId="64EB0E4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Recovers content from throughout, including late sections.</w:t>
            </w:r>
          </w:p>
        </w:tc>
        <w:tc>
          <w:tcPr>
            <w:tcW w:w="1300" w:type="dxa"/>
          </w:tcPr>
          <w:p w14:paraId="2890EA81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27E0D6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910DCB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4200" w:type="dxa"/>
          </w:tcPr>
          <w:p w14:paraId="06F14DA1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Trigger a second AI-extract action on a different tab for the SAME active contract.</w:t>
            </w:r>
          </w:p>
        </w:tc>
        <w:tc>
          <w:tcPr>
            <w:tcW w:w="4200" w:type="dxa"/>
          </w:tcPr>
          <w:p w14:paraId="723BBC7A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 second chunked review runs - the cached result from the first review is reused.</w:t>
            </w:r>
          </w:p>
        </w:tc>
        <w:tc>
          <w:tcPr>
            <w:tcW w:w="1300" w:type="dxa"/>
          </w:tcPr>
          <w:p w14:paraId="78BA8DDA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2A19CC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77F07A1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4200" w:type="dxa"/>
          </w:tcPr>
          <w:p w14:paraId="5F54A3D2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 genuinely new/different document.</w:t>
            </w:r>
          </w:p>
        </w:tc>
        <w:tc>
          <w:tcPr>
            <w:tcW w:w="4200" w:type="dxa"/>
          </w:tcPr>
          <w:p w14:paraId="4D1DA4B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 fresh review runs - the cache does not incorrectly reuse the old document's result.</w:t>
            </w:r>
          </w:p>
        </w:tc>
        <w:tc>
          <w:tcPr>
            <w:tcW w:w="1300" w:type="dxa"/>
          </w:tcPr>
          <w:p w14:paraId="05445912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3AC8FBDD" w14:textId="77777777" w:rsidR="00DE0A58" w:rsidRDefault="00000000" w:rsidP="00501AB8">
      <w:pPr>
        <w:pStyle w:val="Heading1"/>
        <w:spacing w:after="60"/>
      </w:pPr>
      <w:r>
        <w:t>Part 4 - Closed-loop workflow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200"/>
        <w:gridCol w:w="1300"/>
      </w:tblGrid>
      <w:tr w:rsidR="00DE0A58" w14:paraId="0A552F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B2440"/>
          </w:tcPr>
          <w:p w14:paraId="4B73216E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1B2440"/>
          </w:tcPr>
          <w:p w14:paraId="1AD65221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200" w:type="dxa"/>
            <w:shd w:val="clear" w:color="auto" w:fill="1B2440"/>
          </w:tcPr>
          <w:p w14:paraId="2B19754F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300" w:type="dxa"/>
            <w:shd w:val="clear" w:color="auto" w:fill="1B2440"/>
          </w:tcPr>
          <w:p w14:paraId="0AB62FD2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Pass?</w:t>
            </w:r>
          </w:p>
        </w:tc>
      </w:tr>
      <w:tr w:rsidR="00DE0A58" w14:paraId="676A87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116D0B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200" w:type="dxa"/>
          </w:tcPr>
          <w:p w14:paraId="6352CEA1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Upload and tier a contract on Tiering.</w:t>
            </w:r>
          </w:p>
        </w:tc>
        <w:tc>
          <w:tcPr>
            <w:tcW w:w="4200" w:type="dxa"/>
          </w:tcPr>
          <w:p w14:paraId="7ACDECD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Contract appears with a consistent tier number.</w:t>
            </w:r>
          </w:p>
        </w:tc>
        <w:tc>
          <w:tcPr>
            <w:tcW w:w="1300" w:type="dxa"/>
          </w:tcPr>
          <w:p w14:paraId="49053261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421DCD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CD893C3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200" w:type="dxa"/>
          </w:tcPr>
          <w:p w14:paraId="1BA9A5E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Check the same contract's tier as reflected in Register/portfolio table.</w:t>
            </w:r>
          </w:p>
        </w:tc>
        <w:tc>
          <w:tcPr>
            <w:tcW w:w="4200" w:type="dxa"/>
          </w:tcPr>
          <w:p w14:paraId="564DCDA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Same tier number as Tiering showed - not a second, </w:t>
            </w:r>
            <w:proofErr w:type="gramStart"/>
            <w:r>
              <w:rPr>
                <w:color w:val="000000"/>
                <w:sz w:val="19"/>
                <w:szCs w:val="19"/>
              </w:rPr>
              <w:t>independently-calculated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number.</w:t>
            </w:r>
          </w:p>
        </w:tc>
        <w:tc>
          <w:tcPr>
            <w:tcW w:w="1300" w:type="dxa"/>
          </w:tcPr>
          <w:p w14:paraId="01D777D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177692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C6253A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4200" w:type="dxa"/>
          </w:tcPr>
          <w:p w14:paraId="3330844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Stage an obligation from the uploaded contract into Register.</w:t>
            </w:r>
          </w:p>
        </w:tc>
        <w:tc>
          <w:tcPr>
            <w:tcW w:w="4200" w:type="dxa"/>
          </w:tcPr>
          <w:p w14:paraId="674EE092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The obligation is correctly linked to the active contract's identity, not left blank.</w:t>
            </w:r>
          </w:p>
        </w:tc>
        <w:tc>
          <w:tcPr>
            <w:tcW w:w="1300" w:type="dxa"/>
          </w:tcPr>
          <w:p w14:paraId="580A1FE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73F9C2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AE87B3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4200" w:type="dxa"/>
          </w:tcPr>
          <w:p w14:paraId="03CB879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Go to QBR for that same contract/supplier.</w:t>
            </w:r>
          </w:p>
        </w:tc>
        <w:tc>
          <w:tcPr>
            <w:tcW w:w="4200" w:type="dxa"/>
          </w:tcPr>
          <w:p w14:paraId="321D251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The obligation staged in Register is visible here - loop is closed, nothing silently vanished.</w:t>
            </w:r>
          </w:p>
        </w:tc>
        <w:tc>
          <w:tcPr>
            <w:tcW w:w="1300" w:type="dxa"/>
          </w:tcPr>
          <w:p w14:paraId="2325960A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7EFCB1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FAA12B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4200" w:type="dxa"/>
          </w:tcPr>
          <w:p w14:paraId="4A9CA875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Check QBR and Rebates screens for an active-contract indicator.</w:t>
            </w:r>
          </w:p>
        </w:tc>
        <w:tc>
          <w:tcPr>
            <w:tcW w:w="4200" w:type="dxa"/>
          </w:tcPr>
          <w:p w14:paraId="76F77042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Both show an 'Active: &lt;name&gt;' badge or a clear 'no active contract' prompt.</w:t>
            </w:r>
          </w:p>
        </w:tc>
        <w:tc>
          <w:tcPr>
            <w:tcW w:w="1300" w:type="dxa"/>
          </w:tcPr>
          <w:p w14:paraId="0D9A996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2C4F6E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F2EAF35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4200" w:type="dxa"/>
          </w:tcPr>
          <w:p w14:paraId="7D04689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Check Governance's rollup.</w:t>
            </w:r>
          </w:p>
        </w:tc>
        <w:tc>
          <w:tcPr>
            <w:tcW w:w="4200" w:type="dxa"/>
          </w:tcPr>
          <w:p w14:paraId="2D2CFE4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Reflects the same tier/obligation data seen elsewhere, including any data-error count if applicable.</w:t>
            </w:r>
          </w:p>
        </w:tc>
        <w:tc>
          <w:tcPr>
            <w:tcW w:w="1300" w:type="dxa"/>
          </w:tcPr>
          <w:p w14:paraId="32240E9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7E4363BB" w14:textId="77777777" w:rsidR="00DE0A58" w:rsidRDefault="00000000" w:rsidP="00501AB8">
      <w:pPr>
        <w:pStyle w:val="Heading1"/>
        <w:spacing w:after="60"/>
      </w:pPr>
      <w:r>
        <w:t>Part 5 - Navigation and mobile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200"/>
        <w:gridCol w:w="1300"/>
      </w:tblGrid>
      <w:tr w:rsidR="00DE0A58" w14:paraId="66C01C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B2440"/>
          </w:tcPr>
          <w:p w14:paraId="7A55E887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1B2440"/>
          </w:tcPr>
          <w:p w14:paraId="4CC67CF3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200" w:type="dxa"/>
            <w:shd w:val="clear" w:color="auto" w:fill="1B2440"/>
          </w:tcPr>
          <w:p w14:paraId="75B4647E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300" w:type="dxa"/>
            <w:shd w:val="clear" w:color="auto" w:fill="1B2440"/>
          </w:tcPr>
          <w:p w14:paraId="24803D65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Pass?</w:t>
            </w:r>
          </w:p>
        </w:tc>
      </w:tr>
      <w:tr w:rsidR="00DE0A58" w14:paraId="432EAC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31F331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200" w:type="dxa"/>
          </w:tcPr>
          <w:p w14:paraId="0EF77157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Check the nav bar tab order on desktop.</w:t>
            </w:r>
          </w:p>
        </w:tc>
        <w:tc>
          <w:tcPr>
            <w:tcW w:w="4200" w:type="dxa"/>
          </w:tcPr>
          <w:p w14:paraId="45C3DFC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Order is About, Tiering, Framework, Register, Rebates, QBR, Coverage &amp; Feedback, Maturity, Governance, Settings.</w:t>
            </w:r>
          </w:p>
        </w:tc>
        <w:tc>
          <w:tcPr>
            <w:tcW w:w="1300" w:type="dxa"/>
          </w:tcPr>
          <w:p w14:paraId="066DF3CD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5BE489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0A270C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200" w:type="dxa"/>
          </w:tcPr>
          <w:p w14:paraId="22CEB5DA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Resize the browser to a mobile width - try 375px, 390px, 414px.</w:t>
            </w:r>
          </w:p>
        </w:tc>
        <w:tc>
          <w:tcPr>
            <w:tcW w:w="4200" w:type="dxa"/>
          </w:tcPr>
          <w:p w14:paraId="6F234163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Nav collapses to a hamburger/menu icon - no overflowing, wrapped, or overlapping tab text.</w:t>
            </w:r>
          </w:p>
        </w:tc>
        <w:tc>
          <w:tcPr>
            <w:tcW w:w="1300" w:type="dxa"/>
          </w:tcPr>
          <w:p w14:paraId="369060F6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2225D1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984353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4200" w:type="dxa"/>
          </w:tcPr>
          <w:p w14:paraId="0FF9F22C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Open the mobile menu and select a tab.</w:t>
            </w:r>
          </w:p>
        </w:tc>
        <w:tc>
          <w:tcPr>
            <w:tcW w:w="4200" w:type="dxa"/>
          </w:tcPr>
          <w:p w14:paraId="02CC3324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Navigates correctly and the menu closes automatically.</w:t>
            </w:r>
          </w:p>
        </w:tc>
        <w:tc>
          <w:tcPr>
            <w:tcW w:w="1300" w:type="dxa"/>
          </w:tcPr>
          <w:p w14:paraId="6ED2A58C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1CCD27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FF2D7B3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4200" w:type="dxa"/>
          </w:tcPr>
          <w:p w14:paraId="4249B1C3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Run the in-app Demo Tour.</w:t>
            </w:r>
          </w:p>
        </w:tc>
        <w:tc>
          <w:tcPr>
            <w:tcW w:w="4200" w:type="dxa"/>
          </w:tcPr>
          <w:p w14:paraId="2035677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Completes all steps in the current nav order without errors, including the upload step correctly describing the Sandbox/Gemini badges.</w:t>
            </w:r>
          </w:p>
        </w:tc>
        <w:tc>
          <w:tcPr>
            <w:tcW w:w="1300" w:type="dxa"/>
          </w:tcPr>
          <w:p w14:paraId="3BCF5A6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05629F17" w14:textId="77777777" w:rsidR="00DE0A58" w:rsidRDefault="00000000" w:rsidP="00501AB8">
      <w:pPr>
        <w:pStyle w:val="Heading1"/>
        <w:spacing w:after="60"/>
      </w:pPr>
      <w:r>
        <w:t>Part 6 - Optional fields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4200"/>
        <w:gridCol w:w="1300"/>
      </w:tblGrid>
      <w:tr w:rsidR="00DE0A58" w14:paraId="739227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B2440"/>
          </w:tcPr>
          <w:p w14:paraId="337DEC21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1B2440"/>
          </w:tcPr>
          <w:p w14:paraId="00D87F5D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200" w:type="dxa"/>
            <w:shd w:val="clear" w:color="auto" w:fill="1B2440"/>
          </w:tcPr>
          <w:p w14:paraId="0C9AD04E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300" w:type="dxa"/>
            <w:shd w:val="clear" w:color="auto" w:fill="1B2440"/>
          </w:tcPr>
          <w:p w14:paraId="2A35F8AF" w14:textId="77777777" w:rsidR="00DE0A58" w:rsidRDefault="00000000" w:rsidP="00501AB8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Pass?</w:t>
            </w:r>
          </w:p>
        </w:tc>
      </w:tr>
      <w:tr w:rsidR="00DE0A58" w14:paraId="7782A7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8FBAA3A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200" w:type="dxa"/>
          </w:tcPr>
          <w:p w14:paraId="79BE5A18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Enter a UNSPSC and/or CPV code on a contract.</w:t>
            </w:r>
          </w:p>
        </w:tc>
        <w:tc>
          <w:tcPr>
            <w:tcW w:w="4200" w:type="dxa"/>
          </w:tcPr>
          <w:p w14:paraId="1693418F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Saves correctly, displays alongside the contract, does not get clamped/mangled into a number.</w:t>
            </w:r>
          </w:p>
        </w:tc>
        <w:tc>
          <w:tcPr>
            <w:tcW w:w="1300" w:type="dxa"/>
          </w:tcPr>
          <w:p w14:paraId="2A46C1B9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  <w:tr w:rsidR="00DE0A58" w14:paraId="3CF287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A63BCA5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200" w:type="dxa"/>
          </w:tcPr>
          <w:p w14:paraId="0F48E4BB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Check whether any duplicate/copy action carries codes forward.</w:t>
            </w:r>
          </w:p>
        </w:tc>
        <w:tc>
          <w:tcPr>
            <w:tcW w:w="4200" w:type="dxa"/>
          </w:tcPr>
          <w:p w14:paraId="7A7B84CA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 xml:space="preserve">Codes are NOT copied - matches the deliberate </w:t>
            </w:r>
            <w:proofErr w:type="spellStart"/>
            <w:r>
              <w:rPr>
                <w:color w:val="000000"/>
                <w:sz w:val="19"/>
                <w:szCs w:val="19"/>
              </w:rPr>
              <w:t>CategoryAI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convention.</w:t>
            </w:r>
          </w:p>
        </w:tc>
        <w:tc>
          <w:tcPr>
            <w:tcW w:w="1300" w:type="dxa"/>
          </w:tcPr>
          <w:p w14:paraId="6FA235B0" w14:textId="77777777" w:rsidR="00DE0A58" w:rsidRDefault="00000000" w:rsidP="00501AB8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☐</w:t>
            </w:r>
          </w:p>
        </w:tc>
      </w:tr>
    </w:tbl>
    <w:p w14:paraId="3F56DF47" w14:textId="77777777" w:rsidR="00DE0A58" w:rsidRDefault="00000000" w:rsidP="00501AB8">
      <w:pPr>
        <w:pStyle w:val="Heading1"/>
        <w:spacing w:after="60"/>
      </w:pPr>
      <w:r>
        <w:t>If something fails</w:t>
      </w:r>
    </w:p>
    <w:p w14:paraId="02C08AC0" w14:textId="77777777" w:rsidR="00DE0A58" w:rsidRDefault="00000000" w:rsidP="00501AB8">
      <w:pPr>
        <w:spacing w:after="60"/>
      </w:pPr>
      <w:r>
        <w:t>Note exactly which numbered step failed, what mode you were in (Sandbox/Claude/Gemini), and what you observed instead of the expected result. For anything in Part 0 (Confidentiality), stop testing immediately and report before doing anything else - this section protects real, sensitive contract data and should never be assumed to still be working without re-verification after any future change to the AI/document-review code.</w:t>
      </w:r>
    </w:p>
    <w:sectPr w:rsidR="00DE0A58" w:rsidSect="00501AB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42B81"/>
    <w:multiLevelType w:val="hybridMultilevel"/>
    <w:tmpl w:val="4F02568E"/>
    <w:lvl w:ilvl="0" w:tplc="E0FA5626">
      <w:start w:val="1"/>
      <w:numFmt w:val="bullet"/>
      <w:lvlText w:val="●"/>
      <w:lvlJc w:val="left"/>
      <w:pPr>
        <w:ind w:left="720" w:hanging="360"/>
      </w:pPr>
    </w:lvl>
    <w:lvl w:ilvl="1" w:tplc="88DCD032">
      <w:start w:val="1"/>
      <w:numFmt w:val="bullet"/>
      <w:lvlText w:val="○"/>
      <w:lvlJc w:val="left"/>
      <w:pPr>
        <w:ind w:left="1440" w:hanging="360"/>
      </w:pPr>
    </w:lvl>
    <w:lvl w:ilvl="2" w:tplc="85489F0E">
      <w:start w:val="1"/>
      <w:numFmt w:val="bullet"/>
      <w:lvlText w:val="■"/>
      <w:lvlJc w:val="left"/>
      <w:pPr>
        <w:ind w:left="2160" w:hanging="360"/>
      </w:pPr>
    </w:lvl>
    <w:lvl w:ilvl="3" w:tplc="55AC2AF2">
      <w:start w:val="1"/>
      <w:numFmt w:val="bullet"/>
      <w:lvlText w:val="●"/>
      <w:lvlJc w:val="left"/>
      <w:pPr>
        <w:ind w:left="2880" w:hanging="360"/>
      </w:pPr>
    </w:lvl>
    <w:lvl w:ilvl="4" w:tplc="CD46A2F8">
      <w:start w:val="1"/>
      <w:numFmt w:val="bullet"/>
      <w:lvlText w:val="○"/>
      <w:lvlJc w:val="left"/>
      <w:pPr>
        <w:ind w:left="3600" w:hanging="360"/>
      </w:pPr>
    </w:lvl>
    <w:lvl w:ilvl="5" w:tplc="AB5679D4">
      <w:start w:val="1"/>
      <w:numFmt w:val="bullet"/>
      <w:lvlText w:val="■"/>
      <w:lvlJc w:val="left"/>
      <w:pPr>
        <w:ind w:left="4320" w:hanging="360"/>
      </w:pPr>
    </w:lvl>
    <w:lvl w:ilvl="6" w:tplc="51F80642">
      <w:start w:val="1"/>
      <w:numFmt w:val="bullet"/>
      <w:lvlText w:val="●"/>
      <w:lvlJc w:val="left"/>
      <w:pPr>
        <w:ind w:left="5040" w:hanging="360"/>
      </w:pPr>
    </w:lvl>
    <w:lvl w:ilvl="7" w:tplc="93DCC412">
      <w:start w:val="1"/>
      <w:numFmt w:val="bullet"/>
      <w:lvlText w:val="●"/>
      <w:lvlJc w:val="left"/>
      <w:pPr>
        <w:ind w:left="5760" w:hanging="360"/>
      </w:pPr>
    </w:lvl>
    <w:lvl w:ilvl="8" w:tplc="61AC9FB0">
      <w:start w:val="1"/>
      <w:numFmt w:val="bullet"/>
      <w:lvlText w:val="●"/>
      <w:lvlJc w:val="left"/>
      <w:pPr>
        <w:ind w:left="6480" w:hanging="360"/>
      </w:pPr>
    </w:lvl>
  </w:abstractNum>
  <w:num w:numId="1" w16cid:durableId="1709334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A58"/>
    <w:rsid w:val="00501AB8"/>
    <w:rsid w:val="005430B9"/>
    <w:rsid w:val="009C7232"/>
    <w:rsid w:val="00DE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28C11"/>
  <w15:docId w15:val="{9D2053F8-8ABD-4151-BD7D-0FD4E7F0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Vijayaraghavan L</cp:lastModifiedBy>
  <cp:revision>2</cp:revision>
  <cp:lastPrinted>2026-07-23T06:16:00Z</cp:lastPrinted>
  <dcterms:created xsi:type="dcterms:W3CDTF">2026-07-23T06:04:00Z</dcterms:created>
  <dcterms:modified xsi:type="dcterms:W3CDTF">2026-07-23T06:44:00Z</dcterms:modified>
</cp:coreProperties>
</file>