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61B22"/>
          <w:sz w:val="44"/>
          <w:szCs w:val="44"/>
        </w:rPr>
        <w:t xml:space="preserve">CLM Suite</w:t>
      </w:r>
    </w:p>
    <w:p>
      <w:pPr>
        <w:spacing w:after="280"/>
      </w:pPr>
      <w:r>
        <w:rPr>
          <w:color w:val="A8792E"/>
          <w:sz w:val="26"/>
          <w:szCs w:val="26"/>
        </w:rPr>
        <w:t xml:space="preserve">Reference Guide — v2.8.2</w:t>
      </w:r>
    </w:p>
    <w:p>
      <w:pPr>
        <w:spacing w:after="120"/>
      </w:pPr>
      <w:r>
        <w:rPr>
          <w:sz w:val="21"/>
          <w:szCs w:val="21"/>
        </w:rPr>
        <w:t xml:space="preserve">A single-file, self-contained Contract Lifecycle Management tool: tier contracts, track obligations/SLAs, monitor rebates, run tiered QBRs, and give a CPO a live governance view — an intelligence layer that sits on top of (or alongside) ERP/CLM platforms like Ariba, Atamis, or Ivalua, not a replacement for them. This app is deliberately not a contract repository — it never requires the actual signed contract document to be stored, and offers multiple ways to create a contract record without one.</w:t>
      </w: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1 · What Each Screen Does, and How Data Flows Between Them</w:t>
      </w:r>
    </w:p>
    <w:p>
      <w:pPr>
        <w:spacing w:after="120"/>
      </w:pPr>
      <w:r>
        <w:rPr>
          <w:sz w:val="21"/>
          <w:szCs w:val="21"/>
        </w:rPr>
        <w:t xml:space="preserve">Screens are ordered in the app's navigation to match how data actually flows — a screen that seeds another sits before it. This guide follows the same order.</w:t>
      </w:r>
    </w:p>
    <w:p>
      <w:pPr>
        <w:pStyle w:val="Heading2"/>
        <w:spacing w:after="110" w:before="260"/>
      </w:pPr>
      <w:r>
        <w:rPr>
          <w:b/>
          <w:bCs/>
          <w:color w:val="A8792E"/>
          <w:sz w:val="23"/>
          <w:szCs w:val="23"/>
        </w:rPr>
        <w:t xml:space="preserve">About</w:t>
      </w:r>
    </w:p>
    <w:p>
      <w:pPr>
        <w:spacing w:after="120"/>
      </w:pPr>
      <w:r>
        <w:rPr>
          <w:sz w:val="21"/>
          <w:szCs w:val="21"/>
        </w:rPr>
        <w:t xml:space="preserve">The front door — the pitch, the 0–7 framework at a glance (via a chevron step-through), and quick links to start.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Chevron stepper: dots + ‹ Previous / Next › walk through Sections 0–7 one at a time, not a long scroll.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"Create a contract record" (primary) → Contract Intake. "Have a document? Upload it directly →" (secondary) → 0 · Tiering.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demo tour is available from here — loads realistic seed data across 3 contracts and walks every screen in nav order.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Feeds into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Nothing — this is an entry point, not a data source.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Tips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If you're not sure where to start, use the primary CTA (Contract Intake) — it covers manual, AI-assisted, and offline-template creation in one place.</w:t>
      </w:r>
    </w:p>
    <w:p>
      <w:pPr>
        <w:spacing w:after="200"/>
      </w:pPr>
    </w:p>
    <w:p>
      <w:pPr>
        <w:pStyle w:val="Heading2"/>
        <w:spacing w:after="110" w:before="260"/>
      </w:pPr>
      <w:r>
        <w:rPr>
          <w:b/>
          <w:bCs/>
          <w:color w:val="A8792E"/>
          <w:sz w:val="23"/>
          <w:szCs w:val="23"/>
        </w:rPr>
        <w:t xml:space="preserve">Contract Intake</w:t>
      </w:r>
    </w:p>
    <w:p>
      <w:pPr>
        <w:spacing w:after="120"/>
      </w:pPr>
      <w:r>
        <w:rPr>
          <w:sz w:val="21"/>
          <w:szCs w:val="21"/>
        </w:rPr>
        <w:t xml:space="preserve">The single place to create a contract record. Four equally-supported paths — describe it in plain English (AI-assisted), fill it in manually, download/fill/re-upload an offline CSV template, or upload the real document (on 0 · Tiering) — all converge on one shared creation function, so every path produces the identical downstream shape.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AI-assisted: type a plain-English description, click "Suggest with AI" — pre-fills every field below for review. In Sandbox mode this runs a deterministic offline heuristic (keyword-based tier scoring, category guessing, name/obligation/SLA extraction) rather than a real model call; connect Claude/Gemini in Settings for a genuine read of the text.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Manual: name, category (type-ahead suggestions), start/end dates, four tier-axis sliders with a live preview badge that updates before anything is saved, obligations/SLAs (one per line, optional trailing due date in parentheses), rebate terms.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Offline CSV template: "Download blank template" gets a starter file with the exact columns the parser expects; fill it in anywhere that saves plain CSV, re-upload, get multiple contracts created in one pass. A missing header row is handled safely (all rows treated as data, not silently dropped); a non-CSV file is rejected with a clear error rather than creating garbage records.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Nothing is created until "Confirm &amp; Create Contract Record" is clicked — every path is fully reviewable first.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Feeds into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0 · Tiering — a portfolio-table row (tier score)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Obligations/SLA/CO Register — one row per obligation/SLA line entered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Rebates — a tier, if threshold/rate were filled 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QBR — opens or creates a QBR record for the named contract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Tips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Leave rebate fields blank if there's no rebate — nothing gets created if threshold and rate are both empty.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due date in parentheses at the end of an obligation/SLA line, e.g. "Insurance renewal (2027-01-15)", is picked up automatically; without one it defaults to 90 days out.</w:t>
      </w:r>
    </w:p>
    <w:p>
      <w:pPr>
        <w:spacing w:after="200"/>
      </w:pPr>
    </w:p>
    <w:p>
      <w:pPr>
        <w:pStyle w:val="Heading2"/>
        <w:spacing w:after="110" w:before="260"/>
      </w:pPr>
      <w:r>
        <w:rPr>
          <w:b/>
          <w:bCs/>
          <w:color w:val="A8792E"/>
          <w:sz w:val="23"/>
          <w:szCs w:val="23"/>
        </w:rPr>
        <w:t xml:space="preserve">0 · Tiering</w:t>
      </w:r>
    </w:p>
    <w:p>
      <w:pPr>
        <w:spacing w:after="120"/>
      </w:pPr>
      <w:r>
        <w:rPr>
          <w:sz w:val="21"/>
          <w:szCs w:val="21"/>
        </w:rPr>
        <w:t xml:space="preserve">Upload-only. Upload a real contract document (.docx or .pdf, up to 350 pages / 1,200,000 characters) to auto-score it across four axes and set it as the active contract, reused automatically across QBR, Rebates, and Register. For manual/AI/template entry, use Contract Intake instead — this screen no longer has its own manual sliders.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Four-axis weighted score: Value 30%, Risk 30%, Criticality 20%, Business Impact 20% — auto-assigns one of four tiers (Strategic / Managed / Transactional / Routine, or Gold / Silver / Bronze via the naming-scheme toggle).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confidentiality badge shows whether you're in Sandbox (fully local, nothing leaves the browser) or Claude/Gemini mode (sends content to that provider's API) — check this before uploading anything sensitive; consider redacting rate cards/pricing schedules first.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Re-uploading the same contract updates its existing portfolio row in place rather than creating a duplicate.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portfolio table and Value×Risk heatmap below are the combined output of every intake path — Contract Intake, document upload, or the lightweight "+ Add contract" / paste-to-score options here (which score-only, without creating Register/Rebate/QBR records).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This scores contracts, not suppliers — one supplier can hold several contracts at very different tiers.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Feeds into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Register, Rebates, QBR — via the active contract, once a document is uploaded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Governance — the portfolio table and heatmap feed the tier-mix rollup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Tips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UNSPSC/CPV code fields are optional reference tags, manual entry only — add either one or leave both blank; no effect on scoring, and reports by code aren't built yet.</w:t>
      </w:r>
    </w:p>
    <w:p>
      <w:pPr>
        <w:spacing w:after="200"/>
      </w:pPr>
    </w:p>
    <w:p>
      <w:pPr>
        <w:pStyle w:val="Heading2"/>
        <w:spacing w:after="110" w:before="260"/>
      </w:pPr>
      <w:r>
        <w:rPr>
          <w:b/>
          <w:bCs/>
          <w:color w:val="A8792E"/>
          <w:sz w:val="23"/>
          <w:szCs w:val="23"/>
        </w:rPr>
        <w:t xml:space="preserve">Contract Playbook</w:t>
      </w:r>
    </w:p>
    <w:p>
      <w:pPr>
        <w:spacing w:after="120"/>
      </w:pPr>
      <w:r>
        <w:rPr>
          <w:sz w:val="21"/>
          <w:szCs w:val="21"/>
        </w:rPr>
        <w:t xml:space="preserve">(formerly "Framework") The full Section 0–7 methodology brief with CIPS/Hackett/WorldCC benchmarking references, an AI-draftable executive summary for your org profile, and "+ Add starter" buttons that seed other screens for a chosen contract.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Three distinct things on one screen: ① your organisation's profile (industry/spend/maturity, feeds only the AI executive summary), ② the static 0–7 reference brief (not derived from any contract), ③ quick-add buttons that seed starter content into a specific contract's Register/QBR/Rebates.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Quick-add requires picking a "Target contract" first — every button is disabled until one is selected, and content goes to that contract specifically, never to whichever QBR happened to be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Quick-add is idempotent — re-clicking the same button for the same contract adds nothing new; a different contract still gets its own set.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Feeds into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Register — starter obligations/change orders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QBR — starter KPIs/SLAs, for the selected target contract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Rebates — starter rebate tiers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Tips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"Export to Word" exports the on-screen static brief + your org profile + AI summary — not anything contract-specific.</w:t>
      </w:r>
    </w:p>
    <w:p>
      <w:pPr>
        <w:spacing w:after="200"/>
      </w:pPr>
    </w:p>
    <w:p>
      <w:pPr>
        <w:pStyle w:val="Heading2"/>
        <w:spacing w:after="110" w:before="260"/>
      </w:pPr>
      <w:r>
        <w:rPr>
          <w:b/>
          <w:bCs/>
          <w:color w:val="A8792E"/>
          <w:sz w:val="23"/>
          <w:szCs w:val="23"/>
        </w:rPr>
        <w:t xml:space="preserve">Obligations/SLA/CO Register</w:t>
      </w:r>
    </w:p>
    <w:p>
      <w:pPr>
        <w:spacing w:after="120"/>
      </w:pPr>
      <w:r>
        <w:rPr>
          <w:sz w:val="21"/>
          <w:szCs w:val="21"/>
        </w:rPr>
        <w:t xml:space="preserve">One register for all three item types — Obligation, SLA, and Change Order — filterable, with owner/due-date/status tracking. Change Order is a Type here rather than its own screen, so scope drift on a contract stays with the obligations/SLAs it affects.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Populated by Contract Intake (any path), the Playbook's quick-add, manual "+ Add item", or "Contract Analysis &amp; Staging" (AI clause extraction against an active uploaded document).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Clause extraction detects obligation/SLA-style language only, not change-order language — COs are added manually or via the Playbook.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Status auto-flags Overdue by due date (timezone-safe).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Feeds into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QBR — a linked contract's Register items surface there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Governance — overdue-item count and the Renewal &amp; Obligation Watch Agent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Contract Brief — open items for the selected contract</w:t>
      </w:r>
    </w:p>
    <w:p>
      <w:pPr>
        <w:spacing w:after="200"/>
      </w:pPr>
    </w:p>
    <w:p>
      <w:pPr>
        <w:pStyle w:val="Heading2"/>
        <w:spacing w:after="110" w:before="260"/>
      </w:pPr>
      <w:r>
        <w:rPr>
          <w:b/>
          <w:bCs/>
          <w:color w:val="A8792E"/>
          <w:sz w:val="23"/>
          <w:szCs w:val="23"/>
        </w:rPr>
        <w:t xml:space="preserve">Rebates</w:t>
      </w:r>
    </w:p>
    <w:p>
      <w:pPr>
        <w:spacing w:after="120"/>
      </w:pPr>
      <w:r>
        <w:rPr>
          <w:sz w:val="21"/>
          <w:szCs w:val="21"/>
        </w:rPr>
        <w:t xml:space="preserve">Track rebate tiers against actual spend — accrued entitlement (spend × rate) calculates live, never typed in separately.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Rows come from Contract Intake (any path), the Playbook's quick-add, manual entry, or "AI Extract Rebates" against an active uploaded document (this one specifically needs a real document; manual/Intake/template entry doesn't).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Mark a tier "Disputed" — this surfaces on Governance and both AI agents.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Feeds into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QBR — a linked contract's rebate standing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Contract Brief — rebate standing for the selected contract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Governance — disputed-rebate risk, accrued-entitlement chart</w:t>
      </w:r>
    </w:p>
    <w:p>
      <w:pPr>
        <w:spacing w:after="200"/>
      </w:pPr>
    </w:p>
    <w:p>
      <w:pPr>
        <w:pStyle w:val="Heading2"/>
        <w:spacing w:after="110" w:before="260"/>
      </w:pPr>
      <w:r>
        <w:rPr>
          <w:b/>
          <w:bCs/>
          <w:color w:val="A8792E"/>
          <w:sz w:val="23"/>
          <w:szCs w:val="23"/>
        </w:rPr>
        <w:t xml:space="preserve">Coverage &amp; Feedback</w:t>
      </w:r>
    </w:p>
    <w:p>
      <w:pPr>
        <w:spacing w:after="120"/>
      </w:pPr>
      <w:r>
        <w:rPr>
          <w:sz w:val="21"/>
          <w:szCs w:val="21"/>
        </w:rPr>
        <w:t xml:space="preserve">Category spend coverage (% under contract) and stakeholder feedback logging. Sits before QBR in the nav because QBR reads stakeholder feedback from here.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Categories under 50% coverage are flagged as "white space" — feeds Governance.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Feedback entries (rating 1–5 + comment, per supplier) matched by normalized name into QBR and Contract Brief.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Feeds into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QBR — feedback for the matching supplier, feeding the AI-drafted narrative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Contract Brief — recent feedback for the selected contract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Governance — low-feedback-rating risk</w:t>
      </w:r>
    </w:p>
    <w:p>
      <w:pPr>
        <w:spacing w:after="200"/>
      </w:pPr>
    </w:p>
    <w:p>
      <w:pPr>
        <w:pStyle w:val="Heading2"/>
        <w:spacing w:after="110" w:before="260"/>
      </w:pPr>
      <w:r>
        <w:rPr>
          <w:b/>
          <w:bCs/>
          <w:color w:val="A8792E"/>
          <w:sz w:val="23"/>
          <w:szCs w:val="23"/>
        </w:rPr>
        <w:t xml:space="preserve">QBR</w:t>
      </w:r>
    </w:p>
    <w:p>
      <w:pPr>
        <w:spacing w:after="120"/>
      </w:pPr>
      <w:r>
        <w:rPr>
          <w:sz w:val="21"/>
          <w:szCs w:val="21"/>
        </w:rPr>
        <w:t xml:space="preserve">Holds a collection of QBRs — one record per supplier/period, not a single overwritable record — with a picker (Open/Delete/+ New) at the top.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Supplier field is a dropdown sourced from the Tiering portfolio table (with an "Other" free-text fallback for a name not yet tiered), avoiding a typo creating an orphaned record.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AI-drafted narrative and Word/PowerPoint exports are built from this QBR's own KPI/SLA/Rebate/Risk/Action fields plus matched Coverage feedback — nothing else.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With no active document, the AI narrative is a template built purely from typed fields, and in Sandbox mode specifically it's a fairly generic first draft — connect Claude/Gemini in Settings, or load a real document as the active contract, for a stronger draft.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Feeds into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Governance — aggregates risk across every saved QBR (breached KPIs/SLAs; top-tier contracts with no QBR at all), not just whichever one is currently open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Contract Brief — optional inclusion of this QBR's narrative</w:t>
      </w:r>
    </w:p>
    <w:p>
      <w:pPr>
        <w:spacing w:after="200"/>
      </w:pPr>
    </w:p>
    <w:p>
      <w:pPr>
        <w:pStyle w:val="Heading2"/>
        <w:spacing w:after="110" w:before="260"/>
      </w:pPr>
      <w:r>
        <w:rPr>
          <w:b/>
          <w:bCs/>
          <w:color w:val="A8792E"/>
          <w:sz w:val="23"/>
          <w:szCs w:val="23"/>
        </w:rPr>
        <w:t xml:space="preserve">Contract Brief</w:t>
      </w:r>
    </w:p>
    <w:p>
      <w:pPr>
        <w:spacing w:after="120"/>
      </w:pPr>
      <w:r>
        <w:rPr>
          <w:sz w:val="21"/>
          <w:szCs w:val="21"/>
        </w:rPr>
        <w:t xml:space="preserve">A two-page, per-contract handover document — the summary a procurement manager hands the contract manager taking over ownership. Distinct from the QBR (a periodic performance review) and the Playbook (the whole methodology).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Select a contract from the dropdown; it auto-assembles tier standing, next key date, rebate standing, existing QBR status, average stakeholder rating, top risks, open register items, recent feedback, and recommended next actions — all pulled live from other screens.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"Draft handover narrative" (AI) saves per-contract — switching contracts and back preserves each one's own narrative.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Optional "Include the latest QBR's narrative" checkbox (off by default) — for senior management briefing (e.g. at renewal or during a crisis) without duplicating the KPI/SLA tables already shown.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Feeds into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Nothing — this is a read/export view, not a data source for other screens.</w:t>
      </w:r>
    </w:p>
    <w:p>
      <w:pPr>
        <w:spacing w:after="200"/>
      </w:pPr>
    </w:p>
    <w:p>
      <w:pPr>
        <w:pStyle w:val="Heading2"/>
        <w:spacing w:after="110" w:before="260"/>
      </w:pPr>
      <w:r>
        <w:rPr>
          <w:b/>
          <w:bCs/>
          <w:color w:val="A8792E"/>
          <w:sz w:val="23"/>
          <w:szCs w:val="23"/>
        </w:rPr>
        <w:t xml:space="preserve">Maturity</w:t>
      </w:r>
    </w:p>
    <w:p>
      <w:pPr>
        <w:spacing w:after="120"/>
      </w:pPr>
      <w:r>
        <w:rPr>
          <w:sz w:val="21"/>
          <w:szCs w:val="21"/>
        </w:rPr>
        <w:t xml:space="preserve">A 15-question, 6-dimension self-assessment, scored 1–5 and re-run periodically to track organisational CLM maturity over time.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Source of data: entirely manual — never AI-generated, never derived from contract records. One assessment for the whole organisation, not tied to any single contract.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Feeds into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Governance — maturity radar chart and "weakest dimension" risk</w:t>
      </w:r>
    </w:p>
    <w:p>
      <w:pPr>
        <w:spacing w:after="200"/>
      </w:pPr>
    </w:p>
    <w:p>
      <w:pPr>
        <w:pStyle w:val="Heading2"/>
        <w:spacing w:after="110" w:before="260"/>
      </w:pPr>
      <w:r>
        <w:rPr>
          <w:b/>
          <w:bCs/>
          <w:color w:val="A8792E"/>
          <w:sz w:val="23"/>
          <w:szCs w:val="23"/>
        </w:rPr>
        <w:t xml:space="preserve">Governance</w:t>
      </w:r>
    </w:p>
    <w:p>
      <w:pPr>
        <w:spacing w:after="120"/>
      </w:pPr>
      <w:r>
        <w:rPr>
          <w:sz w:val="21"/>
          <w:szCs w:val="21"/>
        </w:rPr>
        <w:t xml:space="preserve">The CPO-facing rollup — tier mix, maturity radar, spend coverage, overdue obligations, risks, and recommendations, computed live from every other screen. Exportable to Word or PowerPoint.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🔔 Renewal &amp; Obligation Watch Agent — proactively scans every open Register item across the whole portfolio (not just whichever contract's tab is open) for anything overdue or due soon. Urgent/upcoming day cutoffs (default 30/90) are user-editable. Optional "AI prioritise" turns the ranked list into a short, directive action brief.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🔍 Cross-Contract Pattern Scan — a single AI call looks across all contracts on the portfolio table for recurring themes (repeated issue types, complaint patterns, clustered rebate disputes) a single-contract view can't surface. Needs 2+ contracts with data; explicitly instructed to report "nothing recurs" rather than invent a pattern.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Tier-mix donut and maturity radar are explicitly whole-portfolio / organisation-wide views, not per-contract.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Feeds into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Nothing — this is a rollup view, not a data source for other screens.</w:t>
      </w:r>
    </w:p>
    <w:p>
      <w:pPr>
        <w:spacing w:after="200"/>
      </w:pPr>
    </w:p>
    <w:p>
      <w:pPr>
        <w:pStyle w:val="Heading2"/>
        <w:spacing w:after="110" w:before="260"/>
      </w:pPr>
      <w:r>
        <w:rPr>
          <w:b/>
          <w:bCs/>
          <w:color w:val="A8792E"/>
          <w:sz w:val="23"/>
          <w:szCs w:val="23"/>
        </w:rPr>
        <w:t xml:space="preserve">Settings</w:t>
      </w:r>
    </w:p>
    <w:p>
      <w:pPr>
        <w:spacing w:after="120"/>
      </w:pPr>
      <w:r>
        <w:rPr>
          <w:sz w:val="21"/>
          <w:szCs w:val="21"/>
        </w:rPr>
        <w:t xml:space="preserve">AI provider configuration — Sandbox (default, fully offline) or Claude/Gemini with a user-supplied API key.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Sandbox mode runs entirely locally — safe for confidential contracts. Switching to Claude/Gemini sends content to that provider's API for document review, narrative drafting, and the Intake AI-suggest step.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Document review specifically always uses Gemini directly for the chunked-review call, regardless of which provider is set as Primary, so its cost estimate stays accurate.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Feeds into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2 · The Agentic Layer</w:t>
      </w:r>
    </w:p>
    <w:p>
      <w:pPr>
        <w:spacing w:after="120"/>
      </w:pPr>
      <w:r>
        <w:rPr>
          <w:sz w:val="21"/>
          <w:szCs w:val="21"/>
        </w:rPr>
        <w:t xml:space="preserve">Three functions shift from reactive (click a button, get one AI response) to proactive, portfolio-wide, or multi-step — each keeping a human decision point before anything is written to persistent state.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Multi-step Contract Intake Agent</w:t>
      </w:r>
    </w:p>
    <w:p>
      <w:pPr>
        <w:spacing w:after="120"/>
      </w:pPr>
      <w:r>
        <w:rPr>
          <w:sz w:val="21"/>
          <w:szCs w:val="21"/>
        </w:rPr>
        <w:t xml:space="preserve">Chains a single plain-English description through one AI call (or, in Sandbox, a deterministic offline heuristic) into a structured multi-field suggestion — tier axes, obligations, SLAs, rebate terms — collapsing several manual steps into one human review/approve action.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Renewal &amp; Obligation Watch Agent</w:t>
      </w:r>
    </w:p>
    <w:p>
      <w:pPr>
        <w:spacing w:after="120"/>
      </w:pPr>
      <w:r>
        <w:rPr>
          <w:sz w:val="21"/>
          <w:szCs w:val="21"/>
        </w:rPr>
        <w:t xml:space="preserve">A heuristic portfolio-wide scan (no AI call required) with an optional AI-generated prioritised action brief on top. Lives on Governance.</w:t>
      </w:r>
    </w:p>
    <w:p>
      <w:pPr>
        <w:pStyle w:val="Heading3"/>
        <w:spacing w:after="80" w:before="180"/>
      </w:pPr>
      <w:r>
        <w:rPr>
          <w:b/>
          <w:bCs/>
          <w:color w:val="161B22"/>
          <w:sz w:val="20"/>
          <w:szCs w:val="20"/>
        </w:rPr>
        <w:t xml:space="preserve">Cross-Contract Pattern Scan</w:t>
      </w:r>
    </w:p>
    <w:p>
      <w:pPr>
        <w:spacing w:after="120"/>
      </w:pPr>
      <w:r>
        <w:rPr>
          <w:sz w:val="21"/>
          <w:szCs w:val="21"/>
        </w:rPr>
        <w:t xml:space="preserve">The one function in this layer that's genuinely portfolio-wide in its AI reasoning — a compact summary across every contract on file, in one call, looking for recurring themes.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3 · Quick Facts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19"/>
                <w:szCs w:val="19"/>
              </w:rPr>
              <w:t xml:space="preserve">Current version</w:t>
            </w:r>
          </w:p>
        </w:tc>
        <w:tc>
          <w:tcPr>
            <w:tcW w:type="dxa" w:w="7000"/>
          </w:tcPr>
          <w:p>
            <w:r>
              <w:rPr>
                <w:sz w:val="19"/>
                <w:szCs w:val="19"/>
              </w:rPr>
              <w:t xml:space="preserve">v2.8.2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19"/>
                <w:szCs w:val="19"/>
              </w:rPr>
              <w:t xml:space="preserve">File format</w:t>
            </w:r>
          </w:p>
        </w:tc>
        <w:tc>
          <w:tcPr>
            <w:tcW w:type="dxa" w:w="7000"/>
          </w:tcPr>
          <w:p>
            <w:r>
              <w:rPr>
                <w:sz w:val="19"/>
                <w:szCs w:val="19"/>
              </w:rPr>
              <w:t xml:space="preserve">Single self-contained index.html — no server, backend, or build step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19"/>
                <w:szCs w:val="19"/>
              </w:rPr>
              <w:t xml:space="preserve">Default AI mode</w:t>
            </w:r>
          </w:p>
        </w:tc>
        <w:tc>
          <w:tcPr>
            <w:tcW w:type="dxa" w:w="7000"/>
          </w:tcPr>
          <w:p>
            <w:r>
              <w:rPr>
                <w:sz w:val="19"/>
                <w:szCs w:val="19"/>
              </w:rPr>
              <w:t xml:space="preserve">Sandbox (fully offline, no data leaves the browser)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19"/>
                <w:szCs w:val="19"/>
              </w:rPr>
              <w:t xml:space="preserve">Document limits</w:t>
            </w:r>
          </w:p>
        </w:tc>
        <w:tc>
          <w:tcPr>
            <w:tcW w:type="dxa" w:w="7000"/>
          </w:tcPr>
          <w:p>
            <w:r>
              <w:rPr>
                <w:sz w:val="19"/>
                <w:szCs w:val="19"/>
              </w:rPr>
              <w:t xml:space="preserve">Up to 350 pages / 1,200,000 characters per active contract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19"/>
                <w:szCs w:val="19"/>
              </w:rPr>
              <w:t xml:space="preserve">Contract creation paths</w:t>
            </w:r>
          </w:p>
        </w:tc>
        <w:tc>
          <w:tcPr>
            <w:tcW w:type="dxa" w:w="7000"/>
          </w:tcPr>
          <w:p>
            <w:r>
              <w:rPr>
                <w:sz w:val="19"/>
                <w:szCs w:val="19"/>
              </w:rPr>
              <w:t xml:space="preserve">AI-assisted description, manual entry, offline CSV template, real document upload — all via Contract Intake or 0 · Tiering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19"/>
                <w:szCs w:val="19"/>
              </w:rPr>
              <w:t xml:space="preserve">Not built to be</w:t>
            </w:r>
          </w:p>
        </w:tc>
        <w:tc>
          <w:tcPr>
            <w:tcW w:type="dxa" w:w="7000"/>
          </w:tcPr>
          <w:p>
            <w:r>
              <w:rPr>
                <w:sz w:val="19"/>
                <w:szCs w:val="19"/>
              </w:rPr>
              <w:t xml:space="preserve">A contract document repository, an approval workflow engine, or a replacement for ERP/CLM platforms (Ariba, Atamis, Ivalua)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19"/>
                <w:szCs w:val="19"/>
              </w:rPr>
              <w:t xml:space="preserve">Reference frameworks</w:t>
            </w:r>
          </w:p>
        </w:tc>
        <w:tc>
          <w:tcPr>
            <w:tcW w:type="dxa" w:w="7000"/>
          </w:tcPr>
          <w:p>
            <w:r>
              <w:rPr>
                <w:sz w:val="19"/>
                <w:szCs w:val="19"/>
              </w:rPr>
              <w:t xml:space="preserve">CIPS, The Hackett Group, WorldCC (formerly IACCM), GCF (Gold/Silver/Bronze naming)</w:t>
            </w:r>
          </w:p>
        </w:tc>
      </w:tr>
    </w:tbl>
    <w:p>
      <w:pPr>
        <w:spacing w:after="120"/>
      </w:pPr>
      <w:r>
        <w:rPr>
          <w:i/>
          <w:iCs/>
          <w:color w:val="6B6459"/>
          <w:sz w:val="19"/>
          <w:szCs w:val="19"/>
        </w:rPr>
        <w:t xml:space="preserve">See CHANGELOG.md for full version history and METHODOLOGY.md for the original framework and design rationale.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459"/>
        <w:sz w:val="16"/>
        <w:szCs w:val="16"/>
      </w:rPr>
      <w:t xml:space="preserve">Page </w:t>
    </w:r>
    <w:r>
      <w:rPr>
        <w:color w:val="6B64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459"/>
        <w:sz w:val="16"/>
        <w:szCs w:val="16"/>
      </w:rPr>
      <w:t xml:space="preserve">CLM Suite v2.8.2 —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2026-08-23T20:20:35.434Z</dcterms:created>
  <dcterms:modified xsi:type="dcterms:W3CDTF">2026-08-23T20:20:35.452Z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