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CategoryAI — Reference Guide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Portfolio Strategy → Category Strategy → Sub-Category Strategy</w:t>
      </w:r>
    </w:p>
    <w:p>
      <w:pPr>
        <w:pStyle w:val="Heading1"/>
        <w:spacing w:after="150" w:before="320"/>
      </w:pPr>
      <w:r>
        <w:t xml:space="preserve">1. Core concepts</w:t>
      </w:r>
    </w:p>
    <w:p>
      <w:pPr>
        <w:spacing w:after="140"/>
      </w:pPr>
      <w:r>
        <w:t xml:space="preserve">CategoryAI organises your work in a four-level hierarchy, matching the depth of the UNSPSC and CPV procurement taxonomies: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Portfolio — the top-level container for everything you're managing (e.g. "FY26 Indirect Spend"). You can hold more than one Portfolio, though switching/comparing between them live is a later capability.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Category (Level 1) — e.g. "Infrastructure"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Sub-category (Level 2) — e.g. "Civil Works"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Sub-sub-category (Level 3) and Item/commodity (Level 4) — go this deep only where genuinely useful; most categories will stop at Level 1 or 2.</w:t>
      </w:r>
    </w:p>
    <w:p>
      <w:pPr>
        <w:spacing w:after="140"/>
      </w:pPr>
      <w:r>
        <w:t xml:space="preserve">Every node at any level is a first-class category in its own right — it can be individually scored, deep-dived, and assessed. A parent with children does not carry its own manual score; instead its position is a live rollup of its children (see Section 4).</w:t>
      </w:r>
    </w:p>
    <w:p>
      <w:pPr>
        <w:pStyle w:val="Heading1"/>
        <w:spacing w:after="150" w:before="320"/>
      </w:pPr>
      <w:r>
        <w:t xml:space="preserve">2. Starting a Portfolio strategy</w:t>
      </w:r>
    </w:p>
    <w:p>
      <w:pPr>
        <w:spacing w:after="70"/>
      </w:pPr>
      <w:r>
        <w:t xml:space="preserve">1. On the Portfolio screen (P1), review or add category lines in the composition table — name, spend, sector, and optionally a UNSPSC and/or CPV code per line.</w:t>
      </w:r>
    </w:p>
    <w:p>
      <w:pPr>
        <w:spacing w:after="70"/>
      </w:pPr>
      <w:r>
        <w:t xml:space="preserve">2. Each line's spend is manually entered until it has children — once a category has sub-categories, its spend field becomes read-only, showing "↳ derived from children" and auto-totals from below.</w:t>
      </w:r>
    </w:p>
    <w:p>
      <w:pPr>
        <w:spacing w:after="70"/>
      </w:pPr>
      <w:r>
        <w:t xml:space="preserve">3. Move to the P3 screen for the portfolio-level view. It has three tabs: Roll-up (table view), Portfolio Matrix (visual), and Report Preview.</w:t>
      </w:r>
    </w:p>
    <w:p>
      <w:pPr>
        <w:spacing w:after="70"/>
      </w:pPr>
      <w:r>
        <w:t xml:space="preserve">4. On the Portfolio Matrix tab, use the level selector to view "All levels" or a specific depth. Bubbles are grouped by colour to show parent/child relationships; click any bubble to open that category in the full wizard.</w:t>
      </w:r>
    </w:p>
    <w:p>
      <w:pPr>
        <w:pStyle w:val="Heading1"/>
        <w:spacing w:after="150" w:before="320"/>
      </w:pPr>
      <w:r>
        <w:t xml:space="preserve">3. Category strategy — the single-category wizard</w:t>
      </w:r>
    </w:p>
    <w:p>
      <w:pPr>
        <w:spacing w:after="140"/>
      </w:pPr>
      <w:r>
        <w:t xml:space="preserve">Clicking any category (from the Portfolio screen, or "Start here") opens the full assessment wizard: Profile → Internal Data → Market → Kraljic → Chessboard → Suppliers → Risk → Negotiation → Execution → Value → 7Ps → Strategy.</w:t>
      </w:r>
    </w:p>
    <w:p>
      <w:pPr>
        <w:spacing w:after="140"/>
      </w:pPr>
      <w:r>
        <w:t xml:space="preserve">Every field you edit here writes live into that category's own record — switching to a different category and back preserves exactly where you left off; nothing leaks between categories.</w:t>
      </w:r>
    </w:p>
    <w:p>
      <w:pPr>
        <w:pStyle w:val="Heading2"/>
        <w:spacing w:after="120" w:before="240"/>
      </w:pPr>
      <w:r>
        <w:t xml:space="preserve">The Kraljic step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category not yet scored shows an amber "⚠ Not yet assessed" banner, "(assumed)" axis labels, and a dashed hollow "?" marker on the chart — this is deliberate: an unscored category should never look like a real Strategic/Leverage/Bottleneck/Non-critical placement.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Click "⚡ AI-draft the missing scores" to have AI suggest values for unassessed variables. Drafted variables show a purple "AI DRAFT — UNCONFIRMED" badge and do NOT move the chart marker or clear the banner.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Review each drafted variable, then click "✓ Accept as reviewed" (or edit the value directly, which also counts as acceptance) to confirm it. Only accepted values count toward your real quadrant placement.</w:t>
      </w:r>
    </w:p>
    <w:p>
      <w:pPr>
        <w:pStyle w:val="Heading2"/>
        <w:spacing w:after="120" w:before="240"/>
      </w:pPr>
      <w:r>
        <w:t xml:space="preserve">Confidence states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200"/>
      </w:tblGrid>
      <w:tr>
        <w:tc>
          <w:tcPr>
            <w:tcW w:type="dxa" w:w="2200"/>
            <w:shd w:fill="1B244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200"/>
            <w:shd w:fill="1B244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Badge colour</w:t>
            </w:r>
          </w:p>
        </w:tc>
        <w:tc>
          <w:tcPr>
            <w:tcW w:type="dxa" w:w="4200"/>
            <w:shd w:fill="1B244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Assumed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value, never touched — do not treat as a real assessment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Draft — Unconfirmed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Purple, dashed border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has suggested a score; not yet reviewed or accepted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AI-inferred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Amber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AI-scored and already accepted into the record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Manually entered or explicitly accepted by you</w:t>
            </w:r>
          </w:p>
        </w:tc>
      </w:tr>
    </w:tbl>
    <w:p>
      <w:pPr>
        <w:pStyle w:val="Heading1"/>
        <w:spacing w:after="150" w:before="320"/>
      </w:pPr>
      <w:r>
        <w:t xml:space="preserve">4. Sub-category strategy — drilling down and rolling up</w:t>
      </w:r>
    </w:p>
    <w:p>
      <w:pPr>
        <w:pStyle w:val="Heading2"/>
        <w:spacing w:after="120" w:before="240"/>
      </w:pPr>
      <w:r>
        <w:t xml:space="preserve">Splitting a category into sub-categories</w:t>
      </w:r>
    </w:p>
    <w:p>
      <w:pPr>
        <w:spacing w:after="70"/>
      </w:pPr>
      <w:r>
        <w:t xml:space="preserve">1. On any category row (P3 Roll-up tab, or the wizard), click "➕ Duplicate as child".</w:t>
      </w:r>
    </w:p>
    <w:p>
      <w:pPr>
        <w:spacing w:after="70"/>
      </w:pPr>
      <w:r>
        <w:t xml:space="preserve">2. The new sub-category copies descriptive context (notes, archetype, channel, specialization, coverage, supplier count, volume) from its parent — but NOT spend, scores, or UNSPSC/CPV codes. It starts genuinely "not yet assessed," exactly like any brand-new category.</w:t>
      </w:r>
    </w:p>
    <w:p>
      <w:pPr>
        <w:spacing w:after="70"/>
      </w:pPr>
      <w:r>
        <w:t xml:space="preserve">3. Deep-dive the sub-category through the normal wizard, or use AI-draft to populate it quickly.</w:t>
      </w:r>
    </w:p>
    <w:p>
      <w:pPr>
        <w:spacing w:after="70"/>
      </w:pPr>
      <w:r>
        <w:t xml:space="preserve">4. Repeat at any level — a sub-category can itself be split into sub-sub-categories.</w:t>
      </w:r>
    </w:p>
    <w:p>
      <w:pPr>
        <w:pStyle w:val="Heading2"/>
        <w:spacing w:after="120" w:before="240"/>
      </w:pPr>
      <w:r>
        <w:t xml:space="preserve">How a parent's position is calculated (the rollup engine)</w:t>
      </w:r>
    </w:p>
    <w:p>
      <w:pPr>
        <w:spacing w:after="140"/>
      </w:pPr>
      <w:r>
        <w:t xml:space="preserve">Once a category has children, its displayed position on the matrix and in the roll-up table is always the rollup of its children — not any score it may have had individually before children were added. This is deliberate: a stale individual score would be more misleading than an honest "incomplete" state.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</w:tblGrid>
      <w:tr>
        <w:tc>
          <w:tcPr>
            <w:tcW w:type="dxa" w:w="2600"/>
            <w:shd w:fill="1B244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6000"/>
            <w:shd w:fill="1B244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Spend-weighted (default)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Assessed children's positions are averaged, weighted by each child's spend. Used automatically when at least one assessed child has spend entered.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 average (fallback)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Used automatically when no assessed child has spend data — an unweighted average of assessed children's positions.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Worst-case (toggle)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Shows the single highest-risk assessed child's position instead of a blend — switch to this view manually when you want to see what most needs attention, not an averaged picture.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Unassessed children are always excluded from the calculation — never blended in as a default midpoint guess. If any children aren't yet assessed, the parent shows a "rollup incomplete — X of Y children not yet assessed" indicator rather than a false, confident-looking position.</w:t>
      </w:r>
    </w:p>
    <w:p>
      <w:pPr>
        <w:pStyle w:val="Heading1"/>
        <w:spacing w:after="150" w:before="320"/>
      </w:pPr>
      <w:r>
        <w:t xml:space="preserve">5. Known scope boundaries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Child-level (sub-category) assessments feed the Portfolio Matrix and roll-up table, but do NOT yet feed the exported strategy report (Word/PDF) — the report's figures are currently Level-1-only. This is confirmed, current scope, not a bug.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UNSPSC/CPV codes are manual entry only — no lookup, validation, or AI suggestion in this version.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Only one live Portfolio is supported today; the Portfolio entity exists in the data model to support more in future, but switching/comparing multiple live Portfolios isn't built yet.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Duplicating a category as a child does not copy its UNSPSC/CPV codes — assign these deliberately per node, since a copied code is more likely to be wrong than helpful on a new sub-category.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2026-07-21T22:47:53.879Z</dcterms:created>
  <dcterms:modified xsi:type="dcterms:W3CDTF">2026-07-21T22:47:53.895Z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