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CategoryAI — User Guide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Getting started and screen-by-screen walkthrough</w:t>
      </w:r>
    </w:p>
    <w:p>
      <w:pPr>
        <w:pStyle w:val="Heading1"/>
        <w:spacing w:after="150" w:before="320"/>
      </w:pPr>
      <w:r>
        <w:t xml:space="preserve">1. Getting started</w:t>
      </w:r>
    </w:p>
    <w:p>
      <w:pPr>
        <w:spacing w:after="140"/>
      </w:pPr>
      <w:r>
        <w:t xml:space="preserve">CategoryAI has no login and no install — open index.html in Chrome. On first visit, take the guided Demo Tour (19 stops) from the About/Start screen, or jump straight into a real category via the Portfolio Setup screen.</w:t>
      </w:r>
    </w:p>
    <w:p>
      <w:pPr>
        <w:spacing w:after="140"/>
      </w:pPr>
      <w:r>
        <w:t xml:space="preserve">Everything you enter saves automatically to this browser as you work. There's no cloud sync — this is a single-device, single-browser workspace.</w:t>
      </w:r>
    </w:p>
    <w:p>
      <w:pPr>
        <w:pStyle w:val="Heading1"/>
        <w:spacing w:after="150" w:before="320"/>
      </w:pPr>
      <w:r>
        <w:t xml:space="preserve">2. The three main screens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1B244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600"/>
            <w:shd w:fill="1B244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Portfolio Setup (P1)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Your composition table — one row per category, with name, spend, sector, and optional UNSPSC/CPV codes.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Wizard (per category)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Profile → Internal Data → Market → Kraljic → Chessboard → Suppliers → Risk → Negotiation → Execution → Value → 7Ps → Strategy — the full assessment for one category.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Portfolio Workflow (P3)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Three tabs: Roll-up (table), Portfolio Matrix (visual chart), and Report Preview (exportable strategy document).</w:t>
            </w:r>
          </w:p>
        </w:tc>
      </w:tr>
    </w:tbl>
    <w:p>
      <w:pPr>
        <w:pStyle w:val="Heading1"/>
        <w:spacing w:after="150" w:before="320"/>
      </w:pPr>
      <w:r>
        <w:t xml:space="preserve">3. Setting up your Portfolio</w:t>
      </w:r>
    </w:p>
    <w:p>
      <w:pPr>
        <w:spacing w:after="70"/>
      </w:pPr>
      <w:r>
        <w:t xml:space="preserve">1. Open Portfolio Setup (P1). Add a row for each category you want to manage — name, sector, spend, and optionally a UNSPSC and/or CPV classification code.</w:t>
      </w:r>
    </w:p>
    <w:p>
      <w:pPr>
        <w:spacing w:after="70"/>
      </w:pPr>
      <w:r>
        <w:t xml:space="preserve">2. Click into any category name to open its full wizard, or use the AI-assist option to bulk-estimate scores for several categories at once from just a list of names.</w:t>
      </w:r>
    </w:p>
    <w:p>
      <w:pPr>
        <w:spacing w:after="70"/>
      </w:pPr>
      <w:r>
        <w:t xml:space="preserve">3. Once a category has been split into sub-categories (see Section 5), its spend field becomes read-only and shows the total rolled up from below — you don't need to keep two numbers in sync manually.</w:t>
      </w:r>
    </w:p>
    <w:p>
      <w:pPr>
        <w:pStyle w:val="Heading1"/>
        <w:spacing w:after="150" w:before="320"/>
      </w:pPr>
      <w:r>
        <w:t xml:space="preserve">4. Assessing a single category</w:t>
      </w:r>
    </w:p>
    <w:p>
      <w:pPr>
        <w:spacing w:after="140"/>
      </w:pPr>
      <w:r>
        <w:t xml:space="preserve">Click any category to open the wizard. Work through each step in order, or jump to a specific step from the sidebar — nothing is locked to strict sequence, though later steps (like Chessboard) work best once Kraljic placement is done.</w:t>
      </w:r>
    </w:p>
    <w:p>
      <w:pPr>
        <w:pStyle w:val="Heading2"/>
        <w:spacing w:after="100" w:before="220"/>
      </w:pPr>
      <w:r>
        <w:t xml:space="preserve">The Kraljic step, in detail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category with no data yet shows an amber 'Not yet assessed' banner and a dashed, hollow '?' marker on the chart — this is intentional, so an unscored category never looks like a real result.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Click 'AI-draft the missing scores' to get AI-suggested values. These appear with a purple 'AI DRAFT — UNCONFIRMED' badge and don't count yet.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Review each suggestion. Clicking 'Accept as reviewed' (or picking a different value yourself) confirms it. Re-clicking the same already-selected value does nothing — you have to make an actual choice for it to count.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Once every variable on an axis is confirmed (by you, or accepted from AI), the banner clears and the chart shows a real, solid-marker placement in one of the four quadrants: Strategic, Leverage, Bottleneck, or Non-critical.</w:t>
      </w:r>
    </w:p>
    <w:p>
      <w:pPr>
        <w:pStyle w:val="Heading2"/>
        <w:spacing w:after="100" w:before="220"/>
      </w:pPr>
      <w:r>
        <w:t xml:space="preserve">Confidence badges you'll see throughout the wizard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Red 'Assumed' — a default value nobody has touched. Treat as a placeholder, not a real answer.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Purple 'AI Draft — Unconfirmed' — AI suggested it, you haven't reviewed it yet.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Amber 'AI-inferred' — AI-scored and already accepted.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Teal 'User' — you entered or confirmed it yourself.</w:t>
      </w:r>
    </w:p>
    <w:p>
      <w:pPr>
        <w:pStyle w:val="Heading1"/>
        <w:spacing w:after="150" w:before="320"/>
      </w:pPr>
      <w:r>
        <w:t xml:space="preserve">5. Splitting a category into sub-categories</w:t>
      </w:r>
    </w:p>
    <w:p>
      <w:pPr>
        <w:spacing w:after="140"/>
      </w:pPr>
      <w:r>
        <w:t xml:space="preserve">If a category is too broad to score as one line — e.g. "Infrastructure" really contains Civil Works, Electrical, and Groundworks with very different risk profiles — you can split it:</w:t>
      </w:r>
    </w:p>
    <w:p>
      <w:pPr>
        <w:spacing w:after="70"/>
      </w:pPr>
      <w:r>
        <w:t xml:space="preserve">1. From the category's row (in Portfolio Setup or the Portfolio Workflow Roll-up tab), click 'Duplicate as child'.</w:t>
      </w:r>
    </w:p>
    <w:p>
      <w:pPr>
        <w:spacing w:after="70"/>
      </w:pPr>
      <w:r>
        <w:t xml:space="preserve">2. A new sub-category appears one level below, named '&lt;parent name&gt; (copy)'. It inherits descriptive notes and context from the parent, but starts completely unassessed — no scores, no spend, no classification codes carried over.</w:t>
      </w:r>
    </w:p>
    <w:p>
      <w:pPr>
        <w:spacing w:after="70"/>
      </w:pPr>
      <w:r>
        <w:t xml:space="preserve">3. Deep-dive the sub-category through the normal wizard (Section 4). Repeat 'Duplicate as child' on it to go a level deeper still, if needed — up to four levels total.</w:t>
      </w:r>
    </w:p>
    <w:p>
      <w:pPr>
        <w:spacing w:after="140"/>
      </w:pPr>
      <w:r>
        <w:t xml:space="preserve">Once a category has one or more assessed sub-categories, its own position on the chart and in the roll-up table automatically reflects them — see Section 6.</w:t>
      </w:r>
    </w:p>
    <w:p>
      <w:pPr>
        <w:pStyle w:val="Heading1"/>
        <w:spacing w:after="150" w:before="320"/>
      </w:pPr>
      <w:r>
        <w:t xml:space="preserve">6. How a parent category's position is calculated</w:t>
      </w:r>
    </w:p>
    <w:p>
      <w:pPr>
        <w:spacing w:after="140"/>
      </w:pPr>
      <w:r>
        <w:t xml:space="preserve">A category with sub-categories doesn't carry its own separate score — its position is always a live rollup of its children's positions: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any assessed children have spend entered, the rollup is weighted by spend — a larger sub-category counts for more than a small one.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no assessed children have spend data, it falls back to a simple average.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'worst case' toggle is available if you'd rather see the single riskiest sub-category's position instead of a blended average.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Sub-categories that haven't been assessed yet are always excluded from the calculation — you'll see a 'rollup incomplete — X of Y not yet assessed' note rather than a false, confident-looking result.</w:t>
      </w:r>
    </w:p>
    <w:p>
      <w:pPr>
        <w:pStyle w:val="Heading1"/>
        <w:spacing w:after="150" w:before="320"/>
      </w:pPr>
      <w:r>
        <w:t xml:space="preserve">7. The Portfolio Matrix</w:t>
      </w:r>
    </w:p>
    <w:p>
      <w:pPr>
        <w:spacing w:after="140"/>
      </w:pPr>
      <w:r>
        <w:t xml:space="preserve">On the Portfolio Workflow screen (P3), the Portfolio Matrix tab plots every category and sub-category on one chart. Use the level dropdown to focus on one depth at a time, or view everything together — sub-categories under the same parent are visually grouped. Click any bubble to jump straight into that category's wizard.</w:t>
      </w:r>
    </w:p>
    <w:p>
      <w:pPr>
        <w:pStyle w:val="Heading1"/>
        <w:spacing w:after="150" w:before="320"/>
      </w:pPr>
      <w:r>
        <w:t xml:space="preserve">8. Exporting a strategy report</w:t>
      </w:r>
    </w:p>
    <w:p>
      <w:pPr>
        <w:spacing w:after="140"/>
      </w:pPr>
      <w:r>
        <w:t xml:space="preserve">The Report Preview tab (P3) generates a downloadable strategy document from your Level 1 categories.</w:t>
      </w:r>
    </w:p>
    <w:p>
      <w:pPr>
        <w:spacing w:after="140"/>
      </w:pPr>
      <w:r>
        <w:t xml:space="preserve">Please note: sub-category-level detail does not yet appear in this exported report — the report currently reflects Level 1 category figures only. This is a known, current limitation, not an error.</w:t>
      </w:r>
    </w:p>
    <w:p>
      <w:pPr>
        <w:pStyle w:val="Heading1"/>
        <w:spacing w:after="150" w:before="320"/>
      </w:pPr>
      <w:r>
        <w:t xml:space="preserve">9. Classification codes (UNSPSC / CPV)</w:t>
      </w:r>
    </w:p>
    <w:p>
      <w:pPr>
        <w:spacing w:after="140"/>
      </w:pPr>
      <w:r>
        <w:t xml:space="preserve">Any category, at any level, can optionally carry a UNSPSC code and/or a CPV code — enter these directly in Portfolio Setup (for Level 1) or the roll-up table (for sub-categories). These are plain manual entries; there's no automatic lookup or validation. Note that duplicating a category as a child does not carry its codes forward — assign codes deliberately on each node.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2026-07-21T22:54:20.307Z</dcterms:created>
  <dcterms:modified xsi:type="dcterms:W3CDTF">2026-07-21T22:54:20.325Z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