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0242B"/>
          <w:sz w:val="56"/>
          <w:szCs w:val="56"/>
        </w:rPr>
        <w:t xml:space="preserve">PROCUREAI</w:t>
      </w:r>
      <w:r>
        <w:rPr>
          <w:color w:val="14636B"/>
          <w:sz w:val="56"/>
          <w:szCs w:val="56"/>
        </w:rPr>
        <w:t xml:space="preserve">  ·  STRATEGIC CATEGORY SUITE</w:t>
      </w:r>
    </w:p>
    <w:p>
      <w:pPr>
        <w:spacing w:after="160"/>
      </w:pPr>
      <w:r>
        <w:rPr>
          <w:b/>
          <w:bCs/>
          <w:color w:val="20242B"/>
          <w:sz w:val="72"/>
          <w:szCs w:val="72"/>
        </w:rPr>
        <w:t xml:space="preserve">Reference Guide</w:t>
      </w:r>
    </w:p>
    <w:p>
      <w:pPr>
        <w:spacing w:after="240"/>
      </w:pPr>
      <w:r>
        <w:rPr>
          <w:color w:val="6B7280"/>
          <w:sz w:val="26"/>
          <w:szCs w:val="26"/>
        </w:rPr>
        <w:t xml:space="preserve">The frameworks, formulas and master data behind every screen — what each model means and how every score is derived.</w:t>
      </w:r>
    </w:p>
    <w:p>
      <w:r>
        <w:rPr>
          <w:b/>
          <w:bCs/>
          <w:color w:val="B8860B"/>
          <w:sz w:val="22"/>
          <w:szCs w:val="22"/>
        </w:rPr>
        <w:t xml:space="preserve">Version 1.0 (release candidate — freeze after testing)   ·   2026-07-12</w:t>
      </w:r>
    </w:p>
    <w:p>
      <w:r>
        <w:br w:type="page"/>
      </w:r>
    </w:p>
    <w:p>
      <w:pPr>
        <w:spacing w:after="12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B7280"/>
          <w:sz w:val="18"/>
          <w:szCs w:val="18"/>
        </w:rPr>
        <w:t xml:space="preserve">In Word: right-click the table of contents and choose “Update Field” to populate page numbers.</w:t>
      </w:r>
    </w:p>
    <w:p>
      <w:r>
        <w:br w:type="page"/>
      </w:r>
    </w:p>
    <w:p>
      <w:pPr>
        <w:pStyle w:val="Heading1"/>
        <w:spacing w:after="140" w:before="300"/>
      </w:pPr>
      <w:r>
        <w:t xml:space="preserve">1. Confidence flags and the assumption register</w:t>
      </w:r>
    </w:p>
    <w:p>
      <w:pPr>
        <w:spacing w:after="120"/>
      </w:pPr>
      <w:r>
        <w:t xml:space="preserve">Three flags — </w:t>
      </w:r>
      <w:r>
        <w:rPr>
          <w:b/>
          <w:bCs/>
        </w:rPr>
        <w:t xml:space="preserve">User</w:t>
      </w:r>
      <w:r>
        <w:t xml:space="preserve"> (set/confirmed by you), </w:t>
      </w:r>
      <w:r>
        <w:rPr>
          <w:b/>
          <w:bCs/>
        </w:rPr>
        <w:t xml:space="preserve">AI-inferred</w:t>
      </w:r>
      <w:r>
        <w:t xml:space="preserve"> (generated, awaiting review), </w:t>
      </w:r>
      <w:r>
        <w:rPr>
          <w:b/>
          <w:bCs/>
        </w:rPr>
        <w:t xml:space="preserve">Assumed</w:t>
      </w:r>
      <w:r>
        <w:t xml:space="preserve"> (untouched default). Editing any AI value promotes it to User. The assumption register in the Strategy step is the full audit trail: every variable, driver weight, lever, supplier score, risk, chessboard play, and plan, with its flag and rationale. Unconfirmed rows are visibly flagged in the exported document.</w:t>
      </w:r>
    </w:p>
    <w:p>
      <w:pPr>
        <w:pStyle w:val="Heading1"/>
        <w:spacing w:after="140" w:before="300"/>
      </w:pPr>
      <w:r>
        <w:t xml:space="preserve">2. Market variables and derived scores</w:t>
      </w:r>
    </w:p>
    <w:p>
      <w:pPr>
        <w:spacing w:after="120"/>
      </w:pPr>
      <w:r>
        <w:t xml:space="preserve">Nine external variables (scored 1–5): supplier market concentration, switching difficulty, geographic/geopolitical exposure, substitute scarcity, price volatility, capacity tightness, regulatory intensity, technology disruption pace, entry barriers. Five internal variables (optional): spend share, criticality, visibility, value potential and supplier relationship strength. All downstream models derive from these — nothing is entered twice.</w:t>
      </w:r>
    </w:p>
    <w:p>
      <w:pPr>
        <w:pStyle w:val="Heading2"/>
        <w:spacing w:after="100" w:before="240"/>
      </w:pPr>
      <w:r>
        <w:t xml:space="preserve">Porter’s Five Forces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EF4F1" w:val="clear"/>
            <w:tcMar>
              <w:top w:type="dxa" w:w="60"/>
              <w:left w:type="dxa" w:w="100"/>
              <w:bottom w:type="dxa" w:w="60"/>
              <w:right w:type="dxa" w:w="100"/>
            </w:tcMar>
          </w:tcPr>
          <w:p>
            <w:pPr>
              <w:spacing w:after="0"/>
            </w:pPr>
            <w:r>
              <w:rPr>
                <w:b/>
                <w:bCs/>
              </w:rPr>
              <w:t xml:space="preserve">Force</w:t>
            </w:r>
          </w:p>
        </w:tc>
        <w:tc>
          <w:tcPr>
            <w:tcW w:type="dxa" w:w="6160"/>
            <w:shd w:fill="EEF4F1" w:val="clear"/>
            <w:tcMar>
              <w:top w:type="dxa" w:w="60"/>
              <w:left w:type="dxa" w:w="100"/>
              <w:bottom w:type="dxa" w:w="60"/>
              <w:right w:type="dxa" w:w="100"/>
            </w:tcMar>
          </w:tcPr>
          <w:p>
            <w:pPr>
              <w:spacing w:after="0"/>
            </w:pPr>
            <w:r>
              <w:rPr>
                <w:b/>
                <w:bCs/>
              </w:rPr>
              <w:t xml:space="preserve">Derived from</w:t>
            </w:r>
          </w:p>
        </w:tc>
      </w:tr>
      <w:tr>
        <w:tc>
          <w:tcPr>
            <w:tcW w:type="dxa" w:w="3200"/>
            <w:tcMar>
              <w:top w:type="dxa" w:w="60"/>
              <w:left w:type="dxa" w:w="100"/>
              <w:bottom w:type="dxa" w:w="60"/>
              <w:right w:type="dxa" w:w="100"/>
            </w:tcMar>
          </w:tcPr>
          <w:p>
            <w:pPr>
              <w:spacing w:after="0"/>
            </w:pPr>
            <w:r>
              <w:t xml:space="preserve">Supplier power</w:t>
            </w:r>
          </w:p>
        </w:tc>
        <w:tc>
          <w:tcPr>
            <w:tcW w:type="dxa" w:w="6160"/>
            <w:tcMar>
              <w:top w:type="dxa" w:w="60"/>
              <w:left w:type="dxa" w:w="100"/>
              <w:bottom w:type="dxa" w:w="60"/>
              <w:right w:type="dxa" w:w="100"/>
            </w:tcMar>
          </w:tcPr>
          <w:p>
            <w:pPr>
              <w:spacing w:after="0"/>
            </w:pPr>
            <w:r>
              <w:t xml:space="preserve">avg(supplier concentration, switching difficulty, capacity tightness)</w:t>
            </w:r>
          </w:p>
        </w:tc>
      </w:tr>
      <w:tr>
        <w:tc>
          <w:tcPr>
            <w:tcW w:type="dxa" w:w="3200"/>
            <w:tcMar>
              <w:top w:type="dxa" w:w="60"/>
              <w:left w:type="dxa" w:w="100"/>
              <w:bottom w:type="dxa" w:w="60"/>
              <w:right w:type="dxa" w:w="100"/>
            </w:tcMar>
          </w:tcPr>
          <w:p>
            <w:pPr>
              <w:spacing w:after="0"/>
            </w:pPr>
            <w:r>
              <w:t xml:space="preserve">Buyer power (yours)</w:t>
            </w:r>
          </w:p>
        </w:tc>
        <w:tc>
          <w:tcPr>
            <w:tcW w:type="dxa" w:w="6160"/>
            <w:tcMar>
              <w:top w:type="dxa" w:w="60"/>
              <w:left w:type="dxa" w:w="100"/>
              <w:bottom w:type="dxa" w:w="60"/>
              <w:right w:type="dxa" w:w="100"/>
            </w:tcMar>
          </w:tcPr>
          <w:p>
            <w:pPr>
              <w:spacing w:after="0"/>
            </w:pPr>
            <w:r>
              <w:t xml:space="preserve">avg(6−concentration, 6−switching difficulty, spend share — or 3 in generic mode)</w:t>
            </w:r>
          </w:p>
        </w:tc>
      </w:tr>
      <w:tr>
        <w:tc>
          <w:tcPr>
            <w:tcW w:type="dxa" w:w="3200"/>
            <w:tcMar>
              <w:top w:type="dxa" w:w="60"/>
              <w:left w:type="dxa" w:w="100"/>
              <w:bottom w:type="dxa" w:w="60"/>
              <w:right w:type="dxa" w:w="100"/>
            </w:tcMar>
          </w:tcPr>
          <w:p>
            <w:pPr>
              <w:spacing w:after="0"/>
            </w:pPr>
            <w:r>
              <w:t xml:space="preserve">Threat of substitutes</w:t>
            </w:r>
          </w:p>
        </w:tc>
        <w:tc>
          <w:tcPr>
            <w:tcW w:type="dxa" w:w="6160"/>
            <w:tcMar>
              <w:top w:type="dxa" w:w="60"/>
              <w:left w:type="dxa" w:w="100"/>
              <w:bottom w:type="dxa" w:w="60"/>
              <w:right w:type="dxa" w:w="100"/>
            </w:tcMar>
          </w:tcPr>
          <w:p>
            <w:pPr>
              <w:spacing w:after="0"/>
            </w:pPr>
            <w:r>
              <w:t xml:space="preserve">6 − substitute scarcity</w:t>
            </w:r>
          </w:p>
        </w:tc>
      </w:tr>
      <w:tr>
        <w:tc>
          <w:tcPr>
            <w:tcW w:type="dxa" w:w="3200"/>
            <w:tcMar>
              <w:top w:type="dxa" w:w="60"/>
              <w:left w:type="dxa" w:w="100"/>
              <w:bottom w:type="dxa" w:w="60"/>
              <w:right w:type="dxa" w:w="100"/>
            </w:tcMar>
          </w:tcPr>
          <w:p>
            <w:pPr>
              <w:spacing w:after="0"/>
            </w:pPr>
            <w:r>
              <w:t xml:space="preserve">Threat of new entrants</w:t>
            </w:r>
          </w:p>
        </w:tc>
        <w:tc>
          <w:tcPr>
            <w:tcW w:type="dxa" w:w="6160"/>
            <w:tcMar>
              <w:top w:type="dxa" w:w="60"/>
              <w:left w:type="dxa" w:w="100"/>
              <w:bottom w:type="dxa" w:w="60"/>
              <w:right w:type="dxa" w:w="100"/>
            </w:tcMar>
          </w:tcPr>
          <w:p>
            <w:pPr>
              <w:spacing w:after="0"/>
            </w:pPr>
            <w:r>
              <w:t xml:space="preserve">6 − entry barriers</w:t>
            </w:r>
          </w:p>
        </w:tc>
      </w:tr>
      <w:tr>
        <w:tc>
          <w:tcPr>
            <w:tcW w:type="dxa" w:w="3200"/>
            <w:tcMar>
              <w:top w:type="dxa" w:w="60"/>
              <w:left w:type="dxa" w:w="100"/>
              <w:bottom w:type="dxa" w:w="60"/>
              <w:right w:type="dxa" w:w="100"/>
            </w:tcMar>
          </w:tcPr>
          <w:p>
            <w:pPr>
              <w:spacing w:after="0"/>
            </w:pPr>
            <w:r>
              <w:t xml:space="preserve">Competitive rivalry</w:t>
            </w:r>
          </w:p>
        </w:tc>
        <w:tc>
          <w:tcPr>
            <w:tcW w:type="dxa" w:w="6160"/>
            <w:tcMar>
              <w:top w:type="dxa" w:w="60"/>
              <w:left w:type="dxa" w:w="100"/>
              <w:bottom w:type="dxa" w:w="60"/>
              <w:right w:type="dxa" w:w="100"/>
            </w:tcMar>
          </w:tcPr>
          <w:p>
            <w:pPr>
              <w:spacing w:after="0"/>
            </w:pPr>
            <w:r>
              <w:t xml:space="preserve">avg(6−concentration, tech disruption, 6−capacity tightness)</w:t>
            </w:r>
          </w:p>
        </w:tc>
      </w:tr>
    </w:tbl>
    <w:p>
      <w:pPr>
        <w:spacing w:after="120"/>
      </w:pPr>
      <w:r>
        <w:t xml:space="preserve">Levels: ≥3.6 High · ≥2.4 Moderate · otherwise Low, each with a category-manager interpretation. Displayed as a force diagram and a pentagon radar.</w:t>
      </w:r>
    </w:p>
    <w:p>
      <w:pPr>
        <w:pStyle w:val="Heading2"/>
        <w:spacing w:after="100" w:before="240"/>
      </w:pPr>
      <w:r>
        <w:t xml:space="preserve">Kraljic matrix (derived)</w:t>
      </w:r>
    </w:p>
    <w:p>
      <w:pPr>
        <w:spacing w:after="120"/>
      </w:pPr>
      <w:r>
        <w:rPr>
          <w:b/>
          <w:bCs/>
        </w:rPr>
        <w:t xml:space="preserve">Supply risk</w:t>
      </w:r>
      <w:r>
        <w:t xml:space="preserve"> = avg(concentration, switching difficulty, geo risk, substitute scarcity, capacity tightness). </w:t>
      </w:r>
      <w:r>
        <w:rPr>
          <w:b/>
          <w:bCs/>
        </w:rPr>
        <w:t xml:space="preserve">Business impact</w:t>
      </w:r>
      <w:r>
        <w:t xml:space="preserve"> = avg(spend share, criticality, visibility, value potential) — or 3 in generic mode. Quadrants at the 3.0 midlines: Strategic (partner), Leverage (compete), Bottleneck (secure supply), Non-critical (minimise effort), each with canonical posture guidance and quadrant-specific levers.</w:t>
      </w:r>
    </w:p>
    <w:p>
      <w:pPr>
        <w:pStyle w:val="Heading1"/>
        <w:spacing w:after="140" w:before="300"/>
      </w:pPr>
      <w:r>
        <w:t xml:space="preserve">3. SWOT, PESTLE and research</w:t>
      </w:r>
    </w:p>
    <w:p>
      <w:pPr>
        <w:spacing w:after="120"/>
      </w:pPr>
      <w:r>
        <w:t xml:space="preserve">SWOT is drafted from the </w:t>
      </w:r>
      <w:r>
        <w:rPr>
          <w:b/>
          <w:bCs/>
        </w:rPr>
        <w:t xml:space="preserve">buyer’s</w:t>
      </w:r>
      <w:r>
        <w:t xml:space="preserve"> perspective (strengths/weaknesses internal to you; opportunities/threats external). PESTLE covers the supply market’s Political, Economic, Social, Technological, Legal and Environmental forces. The research assistant (Claude provider) adds live findings with declared sources and dates.</w:t>
      </w:r>
    </w:p>
    <w:p>
      <w:pPr>
        <w:pStyle w:val="Heading1"/>
        <w:spacing w:after="140" w:before="300"/>
      </w:pPr>
      <w:r>
        <w:t xml:space="preserve">4. Supplier frameworks</w:t>
      </w:r>
    </w:p>
    <w:p>
      <w:pPr>
        <w:pStyle w:val="Heading2"/>
        <w:spacing w:after="100" w:before="240"/>
      </w:pPr>
      <w:r>
        <w:t xml:space="preserve">Segmentation (our view of them)</w:t>
      </w:r>
    </w:p>
    <w:p>
      <w:pPr>
        <w:spacing w:after="120"/>
      </w:pPr>
      <w:r>
        <w:t xml:space="preserve">Capability × alignment 2×2: </w:t>
      </w:r>
      <w:r>
        <w:rPr>
          <w:b/>
          <w:bCs/>
        </w:rPr>
        <w:t xml:space="preserve">Strategic partner</w:t>
      </w:r>
      <w:r>
        <w:t xml:space="preserve"> (high/high — joint plans), </w:t>
      </w:r>
      <w:r>
        <w:rPr>
          <w:b/>
          <w:bCs/>
        </w:rPr>
        <w:t xml:space="preserve">Develop</w:t>
      </w:r>
      <w:r>
        <w:t xml:space="preserve"> (invest and grow carefully), </w:t>
      </w:r>
      <w:r>
        <w:rPr>
          <w:b/>
          <w:bCs/>
        </w:rPr>
        <w:t xml:space="preserve">Transactional expert</w:t>
      </w:r>
      <w:r>
        <w:t xml:space="preserve"> (capable but unaligned — contract tightly), </w:t>
      </w:r>
      <w:r>
        <w:rPr>
          <w:b/>
          <w:bCs/>
        </w:rPr>
        <w:t xml:space="preserve">Tactical / phase out</w:t>
      </w:r>
      <w:r>
        <w:t xml:space="preserve"> (consolidate away). Scorecard dimensions: quality, delivery, cost, innovation, ESG (1–5).</w:t>
      </w:r>
    </w:p>
    <w:p>
      <w:pPr>
        <w:pStyle w:val="Heading2"/>
        <w:spacing w:after="100" w:before="240"/>
      </w:pPr>
      <w:r>
        <w:t xml:space="preserve">Preferencing (their view of us)</w:t>
      </w:r>
    </w:p>
    <w:p>
      <w:pPr>
        <w:spacing w:after="120"/>
      </w:pPr>
      <w:r>
        <w:t xml:space="preserve">Two inputs, both 1–5: </w:t>
      </w:r>
      <w:r>
        <w:rPr>
          <w:b/>
          <w:bCs/>
        </w:rPr>
        <w:t xml:space="preserve">account attractiveness</w:t>
      </w:r>
      <w:r>
        <w:t xml:space="preserve"> (how appealing your business is to them) and </w:t>
      </w:r>
      <w:r>
        <w:rPr>
          <w:b/>
          <w:bCs/>
        </w:rPr>
        <w:t xml:space="preserve">relative value</w:t>
      </w:r>
      <w:r>
        <w:t xml:space="preserve"> (your spend as a share of their revenue). Quadrants: Core, Development, Exploitable, Nuisance. This is explicitly a </w:t>
      </w:r>
      <w:r>
        <w:rPr>
          <w:b/>
          <w:bCs/>
        </w:rPr>
        <w:t xml:space="preserve">subjective judgement, not a measurement</w:t>
      </w:r>
      <w:r>
        <w:t xml:space="preserve"> — the AI placement is a best suggestion from outside signals; sharpen it with relationship history and the supplier’s published revenue versus your annual spend.</w:t>
      </w:r>
    </w:p>
    <w:p>
      <w:pPr>
        <w:pStyle w:val="Heading2"/>
        <w:spacing w:after="100" w:before="240"/>
      </w:pPr>
      <w:r>
        <w:t xml:space="preserve">Contract tiering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shd w:fill="EEF4F1" w:val="clear"/>
            <w:tcMar>
              <w:top w:type="dxa" w:w="60"/>
              <w:left w:type="dxa" w:w="100"/>
              <w:bottom w:type="dxa" w:w="60"/>
              <w:right w:type="dxa" w:w="100"/>
            </w:tcMar>
          </w:tcPr>
          <w:p>
            <w:pPr>
              <w:spacing w:after="0"/>
            </w:pPr>
            <w:r>
              <w:rPr>
                <w:b/>
                <w:bCs/>
              </w:rPr>
              <w:t xml:space="preserve">Tier</w:t>
            </w:r>
          </w:p>
        </w:tc>
        <w:tc>
          <w:tcPr>
            <w:tcW w:type="dxa" w:w="3200"/>
            <w:shd w:fill="EEF4F1" w:val="clear"/>
            <w:tcMar>
              <w:top w:type="dxa" w:w="60"/>
              <w:left w:type="dxa" w:w="100"/>
              <w:bottom w:type="dxa" w:w="60"/>
              <w:right w:type="dxa" w:w="100"/>
            </w:tcMar>
          </w:tcPr>
          <w:p>
            <w:pPr>
              <w:spacing w:after="0"/>
            </w:pPr>
            <w:r>
              <w:rPr>
                <w:b/>
                <w:bCs/>
              </w:rPr>
              <w:t xml:space="preserve">Rule</w:t>
            </w:r>
          </w:p>
        </w:tc>
        <w:tc>
          <w:tcPr>
            <w:tcW w:type="dxa" w:w="3960"/>
            <w:shd w:fill="EEF4F1" w:val="clear"/>
            <w:tcMar>
              <w:top w:type="dxa" w:w="60"/>
              <w:left w:type="dxa" w:w="100"/>
              <w:bottom w:type="dxa" w:w="60"/>
              <w:right w:type="dxa" w:w="100"/>
            </w:tcMar>
          </w:tcPr>
          <w:p>
            <w:pPr>
              <w:spacing w:after="0"/>
            </w:pPr>
            <w:r>
              <w:rPr>
                <w:b/>
                <w:bCs/>
              </w:rPr>
              <w:t xml:space="preserve">Governance</w:t>
            </w:r>
          </w:p>
        </w:tc>
      </w:tr>
      <w:tr>
        <w:tc>
          <w:tcPr>
            <w:tcW w:type="dxa" w:w="2200"/>
            <w:tcMar>
              <w:top w:type="dxa" w:w="60"/>
              <w:left w:type="dxa" w:w="100"/>
              <w:bottom w:type="dxa" w:w="60"/>
              <w:right w:type="dxa" w:w="100"/>
            </w:tcMar>
          </w:tcPr>
          <w:p>
            <w:pPr>
              <w:spacing w:after="0"/>
            </w:pPr>
            <w:r>
              <w:t xml:space="preserve">Tier 1 / 🥇 Gold</w:t>
            </w:r>
          </w:p>
        </w:tc>
        <w:tc>
          <w:tcPr>
            <w:tcW w:type="dxa" w:w="3200"/>
            <w:tcMar>
              <w:top w:type="dxa" w:w="60"/>
              <w:left w:type="dxa" w:w="100"/>
              <w:bottom w:type="dxa" w:w="60"/>
              <w:right w:type="dxa" w:w="100"/>
            </w:tcMar>
          </w:tcPr>
          <w:p>
            <w:pPr>
              <w:spacing w:after="0"/>
            </w:pPr>
            <w:r>
              <w:t xml:space="preserve">Strategic-partner segment or &gt;15% of category spend</w:t>
            </w:r>
          </w:p>
        </w:tc>
        <w:tc>
          <w:tcPr>
            <w:tcW w:type="dxa" w:w="3960"/>
            <w:tcMar>
              <w:top w:type="dxa" w:w="60"/>
              <w:left w:type="dxa" w:w="100"/>
              <w:bottom w:type="dxa" w:w="60"/>
              <w:right w:type="dxa" w:w="100"/>
            </w:tcMar>
          </w:tcPr>
          <w:p>
            <w:pPr>
              <w:spacing w:after="0"/>
            </w:pPr>
            <w:r>
              <w:t xml:space="preserve">Quarterly exec QBRs · joint account plan · named SRM manager · innovation agenda</w:t>
            </w:r>
          </w:p>
        </w:tc>
      </w:tr>
      <w:tr>
        <w:tc>
          <w:tcPr>
            <w:tcW w:type="dxa" w:w="2200"/>
            <w:tcMar>
              <w:top w:type="dxa" w:w="60"/>
              <w:left w:type="dxa" w:w="100"/>
              <w:bottom w:type="dxa" w:w="60"/>
              <w:right w:type="dxa" w:w="100"/>
            </w:tcMar>
          </w:tcPr>
          <w:p>
            <w:pPr>
              <w:spacing w:after="0"/>
            </w:pPr>
            <w:r>
              <w:t xml:space="preserve">Tier 2 / 🥈 Silver</w:t>
            </w:r>
          </w:p>
        </w:tc>
        <w:tc>
          <w:tcPr>
            <w:tcW w:type="dxa" w:w="3200"/>
            <w:tcMar>
              <w:top w:type="dxa" w:w="60"/>
              <w:left w:type="dxa" w:w="100"/>
              <w:bottom w:type="dxa" w:w="60"/>
              <w:right w:type="dxa" w:w="100"/>
            </w:tcMar>
          </w:tcPr>
          <w:p>
            <w:pPr>
              <w:spacing w:after="0"/>
            </w:pPr>
            <w:r>
              <w:t xml:space="preserve">Develop segment or &gt;5% of spend</w:t>
            </w:r>
          </w:p>
        </w:tc>
        <w:tc>
          <w:tcPr>
            <w:tcW w:type="dxa" w:w="3960"/>
            <w:tcMar>
              <w:top w:type="dxa" w:w="60"/>
              <w:left w:type="dxa" w:w="100"/>
              <w:bottom w:type="dxa" w:w="60"/>
              <w:right w:type="dxa" w:w="100"/>
            </w:tcMar>
          </w:tcPr>
          <w:p>
            <w:pPr>
              <w:spacing w:after="0"/>
            </w:pPr>
            <w:r>
              <w:t xml:space="preserve">Bi-annual reviews · scorecard tracked · escalation route</w:t>
            </w:r>
          </w:p>
        </w:tc>
      </w:tr>
      <w:tr>
        <w:tc>
          <w:tcPr>
            <w:tcW w:type="dxa" w:w="2200"/>
            <w:tcMar>
              <w:top w:type="dxa" w:w="60"/>
              <w:left w:type="dxa" w:w="100"/>
              <w:bottom w:type="dxa" w:w="60"/>
              <w:right w:type="dxa" w:w="100"/>
            </w:tcMar>
          </w:tcPr>
          <w:p>
            <w:pPr>
              <w:spacing w:after="0"/>
            </w:pPr>
            <w:r>
              <w:t xml:space="preserve">Tier 3 / 🥉 Bronze</w:t>
            </w:r>
          </w:p>
        </w:tc>
        <w:tc>
          <w:tcPr>
            <w:tcW w:type="dxa" w:w="3200"/>
            <w:tcMar>
              <w:top w:type="dxa" w:w="60"/>
              <w:left w:type="dxa" w:w="100"/>
              <w:bottom w:type="dxa" w:w="60"/>
              <w:right w:type="dxa" w:w="100"/>
            </w:tcMar>
          </w:tcPr>
          <w:p>
            <w:pPr>
              <w:spacing w:after="0"/>
            </w:pPr>
            <w:r>
              <w:t xml:space="preserve">Everyone else</w:t>
            </w:r>
          </w:p>
        </w:tc>
        <w:tc>
          <w:tcPr>
            <w:tcW w:type="dxa" w:w="3960"/>
            <w:tcMar>
              <w:top w:type="dxa" w:w="60"/>
              <w:left w:type="dxa" w:w="100"/>
              <w:bottom w:type="dxa" w:w="60"/>
              <w:right w:type="dxa" w:w="100"/>
            </w:tcMar>
          </w:tcPr>
          <w:p>
            <w:pPr>
              <w:spacing w:after="0"/>
            </w:pPr>
            <w:r>
              <w:t xml:space="preserve">Annual light-touch · catalogue/P2P channel</w:t>
            </w:r>
          </w:p>
        </w:tc>
      </w:tr>
    </w:tbl>
    <w:p>
      <w:pPr>
        <w:spacing w:after="120"/>
      </w:pPr>
      <w:r>
        <w:t xml:space="preserve">Gold/Silver/Bronze is the recognised </w:t>
      </w:r>
      <w:r>
        <w:rPr>
          <w:b/>
          <w:bCs/>
        </w:rPr>
        <w:t xml:space="preserve">public-procurement (GCF) naming</w:t>
      </w:r>
      <w:r>
        <w:t xml:space="preserve"> and the recommended scheme. The </w:t>
      </w:r>
      <w:r>
        <w:rPr>
          <w:b/>
          <w:bCs/>
        </w:rPr>
        <w:t xml:space="preserve">tier calculator</w:t>
      </w:r>
      <w:r>
        <w:t xml:space="preserve"> scores any single contract: weighted score = 0.5 × value/criticality + 0.3 × supply risk + 0.2 × contract complexity; ≥3.8 → Tier 1/Gold, ≥2.6 → Tier 2/Silver, else Tier 3/Bronze. It is a decision aid — the segment + spend rule above remains the primary basis.</w:t>
      </w:r>
    </w:p>
    <w:p>
      <w:pPr>
        <w:pStyle w:val="Heading1"/>
        <w:spacing w:after="140" w:before="300"/>
      </w:pPr>
      <w:r>
        <w:t xml:space="preserve">5. The Purchasing Chessboard</w:t>
      </w:r>
    </w:p>
    <w:p>
      <w:pPr>
        <w:spacing w:after="120"/>
      </w:pPr>
      <w:r>
        <w:t xml:space="preserve">Four base strategies, one per power quadrant (demand power × supplier power): </w:t>
      </w:r>
      <w:r>
        <w:rPr>
          <w:b/>
          <w:bCs/>
        </w:rPr>
        <w:t xml:space="preserve">Leverage competition among suppliers</w:t>
      </w:r>
      <w:r>
        <w:t xml:space="preserve"> (you strong / they weak), </w:t>
      </w:r>
      <w:r>
        <w:rPr>
          <w:b/>
          <w:bCs/>
        </w:rPr>
        <w:t xml:space="preserve">Seek joint advantage with supplier</w:t>
      </w:r>
      <w:r>
        <w:t xml:space="preserve"> (both strong), </w:t>
      </w:r>
      <w:r>
        <w:rPr>
          <w:b/>
          <w:bCs/>
        </w:rPr>
        <w:t xml:space="preserve">Change the nature of demand</w:t>
      </w:r>
      <w:r>
        <w:t xml:space="preserve"> (they strong), </w:t>
      </w:r>
      <w:r>
        <w:rPr>
          <w:b/>
          <w:bCs/>
        </w:rPr>
        <w:t xml:space="preserve">Manage spend</w:t>
      </w:r>
      <w:r>
        <w:t xml:space="preserve"> (both weak). Each strategy has 4 approaches × 4 methods = 16; 64 methods in total, drawn as a literal 8×8 grid. The built-in board is ProcureAI’s open version; organisations licensing the A.T. Kearney Purchasing Chessboard can load the official data via Admin. Recommendations accumulate to a 15-method cap with High/Medium fit rankings; only “Keep”-ticked methods flow downstream.</w:t>
      </w:r>
    </w:p>
    <w:p>
      <w:pPr>
        <w:pStyle w:val="Heading1"/>
        <w:spacing w:after="140" w:before="300"/>
      </w:pPr>
      <w:r>
        <w:t xml:space="preserve">6. Cost drivers, levers and archetypes</w:t>
      </w:r>
    </w:p>
    <w:p>
      <w:pPr>
        <w:pStyle w:val="ListParagraph"/>
        <w:numPr>
          <w:ilvl w:val="0"/>
          <w:numId w:val="2"/>
        </w:numPr>
        <w:spacing w:after="60"/>
      </w:pPr>
      <w:r>
        <w:rPr>
          <w:b/>
          <w:bCs/>
        </w:rPr>
        <w:t xml:space="preserve">16 cost drivers</w:t>
      </w:r>
      <w:r>
        <w:t xml:space="preserve"> — the should-cost building blocks (labour, materials, energy, logistics, licences, margin, and so on), weighted to 100% per category.</w:t>
      </w:r>
    </w:p>
    <w:p>
      <w:pPr>
        <w:pStyle w:val="ListParagraph"/>
        <w:numPr>
          <w:ilvl w:val="0"/>
          <w:numId w:val="2"/>
        </w:numPr>
        <w:spacing w:after="60"/>
      </w:pPr>
      <w:r>
        <w:rPr>
          <w:b/>
          <w:bCs/>
        </w:rPr>
        <w:t xml:space="preserve">21 purchasing levers</w:t>
      </w:r>
      <w:r>
        <w:t xml:space="preserve"> — each with a description and a typical saving range, from demand management and volume bundling through specification, competition and relationship levers.</w:t>
      </w:r>
    </w:p>
    <w:p>
      <w:pPr>
        <w:pStyle w:val="ListParagraph"/>
        <w:numPr>
          <w:ilvl w:val="0"/>
          <w:numId w:val="2"/>
        </w:numPr>
        <w:spacing w:after="60"/>
      </w:pPr>
      <w:r>
        <w:rPr>
          <w:b/>
          <w:bCs/>
        </w:rPr>
        <w:t xml:space="preserve">22 category archetypes</w:t>
      </w:r>
      <w:r>
        <w:t xml:space="preserve"> — curated entries (Management Consultancy, SaaS, Software, Hardware, Cloud, Legal, Fleet, Travel, Contingent Labour, Construction, Real Estate, Packaging, Chemicals, Capital Equipment, Energy and more), each with driver weightings, ranked levers, demand drivers, risks, savings opportunities and KPIs — grounded in the category-management reference material, not generic AI output. Custom archetypes can be added via Admin.</w:t>
      </w:r>
    </w:p>
    <w:p>
      <w:pPr>
        <w:pStyle w:val="Heading1"/>
        <w:spacing w:after="140" w:before="300"/>
      </w:pPr>
      <w:r>
        <w:t xml:space="preserve">7. Negotiation, execution and value frameworks</w:t>
      </w:r>
    </w:p>
    <w:p>
      <w:pPr>
        <w:pStyle w:val="ListParagraph"/>
        <w:numPr>
          <w:ilvl w:val="0"/>
          <w:numId w:val="2"/>
        </w:numPr>
        <w:spacing w:after="60"/>
      </w:pPr>
      <w:r>
        <w:rPr>
          <w:b/>
          <w:bCs/>
        </w:rPr>
        <w:t xml:space="preserve">Negotiation (Huthwaite-style)</w:t>
      </w:r>
      <w:r>
        <w:t xml:space="preserve">: objectives and BATNAs for both sides; a negotiable-issues matrix with opening, target, walk-away, priority and concession cost; a trading board of asymmetric-value trades; four behaviour phases — set the scene, exchange information, bargain, conclude.</w:t>
      </w:r>
    </w:p>
    <w:p>
      <w:pPr>
        <w:pStyle w:val="ListParagraph"/>
        <w:numPr>
          <w:ilvl w:val="0"/>
          <w:numId w:val="2"/>
        </w:numPr>
        <w:spacing w:after="60"/>
      </w:pPr>
      <w:r>
        <w:rPr>
          <w:b/>
          <w:bCs/>
        </w:rPr>
        <w:t xml:space="preserve">Execution</w:t>
      </w:r>
      <w:r>
        <w:t xml:space="preserve">: a 12-quarter (3-year) Gantt of 6–8 workstreams and a RACI across Category Manager, Procurement Director, Business Owner, Finance, Legal, Supplier.</w:t>
      </w:r>
    </w:p>
    <w:p>
      <w:pPr>
        <w:pStyle w:val="ListParagraph"/>
        <w:numPr>
          <w:ilvl w:val="0"/>
          <w:numId w:val="2"/>
        </w:numPr>
        <w:spacing w:after="60"/>
      </w:pPr>
      <w:r>
        <w:rPr>
          <w:b/>
          <w:bCs/>
        </w:rPr>
        <w:t xml:space="preserve">Value</w:t>
      </w:r>
      <w:r>
        <w:t xml:space="preserve">: savings pipeline (status Idea → Validated → In delivery → Delivered, with planned % and gated delivered %), 3-year KPI tracker, maturity self-assessment across Strategy &amp; planning, Data &amp; market intelligence, Supplier management, Talent &amp; skills, Process &amp; digital (1 = ad hoc, 5 = leading practice), and a benefits register across Cash, Cost avoidance, Efficiency, Carbon and Social value.</w:t>
      </w:r>
    </w:p>
    <w:p>
      <w:pPr>
        <w:pStyle w:val="Heading1"/>
        <w:spacing w:after="140" w:before="300"/>
      </w:pPr>
      <w:r>
        <w:t xml:space="preserve">8. Module reviews, progress and the demo tour</w:t>
      </w:r>
    </w:p>
    <w:p>
      <w:pPr>
        <w:spacing w:after="120"/>
      </w:pPr>
      <w:r>
        <w:t xml:space="preserve">Every module exposes its output for individual review: the </w:t>
      </w:r>
      <w:r>
        <w:rPr>
          <w:b/>
          <w:bCs/>
        </w:rPr>
        <w:t xml:space="preserve">Module review card</w:t>
      </w:r>
      <w:r>
        <w:t xml:space="preserve"> (bottom of each screen) shows a Complete/Pending badge, an SVG chart where the output is chartable, and a per-module Word report. Completion is tracked per module — green dot in the rail when the module has produced output, amber while pending — driven by the actual state (e.g. the chessboard turns green only when at least one method is ticked Keep; the market hub when variables have been scored). The </w:t>
      </w:r>
      <w:r>
        <w:rPr>
          <w:b/>
          <w:bCs/>
        </w:rPr>
        <w:t xml:space="preserve">▶ Demo tour</w:t>
      </w:r>
      <w:r>
        <w:t xml:space="preserve"> loads a full simulated dataset through the Sandbox engine and narrates all modules in 16 stops.</w:t>
      </w:r>
    </w:p>
    <w:p>
      <w:pPr>
        <w:pStyle w:val="Heading1"/>
        <w:spacing w:after="140" w:before="300"/>
      </w:pPr>
      <w:r>
        <w:t xml:space="preserve">9. The elevator pitch and FAQs</w:t>
      </w:r>
    </w:p>
    <w:p>
      <w:pPr>
        <w:spacing w:after="120"/>
      </w:pPr>
      <w:r>
        <w:t xml:space="preserve">The pitch is generated from a </w:t>
      </w:r>
      <w:r>
        <w:rPr>
          <w:b/>
          <w:bCs/>
        </w:rPr>
        <w:t xml:space="preserve">source-tagged fact list</w:t>
      </w:r>
      <w:r>
        <w:t xml:space="preserve"> (each fact names the step it came from) with an instruction to invent no numbers; where a likely question isn’t covered, it says so and names the data that would settle it. Alongside it: the 10 questions a sceptical CFO or business owner would ask, each answered from the facts with its source step shown. Both are editable and export to Word.</w:t>
      </w:r>
    </w:p>
    <w:p>
      <w:pPr>
        <w:pStyle w:val="Heading1"/>
        <w:spacing w:after="140" w:before="300"/>
      </w:pPr>
      <w:r>
        <w:t xml:space="preserve">10. AI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shd w:fill="EEF4F1" w:val="clear"/>
            <w:tcMar>
              <w:top w:type="dxa" w:w="60"/>
              <w:left w:type="dxa" w:w="100"/>
              <w:bottom w:type="dxa" w:w="60"/>
              <w:right w:type="dxa" w:w="100"/>
            </w:tcMar>
          </w:tcPr>
          <w:p>
            <w:pPr>
              <w:spacing w:after="0"/>
            </w:pPr>
            <w:r>
              <w:rPr>
                <w:b/>
                <w:bCs/>
              </w:rPr>
              <w:t xml:space="preserve">Provider</w:t>
            </w:r>
          </w:p>
        </w:tc>
        <w:tc>
          <w:tcPr>
            <w:tcW w:type="dxa" w:w="1600"/>
            <w:shd w:fill="EEF4F1" w:val="clear"/>
            <w:tcMar>
              <w:top w:type="dxa" w:w="60"/>
              <w:left w:type="dxa" w:w="100"/>
              <w:bottom w:type="dxa" w:w="60"/>
              <w:right w:type="dxa" w:w="100"/>
            </w:tcMar>
          </w:tcPr>
          <w:p>
            <w:pPr>
              <w:spacing w:after="0"/>
            </w:pPr>
            <w:r>
              <w:rPr>
                <w:b/>
                <w:bCs/>
              </w:rPr>
              <w:t xml:space="preserve">Key</w:t>
            </w:r>
          </w:p>
        </w:tc>
        <w:tc>
          <w:tcPr>
            <w:tcW w:type="dxa" w:w="5360"/>
            <w:shd w:fill="EEF4F1" w:val="clear"/>
            <w:tcMar>
              <w:top w:type="dxa" w:w="60"/>
              <w:left w:type="dxa" w:w="100"/>
              <w:bottom w:type="dxa" w:w="60"/>
              <w:right w:type="dxa" w:w="100"/>
            </w:tcMar>
          </w:tcPr>
          <w:p>
            <w:pPr>
              <w:spacing w:after="0"/>
            </w:pPr>
            <w:r>
              <w:rPr>
                <w:b/>
                <w:bCs/>
              </w:rPr>
              <w:t xml:space="preserve">Notes</w:t>
            </w:r>
          </w:p>
        </w:tc>
      </w:tr>
      <w:tr>
        <w:tc>
          <w:tcPr>
            <w:tcW w:type="dxa" w:w="2400"/>
            <w:tcMar>
              <w:top w:type="dxa" w:w="60"/>
              <w:left w:type="dxa" w:w="100"/>
              <w:bottom w:type="dxa" w:w="60"/>
              <w:right w:type="dxa" w:w="100"/>
            </w:tcMar>
          </w:tcPr>
          <w:p>
            <w:pPr>
              <w:spacing w:after="0"/>
            </w:pPr>
            <w:r>
              <w:t xml:space="preserve">Claude — in-app</w:t>
            </w:r>
          </w:p>
        </w:tc>
        <w:tc>
          <w:tcPr>
            <w:tcW w:type="dxa" w:w="1600"/>
            <w:tcMar>
              <w:top w:type="dxa" w:w="60"/>
              <w:left w:type="dxa" w:w="100"/>
              <w:bottom w:type="dxa" w:w="60"/>
              <w:right w:type="dxa" w:w="100"/>
            </w:tcMar>
          </w:tcPr>
          <w:p>
            <w:pPr>
              <w:spacing w:after="0"/>
            </w:pPr>
            <w:r>
              <w:t xml:space="preserve">None</w:t>
            </w:r>
          </w:p>
        </w:tc>
        <w:tc>
          <w:tcPr>
            <w:tcW w:type="dxa" w:w="5360"/>
            <w:tcMar>
              <w:top w:type="dxa" w:w="60"/>
              <w:left w:type="dxa" w:w="100"/>
              <w:bottom w:type="dxa" w:w="60"/>
              <w:right w:type="dxa" w:w="100"/>
            </w:tcMar>
          </w:tcPr>
          <w:p>
            <w:pPr>
              <w:spacing w:after="0"/>
            </w:pPr>
            <w:r>
              <w:t xml:space="preserve">Works inside Claude.ai; supports web-search research</w:t>
            </w:r>
          </w:p>
        </w:tc>
      </w:tr>
      <w:tr>
        <w:tc>
          <w:tcPr>
            <w:tcW w:type="dxa" w:w="2400"/>
            <w:tcMar>
              <w:top w:type="dxa" w:w="60"/>
              <w:left w:type="dxa" w:w="100"/>
              <w:bottom w:type="dxa" w:w="60"/>
              <w:right w:type="dxa" w:w="100"/>
            </w:tcMar>
          </w:tcPr>
          <w:p>
            <w:pPr>
              <w:spacing w:after="0"/>
            </w:pPr>
            <w:r>
              <w:t xml:space="preserve">Claude — API key</w:t>
            </w:r>
          </w:p>
        </w:tc>
        <w:tc>
          <w:tcPr>
            <w:tcW w:type="dxa" w:w="1600"/>
            <w:tcMar>
              <w:top w:type="dxa" w:w="60"/>
              <w:left w:type="dxa" w:w="100"/>
              <w:bottom w:type="dxa" w:w="60"/>
              <w:right w:type="dxa" w:w="100"/>
            </w:tcMar>
          </w:tcPr>
          <w:p>
            <w:pPr>
              <w:spacing w:after="0"/>
            </w:pPr>
            <w:r>
              <w:t xml:space="preserve">sk-ant-…</w:t>
            </w:r>
          </w:p>
        </w:tc>
        <w:tc>
          <w:tcPr>
            <w:tcW w:type="dxa" w:w="5360"/>
            <w:tcMar>
              <w:top w:type="dxa" w:w="60"/>
              <w:left w:type="dxa" w:w="100"/>
              <w:bottom w:type="dxa" w:w="60"/>
              <w:right w:type="dxa" w:w="100"/>
            </w:tcMar>
          </w:tcPr>
          <w:p>
            <w:pPr>
              <w:spacing w:after="0"/>
            </w:pPr>
            <w:r>
              <w:t xml:space="preserve">Direct browser call; supports web-search research</w:t>
            </w:r>
          </w:p>
        </w:tc>
      </w:tr>
      <w:tr>
        <w:tc>
          <w:tcPr>
            <w:tcW w:type="dxa" w:w="2400"/>
            <w:tcMar>
              <w:top w:type="dxa" w:w="60"/>
              <w:left w:type="dxa" w:w="100"/>
              <w:bottom w:type="dxa" w:w="60"/>
              <w:right w:type="dxa" w:w="100"/>
            </w:tcMar>
          </w:tcPr>
          <w:p>
            <w:pPr>
              <w:spacing w:after="0"/>
            </w:pPr>
            <w:r>
              <w:t xml:space="preserve">Google Gemini</w:t>
            </w:r>
          </w:p>
        </w:tc>
        <w:tc>
          <w:tcPr>
            <w:tcW w:type="dxa" w:w="1600"/>
            <w:tcMar>
              <w:top w:type="dxa" w:w="60"/>
              <w:left w:type="dxa" w:w="100"/>
              <w:bottom w:type="dxa" w:w="60"/>
              <w:right w:type="dxa" w:w="100"/>
            </w:tcMar>
          </w:tcPr>
          <w:p>
            <w:pPr>
              <w:spacing w:after="0"/>
            </w:pPr>
            <w:r>
              <w:t xml:space="preserve">AIza…</w:t>
            </w:r>
          </w:p>
        </w:tc>
        <w:tc>
          <w:tcPr>
            <w:tcW w:type="dxa" w:w="5360"/>
            <w:tcMar>
              <w:top w:type="dxa" w:w="60"/>
              <w:left w:type="dxa" w:w="100"/>
              <w:bottom w:type="dxa" w:w="60"/>
              <w:right w:type="dxa" w:w="100"/>
            </w:tcMar>
          </w:tcPr>
          <w:p>
            <w:pPr>
              <w:spacing w:after="0"/>
            </w:pPr>
            <w:r>
              <w:t xml:space="preserve">gemini-2.5-flash default, 2.5-pro option, automatic model fallback</w:t>
            </w:r>
          </w:p>
        </w:tc>
      </w:tr>
      <w:tr>
        <w:tc>
          <w:tcPr>
            <w:tcW w:type="dxa" w:w="2400"/>
            <w:tcMar>
              <w:top w:type="dxa" w:w="60"/>
              <w:left w:type="dxa" w:w="100"/>
              <w:bottom w:type="dxa" w:w="60"/>
              <w:right w:type="dxa" w:w="100"/>
            </w:tcMar>
          </w:tcPr>
          <w:p>
            <w:pPr>
              <w:spacing w:after="0"/>
            </w:pPr>
            <w:r>
              <w:t xml:space="preserve">🏖 Sandbox</w:t>
            </w:r>
          </w:p>
        </w:tc>
        <w:tc>
          <w:tcPr>
            <w:tcW w:type="dxa" w:w="1600"/>
            <w:tcMar>
              <w:top w:type="dxa" w:w="60"/>
              <w:left w:type="dxa" w:w="100"/>
              <w:bottom w:type="dxa" w:w="60"/>
              <w:right w:type="dxa" w:w="100"/>
            </w:tcMar>
          </w:tcPr>
          <w:p>
            <w:pPr>
              <w:spacing w:after="0"/>
            </w:pPr>
            <w:r>
              <w:t xml:space="preserve">None</w:t>
            </w:r>
          </w:p>
        </w:tc>
        <w:tc>
          <w:tcPr>
            <w:tcW w:type="dxa" w:w="5360"/>
            <w:tcMar>
              <w:top w:type="dxa" w:w="60"/>
              <w:left w:type="dxa" w:w="100"/>
              <w:bottom w:type="dxa" w:w="60"/>
              <w:right w:type="dxa" w:w="100"/>
            </w:tcMar>
          </w:tcPr>
          <w:p>
            <w:pPr>
              <w:spacing w:after="0"/>
            </w:pPr>
            <w:r>
              <w:t xml:space="preserve">Offline simulated demo data from the archetype library; all outputs labelled [Sandbox — simulated]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ProcureAI Strategic Category Suite v1.0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4636B"/>
      <w:sz w:val="32"/>
      <w:szCs w:val="32"/>
    </w:rPr>
  </w:style>
  <w:style w:type="paragraph" w:styleId="Heading2">
    <w:name w:val="Heading 2"/>
    <w:basedOn w:val="Normal"/>
    <w:next w:val="Normal"/>
    <w:qFormat/>
    <w:pPr>
      <w:spacing w:after="100" w:before="240"/>
    </w:pPr>
    <w:rPr>
      <w:b/>
      <w:bCs/>
      <w:color w:val="20242B"/>
      <w:sz w:val="26"/>
      <w:szCs w:val="26"/>
    </w:rPr>
  </w:style>
  <w:style w:type="paragraph" w:styleId="Heading3">
    <w:name w:val="Heading 3"/>
    <w:basedOn w:val="Normal"/>
    <w:next w:val="Normal"/>
    <w:qFormat/>
    <w:pPr>
      <w:spacing w:after="80" w:before="180"/>
    </w:pPr>
    <w:rPr>
      <w:b/>
      <w:bCs/>
      <w:color w:val="6B72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2026-07-12T22:17:37.672Z</dcterms:created>
  <dcterms:modified xsi:type="dcterms:W3CDTF">2026-07-12T22:17:37.672Z</dcterms:modified>
</cp:coreProperties>
</file>

<file path=docProps/custom.xml><?xml version="1.0" encoding="utf-8"?>
<Properties xmlns="http://schemas.openxmlformats.org/officeDocument/2006/custom-properties" xmlns:vt="http://schemas.openxmlformats.org/officeDocument/2006/docPropsVTypes"/>
</file>