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0242B"/>
          <w:sz w:val="56"/>
          <w:szCs w:val="56"/>
        </w:rPr>
        <w:t xml:space="preserve">PROCUREAI</w:t>
      </w:r>
      <w:r>
        <w:rPr>
          <w:color w:val="14636B"/>
          <w:sz w:val="56"/>
          <w:szCs w:val="56"/>
        </w:rPr>
        <w:t xml:space="preserve">  ·  STRATEGIC CATEGORY SUITE</w:t>
      </w:r>
    </w:p>
    <w:p>
      <w:pPr>
        <w:spacing w:after="160"/>
      </w:pPr>
      <w:r>
        <w:rPr>
          <w:b/>
          <w:bCs/>
          <w:color w:val="20242B"/>
          <w:sz w:val="72"/>
          <w:szCs w:val="72"/>
        </w:rPr>
        <w:t xml:space="preserve">User Guide</w:t>
      </w:r>
    </w:p>
    <w:p>
      <w:pPr>
        <w:spacing w:after="240"/>
      </w:pPr>
      <w:r>
        <w:rPr>
          <w:color w:val="6B7280"/>
          <w:sz w:val="26"/>
          <w:szCs w:val="26"/>
        </w:rPr>
        <w:t xml:space="preserve">How a category manager builds a complete, defensible category strategy — from market data to a boardroom-ready Word document.</w:t>
      </w:r>
    </w:p>
    <w:p>
      <w:r>
        <w:rPr>
          <w:b/>
          <w:bCs/>
          <w:color w:val="B8860B"/>
          <w:sz w:val="22"/>
          <w:szCs w:val="22"/>
        </w:rPr>
        <w:t xml:space="preserve">Version 1.0 (release candidate — freeze after testing)   ·   2026-07-12</w:t>
      </w:r>
    </w:p>
    <w:p>
      <w:r>
        <w:br w:type="page"/>
      </w:r>
    </w:p>
    <w:p>
      <w:pPr>
        <w:spacing w:after="12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B7280"/>
          <w:sz w:val="18"/>
          <w:szCs w:val="18"/>
        </w:rPr>
        <w:t xml:space="preserve">In Word: right-click the table of contents and choose “Update Field” to populate page numbers.</w:t>
      </w:r>
    </w:p>
    <w:p>
      <w:r>
        <w:br w:type="page"/>
      </w:r>
    </w:p>
    <w:p>
      <w:pPr>
        <w:pStyle w:val="Heading1"/>
        <w:spacing w:after="140" w:before="300"/>
      </w:pPr>
      <w:r>
        <w:t xml:space="preserve">1. What this tool is</w:t>
      </w:r>
    </w:p>
    <w:p>
      <w:pPr>
        <w:spacing w:after="120"/>
      </w:pPr>
      <w:r>
        <w:t xml:space="preserve">ProcureAI Strategic Category Suite is a single-file application that walks you through building a </w:t>
      </w:r>
      <w:r>
        <w:rPr>
          <w:b/>
          <w:bCs/>
        </w:rPr>
        <w:t xml:space="preserve">complete category strategy in 15 steps across five phases</w:t>
      </w:r>
      <w:r>
        <w:t xml:space="preserve">: Intake, Assessment, Strategy, Bargaining and Execution, ending in a downloadable Word document. It is </w:t>
      </w:r>
      <w:r>
        <w:rPr>
          <w:b/>
          <w:bCs/>
        </w:rPr>
        <w:t xml:space="preserve">external-data-first</w:t>
      </w:r>
      <w:r>
        <w:t xml:space="preserve">: a full strategy can be built from market knowledge alone; internal data (spend files, contracts) sharpens the result but never blocks progress. When internal data is absent, a </w:t>
      </w:r>
      <w:r>
        <w:rPr>
          <w:b/>
          <w:bCs/>
        </w:rPr>
        <w:t xml:space="preserve">generic mode</w:t>
      </w:r>
      <w:r>
        <w:t xml:space="preserve"> banner appears and all AI output adjusts to sector-typical guidance.</w:t>
      </w:r>
    </w:p>
    <w:p>
      <w:pPr>
        <w:spacing w:after="120"/>
      </w:pPr>
      <w:r>
        <w:t xml:space="preserve">Everything the AI produces is </w:t>
      </w:r>
      <w:r>
        <w:rPr>
          <w:b/>
          <w:bCs/>
        </w:rPr>
        <w:t xml:space="preserve">editable, and everything carries a confidence flag</w:t>
      </w:r>
      <w:r>
        <w:t xml:space="preserve"> — the audit trail that makes the final document defensible.</w:t>
      </w:r>
    </w:p>
    <w:p>
      <w:pPr>
        <w:pStyle w:val="Heading1"/>
        <w:spacing w:after="140" w:before="300"/>
      </w:pPr>
      <w:r>
        <w:t xml:space="preserve">2. Getting started</w:t>
      </w:r>
    </w:p>
    <w:p>
      <w:pPr>
        <w:spacing w:after="120"/>
      </w:pPr>
      <w:r>
        <w:rPr>
          <w:b/>
          <w:bCs/>
        </w:rPr>
        <w:t xml:space="preserve">Fastest first look: click ▶ Demo tour in the header.</w:t>
      </w:r>
      <w:r>
        <w:t xml:space="preserve"> It loads a complete simulated Cloud Services category (generated offline by Sandbox mode) and walks you through all the modules in 16 narrated stops — every screen populated, every chart live, ending at the Word and PowerPoint downloads. Your own work is only replaced after a confirmation, and you can end the tour at any stop with ✕.</w:t>
      </w:r>
    </w:p>
    <w:p>
      <w:pPr>
        <w:pStyle w:val="ListParagraph"/>
        <w:numPr>
          <w:ilvl w:val="0"/>
          <w:numId w:val="2"/>
        </w:numPr>
        <w:spacing w:after="60"/>
      </w:pPr>
      <w:r>
        <w:rPr>
          <w:b/>
          <w:bCs/>
        </w:rPr>
        <w:t xml:space="preserve">Open the file</w:t>
      </w:r>
      <w:r>
        <w:t xml:space="preserve"> in any modern browser. Inside Claude.ai the AI works immediately with no key; standalone, open </w:t>
      </w:r>
      <w:r>
        <w:rPr>
          <w:b/>
          <w:bCs/>
        </w:rPr>
        <w:t xml:space="preserve">⚙ AI settings</w:t>
      </w:r>
      <w:r>
        <w:t xml:space="preserve"> in the header and choose a provider.</w:t>
      </w:r>
    </w:p>
    <w:p>
      <w:pPr>
        <w:pStyle w:val="ListParagraph"/>
        <w:numPr>
          <w:ilvl w:val="0"/>
          <w:numId w:val="2"/>
        </w:numPr>
        <w:spacing w:after="60"/>
      </w:pPr>
      <w:r>
        <w:rPr>
          <w:b/>
          <w:bCs/>
        </w:rPr>
        <w:t xml:space="preserve">Choose an AI provider</w:t>
      </w:r>
      <w:r>
        <w:t xml:space="preserve">: Claude in-app (no key, inside Claude.ai only), Claude with your API key, Google Gemini with your API key, or </w:t>
      </w:r>
      <w:r>
        <w:rPr>
          <w:b/>
          <w:bCs/>
        </w:rPr>
        <w:t xml:space="preserve">🏖 Sandbox</w:t>
      </w:r>
      <w:r>
        <w:t xml:space="preserve"> — offline simulated demo data with no key at all (see section 9).</w:t>
      </w:r>
    </w:p>
    <w:p>
      <w:pPr>
        <w:pStyle w:val="ListParagraph"/>
        <w:numPr>
          <w:ilvl w:val="0"/>
          <w:numId w:val="2"/>
        </w:numPr>
        <w:spacing w:after="60"/>
      </w:pPr>
      <w:r>
        <w:rPr>
          <w:b/>
          <w:bCs/>
        </w:rPr>
        <w:t xml:space="preserve">Fill the Category profile</w:t>
      </w:r>
      <w:r>
        <w:t xml:space="preserve"> — the category name drives archetype matching and every AI prompt, so name it plainly (e.g. “Contingent Labour”, “Cloud Services”).</w:t>
      </w:r>
    </w:p>
    <w:p>
      <w:pPr>
        <w:pStyle w:val="ListParagraph"/>
        <w:numPr>
          <w:ilvl w:val="0"/>
          <w:numId w:val="2"/>
        </w:numPr>
        <w:spacing w:after="60"/>
      </w:pPr>
      <w:r>
        <w:rPr>
          <w:b/>
          <w:bCs/>
        </w:rPr>
        <w:t xml:space="preserve">Work left to right</w:t>
      </w:r>
      <w:r>
        <w:t xml:space="preserve"> through the step bar. Each step has a 📚 Guide bubble (bottom corner) that answers questions about that exact screen.</w:t>
      </w:r>
    </w:p>
    <w:p>
      <w:pPr>
        <w:pStyle w:val="Heading1"/>
        <w:spacing w:after="140" w:before="300"/>
      </w:pPr>
      <w:r>
        <w:t xml:space="preserve">3. Progress tracking and module reviews</w:t>
      </w:r>
    </w:p>
    <w:p>
      <w:pPr>
        <w:spacing w:after="120"/>
      </w:pPr>
      <w:r>
        <w:t xml:space="preserve">The left rail shows a </w:t>
      </w:r>
      <w:r>
        <w:rPr>
          <w:b/>
          <w:bCs/>
        </w:rPr>
        <w:t xml:space="preserve">green dot</w:t>
      </w:r>
      <w:r>
        <w:t xml:space="preserve"> beside every module that has produced its output and an </w:t>
      </w:r>
      <w:r>
        <w:rPr>
          <w:b/>
          <w:bCs/>
        </w:rPr>
        <w:t xml:space="preserve">amber circle</w:t>
      </w:r>
      <w:r>
        <w:t xml:space="preserve"> where output is still pending, with an overall “X / 13 core modules complete” progress bar at the top (the two optional modules — internal data and 7Ps — stay amber without blocking anything). Hover any dot for what completes it.</w:t>
      </w:r>
    </w:p>
    <w:p>
      <w:pPr>
        <w:spacing w:after="120"/>
      </w:pPr>
      <w:r>
        <w:t xml:space="preserve">At the bottom of every screen sits the </w:t>
      </w:r>
      <w:r>
        <w:rPr>
          <w:b/>
          <w:bCs/>
        </w:rPr>
        <w:t xml:space="preserve">📊 Module review card</w:t>
      </w:r>
      <w:r>
        <w:t xml:space="preserve">: a Complete/Pending badge, a chart of the module’s output where one adds value — market variable bars, five-forces bars, the supplier capability×alignment scatter, risk severity bars, cost-driver weights, planned-vs-delivered savings, the workstream timeline — and a </w:t>
      </w:r>
      <w:r>
        <w:rPr>
          <w:b/>
          <w:bCs/>
        </w:rPr>
        <w:t xml:space="preserve">⬇ Module report (Word)</w:t>
      </w:r>
      <w:r>
        <w:t xml:space="preserve"> button that exports just that module for individual circulation or review, without the full document.</w:t>
      </w:r>
    </w:p>
    <w:p>
      <w:pPr>
        <w:pStyle w:val="Heading1"/>
        <w:spacing w:after="140" w:before="300"/>
      </w:pPr>
      <w:r>
        <w:t xml:space="preserve">4. The confidence system — the heart of the tool</w:t>
      </w:r>
    </w:p>
    <w:p>
      <w:pPr>
        <w:spacing w:after="120"/>
      </w:pPr>
      <w:r>
        <w:t xml:space="preserve">Every variable, score, table row and AI output carries one of three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shd w:fill="EEF4F1" w:val="clear"/>
            <w:tcMar>
              <w:top w:type="dxa" w:w="60"/>
              <w:left w:type="dxa" w:w="100"/>
              <w:bottom w:type="dxa" w:w="60"/>
              <w:right w:type="dxa" w:w="100"/>
            </w:tcMar>
          </w:tcPr>
          <w:p>
            <w:pPr>
              <w:spacing w:after="0"/>
            </w:pPr>
            <w:r>
              <w:rPr>
                <w:b/>
                <w:bCs/>
              </w:rPr>
              <w:t xml:space="preserve">Flag</w:t>
            </w:r>
          </w:p>
        </w:tc>
        <w:tc>
          <w:tcPr>
            <w:tcW w:type="dxa" w:w="3800"/>
            <w:shd w:fill="EEF4F1" w:val="clear"/>
            <w:tcMar>
              <w:top w:type="dxa" w:w="60"/>
              <w:left w:type="dxa" w:w="100"/>
              <w:bottom w:type="dxa" w:w="60"/>
              <w:right w:type="dxa" w:w="100"/>
            </w:tcMar>
          </w:tcPr>
          <w:p>
            <w:pPr>
              <w:spacing w:after="0"/>
            </w:pPr>
            <w:r>
              <w:rPr>
                <w:b/>
                <w:bCs/>
              </w:rPr>
              <w:t xml:space="preserve">Meaning</w:t>
            </w:r>
          </w:p>
        </w:tc>
        <w:tc>
          <w:tcPr>
            <w:tcW w:type="dxa" w:w="3760"/>
            <w:shd w:fill="EEF4F1" w:val="clear"/>
            <w:tcMar>
              <w:top w:type="dxa" w:w="60"/>
              <w:left w:type="dxa" w:w="100"/>
              <w:bottom w:type="dxa" w:w="60"/>
              <w:right w:type="dxa" w:w="100"/>
            </w:tcMar>
          </w:tcPr>
          <w:p>
            <w:pPr>
              <w:spacing w:after="0"/>
            </w:pPr>
            <w:r>
              <w:rPr>
                <w:b/>
                <w:bCs/>
              </w:rPr>
              <w:t xml:space="preserve">How it changes</w:t>
            </w:r>
          </w:p>
        </w:tc>
      </w:tr>
      <w:tr>
        <w:tc>
          <w:tcPr>
            <w:tcW w:type="dxa" w:w="1800"/>
            <w:tcMar>
              <w:top w:type="dxa" w:w="60"/>
              <w:left w:type="dxa" w:w="100"/>
              <w:bottom w:type="dxa" w:w="60"/>
              <w:right w:type="dxa" w:w="100"/>
            </w:tcMar>
          </w:tcPr>
          <w:p>
            <w:pPr>
              <w:spacing w:after="0"/>
            </w:pPr>
            <w:r>
              <w:t xml:space="preserve">User</w:t>
            </w:r>
          </w:p>
        </w:tc>
        <w:tc>
          <w:tcPr>
            <w:tcW w:type="dxa" w:w="3800"/>
            <w:tcMar>
              <w:top w:type="dxa" w:w="60"/>
              <w:left w:type="dxa" w:w="100"/>
              <w:bottom w:type="dxa" w:w="60"/>
              <w:right w:type="dxa" w:w="100"/>
            </w:tcMar>
          </w:tcPr>
          <w:p>
            <w:pPr>
              <w:spacing w:after="0"/>
            </w:pPr>
            <w:r>
              <w:t xml:space="preserve">You set or confirmed the value</w:t>
            </w:r>
          </w:p>
        </w:tc>
        <w:tc>
          <w:tcPr>
            <w:tcW w:type="dxa" w:w="3760"/>
            <w:tcMar>
              <w:top w:type="dxa" w:w="60"/>
              <w:left w:type="dxa" w:w="100"/>
              <w:bottom w:type="dxa" w:w="60"/>
              <w:right w:type="dxa" w:w="100"/>
            </w:tcMar>
          </w:tcPr>
          <w:p>
            <w:pPr>
              <w:spacing w:after="0"/>
            </w:pPr>
            <w:r>
              <w:t xml:space="preserve">Edit any cell, pick User in the Confidence dropdown, or click the green ✓</w:t>
            </w:r>
          </w:p>
        </w:tc>
      </w:tr>
      <w:tr>
        <w:tc>
          <w:tcPr>
            <w:tcW w:type="dxa" w:w="1800"/>
            <w:tcMar>
              <w:top w:type="dxa" w:w="60"/>
              <w:left w:type="dxa" w:w="100"/>
              <w:bottom w:type="dxa" w:w="60"/>
              <w:right w:type="dxa" w:w="100"/>
            </w:tcMar>
          </w:tcPr>
          <w:p>
            <w:pPr>
              <w:spacing w:after="0"/>
            </w:pPr>
            <w:r>
              <w:t xml:space="preserve">AI-inferred</w:t>
            </w:r>
          </w:p>
        </w:tc>
        <w:tc>
          <w:tcPr>
            <w:tcW w:type="dxa" w:w="3800"/>
            <w:tcMar>
              <w:top w:type="dxa" w:w="60"/>
              <w:left w:type="dxa" w:w="100"/>
              <w:bottom w:type="dxa" w:w="60"/>
              <w:right w:type="dxa" w:w="100"/>
            </w:tcMar>
          </w:tcPr>
          <w:p>
            <w:pPr>
              <w:spacing w:after="0"/>
            </w:pPr>
            <w:r>
              <w:t xml:space="preserve">Generated by AI, awaiting your review</w:t>
            </w:r>
          </w:p>
        </w:tc>
        <w:tc>
          <w:tcPr>
            <w:tcW w:type="dxa" w:w="3760"/>
            <w:tcMar>
              <w:top w:type="dxa" w:w="60"/>
              <w:left w:type="dxa" w:w="100"/>
              <w:bottom w:type="dxa" w:w="60"/>
              <w:right w:type="dxa" w:w="100"/>
            </w:tcMar>
          </w:tcPr>
          <w:p>
            <w:pPr>
              <w:spacing w:after="0"/>
            </w:pPr>
            <w:r>
              <w:t xml:space="preserve">Becomes User the moment you edit or confirm it</w:t>
            </w:r>
          </w:p>
        </w:tc>
      </w:tr>
      <w:tr>
        <w:tc>
          <w:tcPr>
            <w:tcW w:type="dxa" w:w="1800"/>
            <w:tcMar>
              <w:top w:type="dxa" w:w="60"/>
              <w:left w:type="dxa" w:w="100"/>
              <w:bottom w:type="dxa" w:w="60"/>
              <w:right w:type="dxa" w:w="100"/>
            </w:tcMar>
          </w:tcPr>
          <w:p>
            <w:pPr>
              <w:spacing w:after="0"/>
            </w:pPr>
            <w:r>
              <w:t xml:space="preserve">Assumed</w:t>
            </w:r>
          </w:p>
        </w:tc>
        <w:tc>
          <w:tcPr>
            <w:tcW w:type="dxa" w:w="3800"/>
            <w:tcMar>
              <w:top w:type="dxa" w:w="60"/>
              <w:left w:type="dxa" w:w="100"/>
              <w:bottom w:type="dxa" w:w="60"/>
              <w:right w:type="dxa" w:w="100"/>
            </w:tcMar>
          </w:tcPr>
          <w:p>
            <w:pPr>
              <w:spacing w:after="0"/>
            </w:pPr>
            <w:r>
              <w:t xml:space="preserve">An untouched default</w:t>
            </w:r>
          </w:p>
        </w:tc>
        <w:tc>
          <w:tcPr>
            <w:tcW w:type="dxa" w:w="3760"/>
            <w:tcMar>
              <w:top w:type="dxa" w:w="60"/>
              <w:left w:type="dxa" w:w="100"/>
              <w:bottom w:type="dxa" w:w="60"/>
              <w:right w:type="dxa" w:w="100"/>
            </w:tcMar>
          </w:tcPr>
          <w:p>
            <w:pPr>
              <w:spacing w:after="0"/>
            </w:pPr>
            <w:r>
              <w:t xml:space="preserve">Becomes User when you set it</w:t>
            </w:r>
          </w:p>
        </w:tc>
      </w:tr>
    </w:tbl>
    <w:p>
      <w:pPr>
        <w:spacing w:after="120"/>
      </w:pPr>
      <w:r>
        <w:t xml:space="preserve">The </w:t>
      </w:r>
      <w:r>
        <w:rPr>
          <w:b/>
          <w:bCs/>
        </w:rPr>
        <w:t xml:space="preserve">assumption register</w:t>
      </w:r>
      <w:r>
        <w:t xml:space="preserve"> in the Strategy step lists every input with its flag and source. Unreviewed rows stay visibly AI-inferred in the exported document — reviewers see exactly what has and hasn’t been validated. Converting flags to User by reviewing is what turns a draft into a defensible strategy.</w:t>
      </w:r>
    </w:p>
    <w:p>
      <w:pPr>
        <w:pStyle w:val="Heading1"/>
        <w:spacing w:after="140" w:before="300"/>
      </w:pPr>
      <w:r>
        <w:t xml:space="preserve">5. The 15 steps, phase by phase</w:t>
      </w:r>
    </w:p>
    <w:p>
      <w:pPr>
        <w:pStyle w:val="Heading2"/>
        <w:spacing w:after="100" w:before="240"/>
      </w:pPr>
      <w:r>
        <w:t xml:space="preserve">Phase 1 — Intake</w:t>
      </w:r>
    </w:p>
    <w:p>
      <w:pPr>
        <w:pStyle w:val="ListParagraph"/>
        <w:numPr>
          <w:ilvl w:val="0"/>
          <w:numId w:val="2"/>
        </w:numPr>
        <w:spacing w:after="60"/>
      </w:pPr>
      <w:r>
        <w:rPr>
          <w:b/>
          <w:bCs/>
        </w:rPr>
        <w:t xml:space="preserve">Category profile</w:t>
      </w:r>
      <w:r>
        <w:t xml:space="preserve">: name, sector, region, incumbent suppliers, pain points, scope notes. AI can draft supplier lists, pain points and the scope note.</w:t>
      </w:r>
    </w:p>
    <w:p>
      <w:pPr>
        <w:pStyle w:val="ListParagraph"/>
        <w:numPr>
          <w:ilvl w:val="0"/>
          <w:numId w:val="2"/>
        </w:numPr>
        <w:spacing w:after="60"/>
      </w:pPr>
      <w:r>
        <w:rPr>
          <w:b/>
          <w:bCs/>
        </w:rPr>
        <w:t xml:space="preserve">Market Intelligence hub</w:t>
      </w:r>
      <w:r>
        <w:t xml:space="preserve">: nine external market variables scored 1–5 by tapping (supplier concentration, switching difficulty, geographic risk, substitute scarcity, price volatility, capacity tightness, regulatory intensity, technology disruption, entry barriers). The AI can assess all nine with rationales — every downstream model derives from these.</w:t>
      </w:r>
    </w:p>
    <w:p>
      <w:pPr>
        <w:pStyle w:val="ListParagraph"/>
        <w:numPr>
          <w:ilvl w:val="0"/>
          <w:numId w:val="2"/>
        </w:numPr>
        <w:spacing w:after="60"/>
      </w:pPr>
      <w:r>
        <w:rPr>
          <w:b/>
          <w:bCs/>
        </w:rPr>
        <w:t xml:space="preserve">Internal data (optional)</w:t>
      </w:r>
      <w:r>
        <w:t xml:space="preserve">: upload a spend CSV and answer five internal variables. Skipping switches on generic mode; nothing is blocked.</w:t>
      </w:r>
    </w:p>
    <w:p>
      <w:pPr>
        <w:pStyle w:val="Heading2"/>
        <w:spacing w:after="100" w:before="240"/>
      </w:pPr>
      <w:r>
        <w:t xml:space="preserve">Phase 2 — Assessment</w:t>
      </w:r>
    </w:p>
    <w:p>
      <w:pPr>
        <w:pStyle w:val="ListParagraph"/>
        <w:numPr>
          <w:ilvl w:val="0"/>
          <w:numId w:val="2"/>
        </w:numPr>
        <w:spacing w:after="60"/>
      </w:pPr>
      <w:r>
        <w:rPr>
          <w:b/>
          <w:bCs/>
        </w:rPr>
        <w:t xml:space="preserve">Positioning models</w:t>
      </w:r>
      <w:r>
        <w:t xml:space="preserve">: Porter’s Five Forces (derived live from the market variables, shown as a diagram and a radar) and the Kraljic matrix (supply risk × business impact → Strategic / Leverage / Bottleneck / Non-critical, with canonical guidance per quadrant).</w:t>
      </w:r>
    </w:p>
    <w:p>
      <w:pPr>
        <w:pStyle w:val="ListParagraph"/>
        <w:numPr>
          <w:ilvl w:val="0"/>
          <w:numId w:val="2"/>
        </w:numPr>
        <w:spacing w:after="60"/>
      </w:pPr>
      <w:r>
        <w:rPr>
          <w:b/>
          <w:bCs/>
        </w:rPr>
        <w:t xml:space="preserve">SWOT &amp; PESTLE</w:t>
      </w:r>
      <w:r>
        <w:t xml:space="preserve">: AI-drafted from the buyer’s perspective, editable per quadrant and factor.</w:t>
      </w:r>
    </w:p>
    <w:p>
      <w:pPr>
        <w:pStyle w:val="ListParagraph"/>
        <w:numPr>
          <w:ilvl w:val="0"/>
          <w:numId w:val="2"/>
        </w:numPr>
        <w:spacing w:after="60"/>
      </w:pPr>
      <w:r>
        <w:rPr>
          <w:b/>
          <w:bCs/>
        </w:rPr>
        <w:t xml:space="preserve">Research assistant</w:t>
      </w:r>
      <w:r>
        <w:t xml:space="preserve"> (needs the Claude provider): live web research on the category — regulatory changes, PESTLE signals, supply-chain disruptions, with declared sources.</w:t>
      </w:r>
    </w:p>
    <w:p>
      <w:pPr>
        <w:pStyle w:val="Heading2"/>
        <w:spacing w:after="100" w:before="240"/>
      </w:pPr>
      <w:r>
        <w:t xml:space="preserve">Phase 3 — Strategy</w:t>
      </w:r>
    </w:p>
    <w:p>
      <w:pPr>
        <w:pStyle w:val="ListParagraph"/>
        <w:numPr>
          <w:ilvl w:val="0"/>
          <w:numId w:val="2"/>
        </w:numPr>
        <w:spacing w:after="60"/>
      </w:pPr>
      <w:r>
        <w:rPr>
          <w:b/>
          <w:bCs/>
        </w:rPr>
        <w:t xml:space="preserve">Supplier segmentation &amp; tiering</w:t>
      </w:r>
      <w:r>
        <w:t xml:space="preserve">: capability × alignment 2×2, a five-dimension scorecard (quality, delivery, cost, innovation, ESG), supplier preferencing (their view of you — explicitly a subjective judgement for you to sharpen), contract tiering with </w:t>
      </w:r>
      <w:r>
        <w:rPr>
          <w:b/>
          <w:bCs/>
        </w:rPr>
        <w:t xml:space="preserve">Gold/Silver/Bronze</w:t>
      </w:r>
      <w:r>
        <w:t xml:space="preserve"> (the recognised public-procurement naming) or Tier 1/2/3, and a </w:t>
      </w:r>
      <w:r>
        <w:rPr>
          <w:b/>
          <w:bCs/>
        </w:rPr>
        <w:t xml:space="preserve">tier calculator</w:t>
      </w:r>
      <w:r>
        <w:t xml:space="preserve"> to score any single contract on value (50%), risk (30%) and complexity (20%).</w:t>
      </w:r>
    </w:p>
    <w:p>
      <w:pPr>
        <w:pStyle w:val="ListParagraph"/>
        <w:numPr>
          <w:ilvl w:val="0"/>
          <w:numId w:val="2"/>
        </w:numPr>
        <w:spacing w:after="60"/>
      </w:pPr>
      <w:r>
        <w:rPr>
          <w:b/>
          <w:bCs/>
        </w:rPr>
        <w:t xml:space="preserve">Risk heatmap</w:t>
      </w:r>
      <w:r>
        <w:t xml:space="preserve">: 6–8 risks with likelihood × impact and mitigations, plus ESG &amp; social value opportunities.</w:t>
      </w:r>
    </w:p>
    <w:p>
      <w:pPr>
        <w:pStyle w:val="ListParagraph"/>
        <w:numPr>
          <w:ilvl w:val="0"/>
          <w:numId w:val="2"/>
        </w:numPr>
        <w:spacing w:after="60"/>
      </w:pPr>
      <w:r>
        <w:rPr>
          <w:b/>
          <w:bCs/>
        </w:rPr>
        <w:t xml:space="preserve">Purchasing chessboard</w:t>
      </w:r>
      <w:r>
        <w:t xml:space="preserve">: see section 5 — this step changed significantly in v1.0.</w:t>
      </w:r>
    </w:p>
    <w:p>
      <w:pPr>
        <w:pStyle w:val="ListParagraph"/>
        <w:numPr>
          <w:ilvl w:val="0"/>
          <w:numId w:val="2"/>
        </w:numPr>
        <w:spacing w:after="60"/>
      </w:pPr>
      <w:r>
        <w:rPr>
          <w:b/>
          <w:bCs/>
        </w:rPr>
        <w:t xml:space="preserve">Cost drivers &amp; levers</w:t>
      </w:r>
      <w:r>
        <w:t xml:space="preserve">: a should-cost breakdown from the 16-driver library plus levers from the 21-lever library — apply the curated archetype (instant, governed) or AI-generate a tailored set, then adjust.</w:t>
      </w:r>
    </w:p>
    <w:p>
      <w:pPr>
        <w:pStyle w:val="Heading2"/>
        <w:spacing w:after="100" w:before="240"/>
      </w:pPr>
      <w:r>
        <w:t xml:space="preserve">Phase 4 — Bargaining</w:t>
      </w:r>
    </w:p>
    <w:p>
      <w:pPr>
        <w:pStyle w:val="ListParagraph"/>
        <w:numPr>
          <w:ilvl w:val="0"/>
          <w:numId w:val="2"/>
        </w:numPr>
        <w:spacing w:after="60"/>
      </w:pPr>
      <w:r>
        <w:rPr>
          <w:b/>
          <w:bCs/>
        </w:rPr>
        <w:t xml:space="preserve">Negotiation plan</w:t>
      </w:r>
      <w:r>
        <w:t xml:space="preserve"> (Huthwaite-style): objectives and BATNAs for both sides, a negotiable-issues matrix (opening / target / walk-away / priority / concession cost), a trading board and a four-phase behaviours roadmap.</w:t>
      </w:r>
    </w:p>
    <w:p>
      <w:pPr>
        <w:pStyle w:val="Heading2"/>
        <w:spacing w:after="100" w:before="240"/>
      </w:pPr>
      <w:r>
        <w:t xml:space="preserve">Phase 5 — Execution &amp; output</w:t>
      </w:r>
    </w:p>
    <w:p>
      <w:pPr>
        <w:pStyle w:val="ListParagraph"/>
        <w:numPr>
          <w:ilvl w:val="0"/>
          <w:numId w:val="2"/>
        </w:numPr>
        <w:spacing w:after="60"/>
      </w:pPr>
      <w:r>
        <w:rPr>
          <w:b/>
          <w:bCs/>
        </w:rPr>
        <w:t xml:space="preserve">Execution plan</w:t>
      </w:r>
      <w:r>
        <w:t xml:space="preserve">: a 12-quarter Gantt and a RACI matrix.</w:t>
      </w:r>
    </w:p>
    <w:p>
      <w:pPr>
        <w:pStyle w:val="ListParagraph"/>
        <w:numPr>
          <w:ilvl w:val="0"/>
          <w:numId w:val="2"/>
        </w:numPr>
        <w:spacing w:after="60"/>
      </w:pPr>
      <w:r>
        <w:rPr>
          <w:b/>
          <w:bCs/>
        </w:rPr>
        <w:t xml:space="preserve">Savings &amp; value</w:t>
      </w:r>
      <w:r>
        <w:t xml:space="preserve">: the savings pipeline (see section 7), a 3-year KPI tracker, a maturity self-assessment and a five-type benefits register (Cash, Cost avoidance, Efficiency, Carbon, Social value).</w:t>
      </w:r>
    </w:p>
    <w:p>
      <w:pPr>
        <w:pStyle w:val="ListParagraph"/>
        <w:numPr>
          <w:ilvl w:val="0"/>
          <w:numId w:val="2"/>
        </w:numPr>
        <w:spacing w:after="60"/>
      </w:pPr>
      <w:r>
        <w:rPr>
          <w:b/>
          <w:bCs/>
        </w:rPr>
        <w:t xml:space="preserve">Commercial 7Ps</w:t>
      </w:r>
      <w:r>
        <w:t xml:space="preserve"> (optional): a marketing-mix lens on the category.</w:t>
      </w:r>
    </w:p>
    <w:p>
      <w:pPr>
        <w:pStyle w:val="ListParagraph"/>
        <w:numPr>
          <w:ilvl w:val="0"/>
          <w:numId w:val="2"/>
        </w:numPr>
        <w:spacing w:after="60"/>
      </w:pPr>
      <w:r>
        <w:rPr>
          <w:b/>
          <w:bCs/>
        </w:rPr>
        <w:t xml:space="preserve">Strategy document</w:t>
      </w:r>
      <w:r>
        <w:t xml:space="preserve">: AI synthesis, the assumption register, the 🎤 elevator pitch with 10 sceptical-stakeholder FAQs, four pre-filled master templates, and Word / Markdown downloads.</w:t>
      </w:r>
    </w:p>
    <w:p>
      <w:pPr>
        <w:pStyle w:val="Heading1"/>
        <w:spacing w:after="140" w:before="300"/>
      </w:pPr>
      <w:r>
        <w:t xml:space="preserve">6. The Purchasing Chessboard (v1.0 behaviour)</w:t>
      </w:r>
    </w:p>
    <w:p>
      <w:pPr>
        <w:spacing w:after="120"/>
      </w:pPr>
      <w:r>
        <w:t xml:space="preserve">The board is drawn as a </w:t>
      </w:r>
      <w:r>
        <w:rPr>
          <w:b/>
          <w:bCs/>
        </w:rPr>
        <w:t xml:space="preserve">literal 8×8 grid</w:t>
      </w:r>
      <w:r>
        <w:t xml:space="preserve">: each of the four base strategies occupies a 4×4 quadrant (positioned by your demand power → right and supplier power → up), each approach is a 2×2 block, and each cell is one of the 64 methods. Your home strategy — fixed by the power balance from Five Forces — carries a petrol border and never changes.</w:t>
      </w:r>
    </w:p>
    <w:p>
      <w:pPr>
        <w:pStyle w:val="ListParagraph"/>
        <w:numPr>
          <w:ilvl w:val="0"/>
          <w:numId w:val="2"/>
        </w:numPr>
        <w:spacing w:after="60"/>
      </w:pPr>
      <w:r>
        <w:rPr>
          <w:b/>
          <w:bCs/>
        </w:rPr>
        <w:t xml:space="preserve">⚡ AI-recommend</w:t>
      </w:r>
      <w:r>
        <w:t xml:space="preserve"> shortlists the best methods for your category, each with a rationale, an effort rating and a </w:t>
      </w:r>
      <w:r>
        <w:rPr>
          <w:b/>
          <w:bCs/>
        </w:rPr>
        <w:t xml:space="preserve">High/Medium fit ranking</w:t>
      </w:r>
      <w:r>
        <w:t xml:space="preserve">.</w:t>
      </w:r>
    </w:p>
    <w:p>
      <w:pPr>
        <w:pStyle w:val="ListParagraph"/>
        <w:numPr>
          <w:ilvl w:val="0"/>
          <w:numId w:val="2"/>
        </w:numPr>
        <w:spacing w:after="60"/>
      </w:pPr>
      <w:r>
        <w:rPr>
          <w:b/>
          <w:bCs/>
        </w:rPr>
        <w:t xml:space="preserve">＋ Recommend more never overwrites</w:t>
      </w:r>
      <w:r>
        <w:t xml:space="preserve">: each run adds the next-best distinct methods (the AI is told what is already shown), up to a cap of 15. Exploring costs you nothing.</w:t>
      </w:r>
    </w:p>
    <w:p>
      <w:pPr>
        <w:pStyle w:val="ListParagraph"/>
        <w:numPr>
          <w:ilvl w:val="0"/>
          <w:numId w:val="2"/>
        </w:numPr>
        <w:spacing w:after="60"/>
      </w:pPr>
      <w:r>
        <w:rPr>
          <w:b/>
          <w:bCs/>
        </w:rPr>
        <w:t xml:space="preserve">Tick “Keep”</w:t>
      </w:r>
      <w:r>
        <w:t xml:space="preserve"> on the methods you judge right. Only ticked methods flow into the strategy document, the pitch facts and the assumption register. The first batch arrives pre-ticked as a default; later batches arrive unticked for cherry-picking.</w:t>
      </w:r>
    </w:p>
    <w:p>
      <w:pPr>
        <w:pStyle w:val="ListParagraph"/>
        <w:numPr>
          <w:ilvl w:val="0"/>
          <w:numId w:val="2"/>
        </w:numPr>
        <w:spacing w:after="60"/>
      </w:pPr>
      <w:r>
        <w:rPr>
          <w:b/>
          <w:bCs/>
        </w:rPr>
        <w:t xml:space="preserve">Click any cell</w:t>
      </w:r>
      <w:r>
        <w:t xml:space="preserve"> on the board to add or remove a method by hand — manual picks arrive marked User, ticked, with fit “Manual”. Amber cells are shortlisted (paler amber = shortlisted but not kept).</w:t>
      </w:r>
    </w:p>
    <w:p>
      <w:pPr>
        <w:pBdr>
          <w:left w:val="single" w:color="B8860B" w:sz="16"/>
        </w:pBdr>
        <w:shd w:fill="FBF6E9" w:val="clear"/>
        <w:spacing w:after="140"/>
        <w:ind w:left="160"/>
      </w:pPr>
      <w:r>
        <w:rPr>
          <w:b/>
          <w:bCs/>
          <w:color w:val="B8860B"/>
        </w:rPr>
        <w:t xml:space="preserve">Note: </w:t>
      </w:r>
      <w:r>
        <w:t xml:space="preserve">If you continue with zero methods ticked, the document shows the base strategy only and warns you first.</w:t>
      </w:r>
    </w:p>
    <w:p>
      <w:pPr>
        <w:pStyle w:val="Heading1"/>
        <w:spacing w:after="140" w:before="300"/>
      </w:pPr>
      <w:r>
        <w:t xml:space="preserve">7. Savings pipeline — planned vs delivered (v1.0)</w:t>
      </w:r>
    </w:p>
    <w:p>
      <w:pPr>
        <w:spacing w:after="120"/>
      </w:pPr>
      <w:r>
        <w:t xml:space="preserve">Each initiative has a </w:t>
      </w:r>
      <w:r>
        <w:rPr>
          <w:b/>
          <w:bCs/>
        </w:rPr>
        <w:t xml:space="preserve">Planned %</w:t>
      </w:r>
      <w:r>
        <w:t xml:space="preserve"> and a </w:t>
      </w:r>
      <w:r>
        <w:rPr>
          <w:b/>
          <w:bCs/>
        </w:rPr>
        <w:t xml:space="preserve">Delivered %</w:t>
      </w:r>
      <w:r>
        <w:t xml:space="preserve">. Delivered is editable </w:t>
      </w:r>
      <w:r>
        <w:rPr>
          <w:b/>
          <w:bCs/>
        </w:rPr>
        <w:t xml:space="preserve">only when status = Delivered</w:t>
      </w:r>
      <w:r>
        <w:t xml:space="preserve">; moving an initiative out of Delivered resets it to 0, so realised value can never outrun the pipeline’s status. When a spend CSV is uploaded, both appear as currency values, and the totals row shows planned and delivered side by side — the Finance-friendly view: planned is the promise, delivered is the fact.</w:t>
      </w:r>
    </w:p>
    <w:p>
      <w:pPr>
        <w:pStyle w:val="Heading1"/>
        <w:spacing w:after="140" w:before="300"/>
      </w:pPr>
      <w:r>
        <w:t xml:space="preserve">8. Downloads and sessions</w:t>
      </w:r>
    </w:p>
    <w:p>
      <w:pPr>
        <w:pStyle w:val="ListParagraph"/>
        <w:numPr>
          <w:ilvl w:val="0"/>
          <w:numId w:val="2"/>
        </w:numPr>
        <w:spacing w:after="60"/>
      </w:pPr>
      <w:r>
        <w:rPr>
          <w:b/>
          <w:bCs/>
        </w:rPr>
        <w:t xml:space="preserve">Word document</w:t>
      </w:r>
      <w:r>
        <w:t xml:space="preserve">: v1.0 produces a </w:t>
      </w:r>
      <w:r>
        <w:rPr>
          <w:b/>
          <w:bCs/>
        </w:rPr>
        <w:t xml:space="preserve">real .docx</w:t>
      </w:r>
      <w:r>
        <w:t xml:space="preserve"> with proper heading styles and tables. If you are fully offline it falls back automatically to the legacy .doc format — you always get a file.</w:t>
      </w:r>
    </w:p>
    <w:p>
      <w:pPr>
        <w:pStyle w:val="ListParagraph"/>
        <w:numPr>
          <w:ilvl w:val="0"/>
          <w:numId w:val="2"/>
        </w:numPr>
        <w:spacing w:after="60"/>
      </w:pPr>
      <w:r>
        <w:rPr>
          <w:b/>
          <w:bCs/>
        </w:rPr>
        <w:t xml:space="preserve">PowerPoint deck</w:t>
      </w:r>
      <w:r>
        <w:t xml:space="preserve">: a widescreen board deck built in the browser (pptxgenjs from a CDN) — title, executive summary, a native bar chart of the nine market variables, five-forces chart, SWOT boxes, supplier and risk tables, chessboard plays, a cost-driver pie, the negotiation issue matrix, the roadmap, a planned-vs-delivered savings chart, the benefits register and the 2-minute pitch.</w:t>
      </w:r>
    </w:p>
    <w:p>
      <w:pPr>
        <w:pStyle w:val="ListParagraph"/>
        <w:numPr>
          <w:ilvl w:val="0"/>
          <w:numId w:val="2"/>
        </w:numPr>
        <w:spacing w:after="60"/>
      </w:pPr>
      <w:r>
        <w:rPr>
          <w:b/>
          <w:bCs/>
        </w:rPr>
        <w:t xml:space="preserve">Markdown</w:t>
      </w:r>
      <w:r>
        <w:t xml:space="preserve">: the same content for wikis and version control.</w:t>
      </w:r>
    </w:p>
    <w:p>
      <w:pPr>
        <w:pStyle w:val="ListParagraph"/>
        <w:numPr>
          <w:ilvl w:val="0"/>
          <w:numId w:val="2"/>
        </w:numPr>
        <w:spacing w:after="60"/>
      </w:pPr>
      <w:r>
        <w:rPr>
          <w:b/>
          <w:bCs/>
        </w:rPr>
        <w:t xml:space="preserve">Master templates</w:t>
      </w:r>
      <w:r>
        <w:t xml:space="preserve">: four pre-filled Word templates — Category Management Plan, Category Sourcing Strategy, Negotiation Strategy Plan, Category Execution Plan.</w:t>
      </w:r>
    </w:p>
    <w:p>
      <w:pPr>
        <w:pStyle w:val="ListParagraph"/>
        <w:numPr>
          <w:ilvl w:val="0"/>
          <w:numId w:val="2"/>
        </w:numPr>
        <w:spacing w:after="60"/>
      </w:pPr>
      <w:r>
        <w:rPr>
          <w:b/>
          <w:bCs/>
        </w:rPr>
        <w:t xml:space="preserve">Sessions</w:t>
      </w:r>
      <w:r>
        <w:t xml:space="preserve">: save, download and re-load your whole working state from the Strategy step.</w:t>
      </w:r>
    </w:p>
    <w:p>
      <w:pPr>
        <w:pStyle w:val="Heading1"/>
        <w:spacing w:after="140" w:before="300"/>
      </w:pPr>
      <w:r>
        <w:t xml:space="preserve">9. Sandbox mode</w:t>
      </w:r>
    </w:p>
    <w:p>
      <w:pPr>
        <w:spacing w:after="120"/>
      </w:pPr>
      <w:r>
        <w:t xml:space="preserve">Pick </w:t>
      </w:r>
      <w:r>
        <w:rPr>
          <w:b/>
          <w:bCs/>
        </w:rPr>
        <w:t xml:space="preserve">🏖 Sandbox</w:t>
      </w:r>
      <w:r>
        <w:t xml:space="preserve"> in ⚙ AI settings to run every ⚡ button offline with </w:t>
      </w:r>
      <w:r>
        <w:rPr>
          <w:b/>
          <w:bCs/>
        </w:rPr>
        <w:t xml:space="preserve">no key and no network</w:t>
      </w:r>
      <w:r>
        <w:t xml:space="preserve">. Content is synthesised from the built-in archetype library, so demos stay category-flavoured, and every output is labelled </w:t>
      </w:r>
      <w:r>
        <w:rPr>
          <w:b/>
          <w:bCs/>
        </w:rPr>
        <w:t xml:space="preserve">[Sandbox — simulated]</w:t>
      </w:r>
      <w:r>
        <w:t xml:space="preserve"> and stays flagged AI-inferred. Use it for demonstrations, training and dry-runs — switch to a live provider before producing a real strategy.</w:t>
      </w:r>
    </w:p>
    <w:p>
      <w:pPr>
        <w:pStyle w:val="Heading1"/>
        <w:spacing w:after="140" w:before="300"/>
      </w:pPr>
      <w:r>
        <w:t xml:space="preserve">10. Getting help</w:t>
      </w:r>
    </w:p>
    <w:p>
      <w:pPr>
        <w:spacing w:after="120"/>
      </w:pPr>
      <w:r>
        <w:t xml:space="preserve">Every screen has ⓘ tooltips, explainer banners, and the </w:t>
      </w:r>
      <w:r>
        <w:rPr>
          <w:b/>
          <w:bCs/>
        </w:rPr>
        <w:t xml:space="preserve">📚 Guide bubble</w:t>
      </w:r>
      <w:r>
        <w:t xml:space="preserve"> — a context-aware assistant that knows the current screen, the master libraries and the v1.0 features. Ask it anything from “what does capacity tightness mean?” to “why did my Kraljic quadrant change?”.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ProcureAI Strategic Category Suite v1.0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4636B"/>
      <w:sz w:val="32"/>
      <w:szCs w:val="32"/>
    </w:rPr>
  </w:style>
  <w:style w:type="paragraph" w:styleId="Heading2">
    <w:name w:val="Heading 2"/>
    <w:basedOn w:val="Normal"/>
    <w:next w:val="Normal"/>
    <w:qFormat/>
    <w:pPr>
      <w:spacing w:after="100" w:before="240"/>
    </w:pPr>
    <w:rPr>
      <w:b/>
      <w:bCs/>
      <w:color w:val="20242B"/>
      <w:sz w:val="26"/>
      <w:szCs w:val="26"/>
    </w:rPr>
  </w:style>
  <w:style w:type="paragraph" w:styleId="Heading3">
    <w:name w:val="Heading 3"/>
    <w:basedOn w:val="Normal"/>
    <w:next w:val="Normal"/>
    <w:qFormat/>
    <w:pPr>
      <w:spacing w:after="80" w:before="180"/>
    </w:pPr>
    <w:rPr>
      <w:b/>
      <w:bCs/>
      <w:color w:val="6B72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2026-07-12T22:17:37.541Z</dcterms:created>
  <dcterms:modified xsi:type="dcterms:W3CDTF">2026-07-12T22:17:37.541Z</dcterms:modified>
</cp:coreProperties>
</file>

<file path=docProps/custom.xml><?xml version="1.0" encoding="utf-8"?>
<Properties xmlns="http://schemas.openxmlformats.org/officeDocument/2006/custom-properties" xmlns:vt="http://schemas.openxmlformats.org/officeDocument/2006/docPropsVTypes"/>
</file>