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5E56"/>
          <w:sz w:val="56"/>
          <w:szCs w:val="56"/>
        </w:rPr>
        <w:t xml:space="preserve">CategoryAI</w:t>
      </w:r>
    </w:p>
    <w:p>
      <w:pPr>
        <w:spacing w:after="40"/>
      </w:pPr>
      <w:r>
        <w:rPr>
          <w:color w:val="1A1A1A"/>
          <w:sz w:val="28"/>
          <w:szCs w:val="28"/>
        </w:rPr>
        <w:t xml:space="preserve">Portfolio &amp; Category Strategy Suite — User Reference Guide</w:t>
      </w:r>
    </w:p>
    <w:p>
      <w:pPr>
        <w:spacing w:after="400"/>
      </w:pPr>
      <w:r>
        <w:rPr>
          <w:i/>
          <w:iCs/>
          <w:color w:val="5A6068"/>
          <w:sz w:val="20"/>
          <w:szCs w:val="20"/>
        </w:rPr>
        <w:t xml:space="preserve">Version 2.38.5 · verified against the live application, not assumed</w:t>
      </w:r>
    </w:p>
    <w:p>
      <w:pPr>
        <w:pStyle w:val="Heading1"/>
        <w:spacing w:after="160" w:before="340"/>
      </w:pPr>
      <w:r>
        <w:t xml:space="preserve">1. What CategoryAI Is</w:t>
      </w:r>
    </w:p>
    <w:p>
      <w:pPr>
        <w:spacing w:after="140"/>
      </w:pPr>
      <w:r>
        <w:rPr>
          <w:b w:val="false"/>
          <w:bCs w:val="false"/>
          <w:i w:val="false"/>
          <w:iCs w:val="false"/>
        </w:rPr>
        <w:t xml:space="preserve">CategoryAI is a single-file, browser-based procurement strategy application for category managers. It guides a user through building a complete category strategy from external market data alone, or enriched with internal spend data, using established frameworks: Kraljic matrix, Porter's Five Forces, the A.T. Kearney-style Purchasing Chessboard, Huthwaite-style negotiation planning, SWOT/PESTLE, supplier segmentation, and should-cost analysis.</w:t>
      </w:r>
    </w:p>
    <w:p>
      <w:pPr>
        <w:spacing w:after="140"/>
      </w:pPr>
      <w:r>
        <w:rPr>
          <w:b w:val="false"/>
          <w:bCs w:val="false"/>
          <w:i w:val="false"/>
          <w:iCs w:val="false"/>
        </w:rPr>
        <w:t xml:space="preserve">It is built as two independent workbenches, usable separately or linked together:</w:t>
      </w:r>
    </w:p>
    <w:p>
      <w:pPr>
        <w:pStyle w:val="ListParagraph"/>
        <w:numPr>
          <w:ilvl w:val="0"/>
          <w:numId w:val="2"/>
        </w:numPr>
        <w:spacing w:after="60"/>
      </w:pPr>
      <w:r>
        <w:t xml:space="preserve">Category Workbench — a 14-step wizard producing one category's strategy, negotiation plan, and business case.</w:t>
      </w:r>
    </w:p>
    <w:p>
      <w:pPr>
        <w:pStyle w:val="ListParagraph"/>
        <w:numPr>
          <w:ilvl w:val="0"/>
          <w:numId w:val="2"/>
        </w:numPr>
        <w:spacing w:after="60"/>
      </w:pPr>
      <w:r>
        <w:t xml:space="preserve">Portfolio Workbench — a 3-phase (P1/P2/P3) tool for a cross-category portfolio strategy and board paper.</w:t>
      </w:r>
    </w:p>
    <w:p>
      <w:pPr>
        <w:pBdr>
          <w:left w:val="single" w:color="0E5E56" w:sz="12" w:space="8"/>
        </w:pBdr>
        <w:spacing w:after="160" w:before="60"/>
        <w:ind w:left="200"/>
      </w:pPr>
      <w:r>
        <w:rPr>
          <w:b/>
          <w:bCs/>
          <w:color w:val="0E5E56"/>
        </w:rPr>
        <w:t xml:space="preserve">Note: </w:t>
      </w:r>
      <w:r>
        <w:rPr>
          <w:i/>
          <w:iCs/>
        </w:rPr>
        <w:t xml:space="preserve">Only the category name is a true requirement. Everything else is optional and, in almost every case, AI-fillable — a complete strategy can be built from a bare category name plus AI generation, with manual input as an optional accuracy upgrade.</w:t>
      </w:r>
    </w:p>
    <w:p>
      <w:pPr>
        <w:pStyle w:val="Heading1"/>
        <w:spacing w:after="160" w:before="340"/>
      </w:pPr>
      <w:r>
        <w:t xml:space="preserve">2. Getting Started — AI Provider Setup</w:t>
      </w:r>
    </w:p>
    <w:p>
      <w:pPr>
        <w:spacing w:after="140"/>
      </w:pPr>
      <w:r>
        <w:rPr>
          <w:b w:val="false"/>
          <w:bCs w:val="false"/>
          <w:i w:val="false"/>
          <w:iCs w:val="false"/>
        </w:rPr>
        <w:t xml:space="preserve">⚙ AI Settings (top right) has four provider modes: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0E5E56" w:val="clear"/>
            <w:tcMar>
              <w:top w:type="dxa" w:w="80"/>
              <w:left w:type="dxa" w:w="100"/>
              <w:bottom w:type="dxa" w:w="80"/>
              <w:right w:type="dxa" w:w="100"/>
            </w:tcMar>
          </w:tcPr>
          <w:p>
            <w:r>
              <w:rPr>
                <w:b/>
                <w:bCs/>
                <w:color w:val="FFFFFF"/>
                <w:sz w:val="19"/>
                <w:szCs w:val="19"/>
              </w:rPr>
              <w:t xml:space="preserve">Mode</w:t>
            </w:r>
          </w:p>
        </w:tc>
        <w:tc>
          <w:tcPr>
            <w:tcW w:type="dxa" w:w="3500"/>
            <w:shd w:fill="0E5E56" w:val="clear"/>
            <w:tcMar>
              <w:top w:type="dxa" w:w="80"/>
              <w:left w:type="dxa" w:w="100"/>
              <w:bottom w:type="dxa" w:w="80"/>
              <w:right w:type="dxa" w:w="100"/>
            </w:tcMar>
          </w:tcPr>
          <w:p>
            <w:r>
              <w:rPr>
                <w:b/>
                <w:bCs/>
                <w:color w:val="FFFFFF"/>
                <w:sz w:val="19"/>
                <w:szCs w:val="19"/>
              </w:rPr>
              <w:t xml:space="preserve">Needs</w:t>
            </w:r>
          </w:p>
        </w:tc>
        <w:tc>
          <w:tcPr>
            <w:tcW w:type="dxa" w:w="3450"/>
            <w:shd w:fill="0E5E56" w:val="clear"/>
            <w:tcMar>
              <w:top w:type="dxa" w:w="80"/>
              <w:left w:type="dxa" w:w="100"/>
              <w:bottom w:type="dxa" w:w="80"/>
              <w:right w:type="dxa" w:w="100"/>
            </w:tcMar>
          </w:tcPr>
          <w:p>
            <w:r>
              <w:rPr>
                <w:b/>
                <w:bCs/>
                <w:color w:val="FFFFFF"/>
                <w:sz w:val="19"/>
                <w:szCs w:val="19"/>
              </w:rPr>
              <w:t xml:space="preserve">Works where</w:t>
            </w:r>
          </w:p>
        </w:tc>
      </w:tr>
      <w:tr>
        <w:tc>
          <w:tcPr>
            <w:tcW w:type="dxa" w:w="2400"/>
            <w:tcMar>
              <w:top w:type="dxa" w:w="80"/>
              <w:left w:type="dxa" w:w="100"/>
              <w:bottom w:type="dxa" w:w="80"/>
              <w:right w:type="dxa" w:w="100"/>
            </w:tcMar>
          </w:tcPr>
          <w:p>
            <w:r>
              <w:rPr>
                <w:color w:val="1A1A1A"/>
                <w:sz w:val="19"/>
                <w:szCs w:val="19"/>
              </w:rPr>
              <w:t xml:space="preserve">Claude · in-app</w:t>
            </w:r>
          </w:p>
        </w:tc>
        <w:tc>
          <w:tcPr>
            <w:tcW w:type="dxa" w:w="3500"/>
            <w:tcMar>
              <w:top w:type="dxa" w:w="80"/>
              <w:left w:type="dxa" w:w="100"/>
              <w:bottom w:type="dxa" w:w="80"/>
              <w:right w:type="dxa" w:w="100"/>
            </w:tcMar>
          </w:tcPr>
          <w:p>
            <w:r>
              <w:rPr>
                <w:color w:val="1A1A1A"/>
                <w:sz w:val="19"/>
                <w:szCs w:val="19"/>
              </w:rPr>
              <w:t xml:space="preserve">Nothing — no key</w:t>
            </w:r>
          </w:p>
        </w:tc>
        <w:tc>
          <w:tcPr>
            <w:tcW w:type="dxa" w:w="3450"/>
            <w:tcMar>
              <w:top w:type="dxa" w:w="80"/>
              <w:left w:type="dxa" w:w="100"/>
              <w:bottom w:type="dxa" w:w="80"/>
              <w:right w:type="dxa" w:w="100"/>
            </w:tcMar>
          </w:tcPr>
          <w:p>
            <w:r>
              <w:rPr>
                <w:color w:val="1A1A1A"/>
                <w:sz w:val="19"/>
                <w:szCs w:val="19"/>
              </w:rPr>
              <w:t xml:space="preserve">Only inside claude.ai</w:t>
            </w:r>
          </w:p>
        </w:tc>
      </w:tr>
      <w:tr>
        <w:tc>
          <w:tcPr>
            <w:tcW w:type="dxa" w:w="2400"/>
            <w:shd w:fill="F2F6F5" w:val="clear"/>
            <w:tcMar>
              <w:top w:type="dxa" w:w="80"/>
              <w:left w:type="dxa" w:w="100"/>
              <w:bottom w:type="dxa" w:w="80"/>
              <w:right w:type="dxa" w:w="100"/>
            </w:tcMar>
          </w:tcPr>
          <w:p>
            <w:r>
              <w:rPr>
                <w:color w:val="1A1A1A"/>
                <w:sz w:val="19"/>
                <w:szCs w:val="19"/>
              </w:rPr>
              <w:t xml:space="preserve">Claude · API key</w:t>
            </w:r>
          </w:p>
        </w:tc>
        <w:tc>
          <w:tcPr>
            <w:tcW w:type="dxa" w:w="3500"/>
            <w:shd w:fill="F2F6F5" w:val="clear"/>
            <w:tcMar>
              <w:top w:type="dxa" w:w="80"/>
              <w:left w:type="dxa" w:w="100"/>
              <w:bottom w:type="dxa" w:w="80"/>
              <w:right w:type="dxa" w:w="100"/>
            </w:tcMar>
          </w:tcPr>
          <w:p>
            <w:r>
              <w:rPr>
                <w:color w:val="1A1A1A"/>
                <w:sz w:val="19"/>
                <w:szCs w:val="19"/>
              </w:rPr>
              <w:t xml:space="preserve">A real Anthropic key</w:t>
            </w:r>
          </w:p>
        </w:tc>
        <w:tc>
          <w:tcPr>
            <w:tcW w:type="dxa" w:w="3450"/>
            <w:shd w:fill="F2F6F5" w:val="clear"/>
            <w:tcMar>
              <w:top w:type="dxa" w:w="80"/>
              <w:left w:type="dxa" w:w="100"/>
              <w:bottom w:type="dxa" w:w="80"/>
              <w:right w:type="dxa" w:w="100"/>
            </w:tcMar>
          </w:tcPr>
          <w:p>
            <w:r>
              <w:rPr>
                <w:color w:val="1A1A1A"/>
                <w:sz w:val="19"/>
                <w:szCs w:val="19"/>
              </w:rPr>
              <w:t xml:space="preserve">Any browser</w:t>
            </w:r>
          </w:p>
        </w:tc>
      </w:tr>
      <w:tr>
        <w:tc>
          <w:tcPr>
            <w:tcW w:type="dxa" w:w="2400"/>
            <w:tcMar>
              <w:top w:type="dxa" w:w="80"/>
              <w:left w:type="dxa" w:w="100"/>
              <w:bottom w:type="dxa" w:w="80"/>
              <w:right w:type="dxa" w:w="100"/>
            </w:tcMar>
          </w:tcPr>
          <w:p>
            <w:r>
              <w:rPr>
                <w:color w:val="1A1A1A"/>
                <w:sz w:val="19"/>
                <w:szCs w:val="19"/>
              </w:rPr>
              <w:t xml:space="preserve">Gemini</w:t>
            </w:r>
          </w:p>
        </w:tc>
        <w:tc>
          <w:tcPr>
            <w:tcW w:type="dxa" w:w="3500"/>
            <w:tcMar>
              <w:top w:type="dxa" w:w="80"/>
              <w:left w:type="dxa" w:w="100"/>
              <w:bottom w:type="dxa" w:w="80"/>
              <w:right w:type="dxa" w:w="100"/>
            </w:tcMar>
          </w:tcPr>
          <w:p>
            <w:r>
              <w:rPr>
                <w:color w:val="1A1A1A"/>
                <w:sz w:val="19"/>
                <w:szCs w:val="19"/>
              </w:rPr>
              <w:t xml:space="preserve">A real Google key</w:t>
            </w:r>
          </w:p>
        </w:tc>
        <w:tc>
          <w:tcPr>
            <w:tcW w:type="dxa" w:w="3450"/>
            <w:tcMar>
              <w:top w:type="dxa" w:w="80"/>
              <w:left w:type="dxa" w:w="100"/>
              <w:bottom w:type="dxa" w:w="80"/>
              <w:right w:type="dxa" w:w="100"/>
            </w:tcMar>
          </w:tcPr>
          <w:p>
            <w:r>
              <w:rPr>
                <w:color w:val="1A1A1A"/>
                <w:sz w:val="19"/>
                <w:szCs w:val="19"/>
              </w:rPr>
              <w:t xml:space="preserve">Any browser</w:t>
            </w:r>
          </w:p>
        </w:tc>
      </w:tr>
      <w:tr>
        <w:tc>
          <w:tcPr>
            <w:tcW w:type="dxa" w:w="2400"/>
            <w:shd w:fill="F2F6F5" w:val="clear"/>
            <w:tcMar>
              <w:top w:type="dxa" w:w="80"/>
              <w:left w:type="dxa" w:w="100"/>
              <w:bottom w:type="dxa" w:w="80"/>
              <w:right w:type="dxa" w:w="100"/>
            </w:tcMar>
          </w:tcPr>
          <w:p>
            <w:r>
              <w:rPr>
                <w:color w:val="1A1A1A"/>
                <w:sz w:val="19"/>
                <w:szCs w:val="19"/>
              </w:rPr>
              <w:t xml:space="preserve">Sandbox</w:t>
            </w:r>
          </w:p>
        </w:tc>
        <w:tc>
          <w:tcPr>
            <w:tcW w:type="dxa" w:w="3500"/>
            <w:shd w:fill="F2F6F5" w:val="clear"/>
            <w:tcMar>
              <w:top w:type="dxa" w:w="80"/>
              <w:left w:type="dxa" w:w="100"/>
              <w:bottom w:type="dxa" w:w="80"/>
              <w:right w:type="dxa" w:w="100"/>
            </w:tcMar>
          </w:tcPr>
          <w:p>
            <w:r>
              <w:rPr>
                <w:color w:val="1A1A1A"/>
                <w:sz w:val="19"/>
                <w:szCs w:val="19"/>
              </w:rPr>
              <w:t xml:space="preserve">Nothing</w:t>
            </w:r>
          </w:p>
        </w:tc>
        <w:tc>
          <w:tcPr>
            <w:tcW w:type="dxa" w:w="3450"/>
            <w:shd w:fill="F2F6F5" w:val="clear"/>
            <w:tcMar>
              <w:top w:type="dxa" w:w="80"/>
              <w:left w:type="dxa" w:w="100"/>
              <w:bottom w:type="dxa" w:w="80"/>
              <w:right w:type="dxa" w:w="100"/>
            </w:tcMar>
          </w:tcPr>
          <w:p>
            <w:r>
              <w:rPr>
                <w:color w:val="1A1A1A"/>
                <w:sz w:val="19"/>
                <w:szCs w:val="19"/>
              </w:rPr>
              <w:t xml:space="preserve">Any browser (offline demo data)</w:t>
            </w:r>
          </w:p>
        </w:tc>
      </w:tr>
    </w:tbl>
    <w:p>
      <w:pPr>
        <w:pBdr>
          <w:left w:val="single" w:color="0E5E56" w:sz="12" w:space="8"/>
        </w:pBdr>
        <w:spacing w:after="160" w:before="60"/>
        <w:ind w:left="200"/>
      </w:pPr>
      <w:r>
        <w:rPr>
          <w:b/>
          <w:bCs/>
          <w:color w:val="0E5E56"/>
        </w:rPr>
        <w:t xml:space="preserve">Note: </w:t>
      </w:r>
      <w:r>
        <w:rPr>
          <w:i/>
          <w:iCs/>
        </w:rPr>
        <w:t xml:space="preserve">If AI features aren't working outside claude.ai, this is almost always why — switch to Claude · API key or Gemini and use Test connection to confirm it's live.</w:t>
      </w:r>
    </w:p>
    <w:p>
      <w:pPr>
        <w:pStyle w:val="Heading1"/>
        <w:spacing w:after="160" w:before="340"/>
      </w:pPr>
      <w:r>
        <w:t xml:space="preserve">3. Category Workbench — Steps 1 to 14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900"/>
        <w:gridCol w:w="2700"/>
      </w:tblGrid>
      <w:tr>
        <w:trPr>
          <w:tblHeader/>
        </w:trPr>
        <w:tc>
          <w:tcPr>
            <w:tcW w:type="dxa" w:w="1750"/>
            <w:shd w:fill="0E5E56" w:val="clear"/>
            <w:tcMar>
              <w:top w:type="dxa" w:w="80"/>
              <w:left w:type="dxa" w:w="100"/>
              <w:bottom w:type="dxa" w:w="80"/>
              <w:right w:type="dxa" w:w="100"/>
            </w:tcMar>
          </w:tcPr>
          <w:p>
            <w:r>
              <w:rPr>
                <w:b/>
                <w:bCs/>
                <w:color w:val="FFFFFF"/>
                <w:sz w:val="19"/>
                <w:szCs w:val="19"/>
              </w:rPr>
              <w:t xml:space="preserve">Step</w:t>
            </w:r>
          </w:p>
        </w:tc>
        <w:tc>
          <w:tcPr>
            <w:tcW w:type="dxa" w:w="4900"/>
            <w:shd w:fill="0E5E56" w:val="clear"/>
            <w:tcMar>
              <w:top w:type="dxa" w:w="80"/>
              <w:left w:type="dxa" w:w="100"/>
              <w:bottom w:type="dxa" w:w="80"/>
              <w:right w:type="dxa" w:w="100"/>
            </w:tcMar>
          </w:tcPr>
          <w:p>
            <w:r>
              <w:rPr>
                <w:b/>
                <w:bCs/>
                <w:color w:val="FFFFFF"/>
                <w:sz w:val="19"/>
                <w:szCs w:val="19"/>
              </w:rPr>
              <w:t xml:space="preserve">Purpose</w:t>
            </w:r>
          </w:p>
        </w:tc>
        <w:tc>
          <w:tcPr>
            <w:tcW w:type="dxa" w:w="2700"/>
            <w:shd w:fill="0E5E56" w:val="clear"/>
            <w:tcMar>
              <w:top w:type="dxa" w:w="80"/>
              <w:left w:type="dxa" w:w="100"/>
              <w:bottom w:type="dxa" w:w="80"/>
              <w:right w:type="dxa" w:w="100"/>
            </w:tcMar>
          </w:tcPr>
          <w:p>
            <w:r>
              <w:rPr>
                <w:b/>
                <w:bCs/>
                <w:color w:val="FFFFFF"/>
                <w:sz w:val="19"/>
                <w:szCs w:val="19"/>
              </w:rPr>
              <w:t xml:space="preserve">AI-fillable?</w:t>
            </w:r>
          </w:p>
        </w:tc>
      </w:tr>
      <w:tr>
        <w:tc>
          <w:tcPr>
            <w:tcW w:type="dxa" w:w="1750"/>
            <w:tcMar>
              <w:top w:type="dxa" w:w="80"/>
              <w:left w:type="dxa" w:w="100"/>
              <w:bottom w:type="dxa" w:w="80"/>
              <w:right w:type="dxa" w:w="100"/>
            </w:tcMar>
          </w:tcPr>
          <w:p>
            <w:r>
              <w:rPr>
                <w:color w:val="1A1A1A"/>
                <w:sz w:val="19"/>
                <w:szCs w:val="19"/>
              </w:rPr>
              <w:t xml:space="preserve">1 · Category profile</w:t>
            </w:r>
          </w:p>
        </w:tc>
        <w:tc>
          <w:tcPr>
            <w:tcW w:type="dxa" w:w="4900"/>
            <w:tcMar>
              <w:top w:type="dxa" w:w="80"/>
              <w:left w:type="dxa" w:w="100"/>
              <w:bottom w:type="dxa" w:w="80"/>
              <w:right w:type="dxa" w:w="100"/>
            </w:tcMar>
          </w:tcPr>
          <w:p>
            <w:r>
              <w:rPr>
                <w:color w:val="1A1A1A"/>
                <w:sz w:val="19"/>
                <w:szCs w:val="19"/>
              </w:rPr>
              <w:t xml:space="preserve">Name (required), sector/region, incumbent suppliers, pain points, specs &amp; requirements (what you're buying), a Stakeholder map (Mendelow's grid)</w:t>
            </w:r>
          </w:p>
        </w:tc>
        <w:tc>
          <w:tcPr>
            <w:tcW w:type="dxa" w:w="2700"/>
            <w:tcMar>
              <w:top w:type="dxa" w:w="80"/>
              <w:left w:type="dxa" w:w="100"/>
              <w:bottom w:type="dxa" w:w="80"/>
              <w:right w:type="dxa" w:w="100"/>
            </w:tcMar>
          </w:tcPr>
          <w:p>
            <w:r>
              <w:rPr>
                <w:color w:val="1A1A1A"/>
                <w:sz w:val="19"/>
                <w:szCs w:val="19"/>
              </w:rPr>
              <w:t xml:space="preserve">Suppliers/pains/notes: yes; specs and stakeholders are manual — organisational fact, not AI-guessed</w:t>
            </w:r>
          </w:p>
        </w:tc>
      </w:tr>
      <w:tr>
        <w:tc>
          <w:tcPr>
            <w:tcW w:type="dxa" w:w="1750"/>
            <w:shd w:fill="F2F6F5" w:val="clear"/>
            <w:tcMar>
              <w:top w:type="dxa" w:w="80"/>
              <w:left w:type="dxa" w:w="100"/>
              <w:bottom w:type="dxa" w:w="80"/>
              <w:right w:type="dxa" w:w="100"/>
            </w:tcMar>
          </w:tcPr>
          <w:p>
            <w:r>
              <w:rPr>
                <w:color w:val="1A1A1A"/>
                <w:sz w:val="19"/>
                <w:szCs w:val="19"/>
              </w:rPr>
              <w:t xml:space="preserve">2 · Spend profile</w:t>
            </w:r>
          </w:p>
        </w:tc>
        <w:tc>
          <w:tcPr>
            <w:tcW w:type="dxa" w:w="4900"/>
            <w:shd w:fill="F2F6F5" w:val="clear"/>
            <w:tcMar>
              <w:top w:type="dxa" w:w="80"/>
              <w:left w:type="dxa" w:w="100"/>
              <w:bottom w:type="dxa" w:w="80"/>
              <w:right w:type="dxa" w:w="100"/>
            </w:tcMar>
          </w:tcPr>
          <w:p>
            <w:r>
              <w:rPr>
                <w:color w:val="1A1A1A"/>
                <w:sz w:val="19"/>
                <w:szCs w:val="19"/>
              </w:rPr>
              <w:t xml:space="preserve">Internal spend data (CSV) — optional. Skipping keeps you in "generic mode"</w:t>
            </w:r>
          </w:p>
        </w:tc>
        <w:tc>
          <w:tcPr>
            <w:tcW w:type="dxa" w:w="2700"/>
            <w:shd w:fill="F2F6F5" w:val="clear"/>
            <w:tcMar>
              <w:top w:type="dxa" w:w="80"/>
              <w:left w:type="dxa" w:w="100"/>
              <w:bottom w:type="dxa" w:w="80"/>
              <w:right w:type="dxa" w:w="100"/>
            </w:tcMar>
          </w:tcPr>
          <w:p>
            <w:r>
              <w:rPr>
                <w:color w:val="1A1A1A"/>
                <w:sz w:val="19"/>
                <w:szCs w:val="19"/>
              </w:rPr>
              <w:t xml:space="preserve">No — real data or manual sliders</w:t>
            </w:r>
          </w:p>
        </w:tc>
      </w:tr>
      <w:tr>
        <w:tc>
          <w:tcPr>
            <w:tcW w:type="dxa" w:w="1750"/>
            <w:tcMar>
              <w:top w:type="dxa" w:w="80"/>
              <w:left w:type="dxa" w:w="100"/>
              <w:bottom w:type="dxa" w:w="80"/>
              <w:right w:type="dxa" w:w="100"/>
            </w:tcMar>
          </w:tcPr>
          <w:p>
            <w:r>
              <w:rPr>
                <w:color w:val="1A1A1A"/>
                <w:sz w:val="19"/>
                <w:szCs w:val="19"/>
              </w:rPr>
              <w:t xml:space="preserve">3 · Market info hub</w:t>
            </w:r>
          </w:p>
        </w:tc>
        <w:tc>
          <w:tcPr>
            <w:tcW w:type="dxa" w:w="4900"/>
            <w:tcMar>
              <w:top w:type="dxa" w:w="80"/>
              <w:left w:type="dxa" w:w="100"/>
              <w:bottom w:type="dxa" w:w="80"/>
              <w:right w:type="dxa" w:w="100"/>
            </w:tcMar>
          </w:tcPr>
          <w:p>
            <w:r>
              <w:rPr>
                <w:color w:val="1A1A1A"/>
                <w:sz w:val="19"/>
                <w:szCs w:val="19"/>
              </w:rPr>
              <w:t xml:space="preserve">9 external market variables + Research Assistant</w:t>
            </w:r>
          </w:p>
        </w:tc>
        <w:tc>
          <w:tcPr>
            <w:tcW w:type="dxa" w:w="2700"/>
            <w:tcMar>
              <w:top w:type="dxa" w:w="80"/>
              <w:left w:type="dxa" w:w="100"/>
              <w:bottom w:type="dxa" w:w="80"/>
              <w:right w:type="dxa" w:w="100"/>
            </w:tcMar>
          </w:tcPr>
          <w:p>
            <w:r>
              <w:rPr>
                <w:color w:val="1A1A1A"/>
                <w:sz w:val="19"/>
                <w:szCs w:val="19"/>
              </w:rPr>
              <w:t xml:space="preserve">Yes, one button scores all nine</w:t>
            </w:r>
          </w:p>
        </w:tc>
      </w:tr>
      <w:tr>
        <w:tc>
          <w:tcPr>
            <w:tcW w:type="dxa" w:w="1750"/>
            <w:shd w:fill="F2F6F5" w:val="clear"/>
            <w:tcMar>
              <w:top w:type="dxa" w:w="80"/>
              <w:left w:type="dxa" w:w="100"/>
              <w:bottom w:type="dxa" w:w="80"/>
              <w:right w:type="dxa" w:w="100"/>
            </w:tcMar>
          </w:tcPr>
          <w:p>
            <w:r>
              <w:rPr>
                <w:color w:val="1A1A1A"/>
                <w:sz w:val="19"/>
                <w:szCs w:val="19"/>
              </w:rPr>
              <w:t xml:space="preserve">4 · SWOT &amp; PESTLE</w:t>
            </w:r>
          </w:p>
        </w:tc>
        <w:tc>
          <w:tcPr>
            <w:tcW w:type="dxa" w:w="4900"/>
            <w:shd w:fill="F2F6F5" w:val="clear"/>
            <w:tcMar>
              <w:top w:type="dxa" w:w="80"/>
              <w:left w:type="dxa" w:w="100"/>
              <w:bottom w:type="dxa" w:w="80"/>
              <w:right w:type="dxa" w:w="100"/>
            </w:tcMar>
          </w:tcPr>
          <w:p>
            <w:r>
              <w:rPr>
                <w:color w:val="1A1A1A"/>
                <w:sz w:val="19"/>
                <w:szCs w:val="19"/>
              </w:rPr>
              <w:t xml:space="preserve">Buyer-perspective framing, grounded in Step 3 evidence</w:t>
            </w:r>
          </w:p>
        </w:tc>
        <w:tc>
          <w:tcPr>
            <w:tcW w:type="dxa" w:w="2700"/>
            <w:shd w:fill="F2F6F5" w:val="clear"/>
            <w:tcMar>
              <w:top w:type="dxa" w:w="80"/>
              <w:left w:type="dxa" w:w="100"/>
              <w:bottom w:type="dxa" w:w="80"/>
              <w:right w:type="dxa" w:w="100"/>
            </w:tcMar>
          </w:tcPr>
          <w:p>
            <w:r>
              <w:rPr>
                <w:color w:val="1A1A1A"/>
                <w:sz w:val="19"/>
                <w:szCs w:val="19"/>
              </w:rPr>
              <w:t xml:space="preserve">Yes, in full</w:t>
            </w:r>
          </w:p>
        </w:tc>
      </w:tr>
      <w:tr>
        <w:tc>
          <w:tcPr>
            <w:tcW w:type="dxa" w:w="1750"/>
            <w:tcMar>
              <w:top w:type="dxa" w:w="80"/>
              <w:left w:type="dxa" w:w="100"/>
              <w:bottom w:type="dxa" w:w="80"/>
              <w:right w:type="dxa" w:w="100"/>
            </w:tcMar>
          </w:tcPr>
          <w:p>
            <w:r>
              <w:rPr>
                <w:color w:val="1A1A1A"/>
                <w:sz w:val="19"/>
                <w:szCs w:val="19"/>
              </w:rPr>
              <w:t xml:space="preserve">5–6 · Five Forces &amp; Kraljic</w:t>
            </w:r>
          </w:p>
        </w:tc>
        <w:tc>
          <w:tcPr>
            <w:tcW w:type="dxa" w:w="4900"/>
            <w:tcMar>
              <w:top w:type="dxa" w:w="80"/>
              <w:left w:type="dxa" w:w="100"/>
              <w:bottom w:type="dxa" w:w="80"/>
              <w:right w:type="dxa" w:w="100"/>
            </w:tcMar>
          </w:tcPr>
          <w:p>
            <w:r>
              <w:rPr>
                <w:color w:val="1A1A1A"/>
                <w:sz w:val="19"/>
                <w:szCs w:val="19"/>
              </w:rPr>
              <w:t xml:space="preserve">Derived automatically</w:t>
            </w:r>
          </w:p>
        </w:tc>
        <w:tc>
          <w:tcPr>
            <w:tcW w:type="dxa" w:w="2700"/>
            <w:tcMar>
              <w:top w:type="dxa" w:w="80"/>
              <w:left w:type="dxa" w:w="100"/>
              <w:bottom w:type="dxa" w:w="80"/>
              <w:right w:type="dxa" w:w="100"/>
            </w:tcMar>
          </w:tcPr>
          <w:p>
            <w:r>
              <w:rPr>
                <w:color w:val="1A1A1A"/>
                <w:sz w:val="19"/>
                <w:szCs w:val="19"/>
              </w:rPr>
              <w:t xml:space="preserve">Fully derived</w:t>
            </w:r>
          </w:p>
        </w:tc>
      </w:tr>
      <w:tr>
        <w:tc>
          <w:tcPr>
            <w:tcW w:type="dxa" w:w="1750"/>
            <w:shd w:fill="F2F6F5" w:val="clear"/>
            <w:tcMar>
              <w:top w:type="dxa" w:w="80"/>
              <w:left w:type="dxa" w:w="100"/>
              <w:bottom w:type="dxa" w:w="80"/>
              <w:right w:type="dxa" w:w="100"/>
            </w:tcMar>
          </w:tcPr>
          <w:p>
            <w:r>
              <w:rPr>
                <w:color w:val="1A1A1A"/>
                <w:sz w:val="19"/>
                <w:szCs w:val="19"/>
              </w:rPr>
              <w:t xml:space="preserve">7 · Suppliers &amp; tiering</w:t>
            </w:r>
          </w:p>
        </w:tc>
        <w:tc>
          <w:tcPr>
            <w:tcW w:type="dxa" w:w="4900"/>
            <w:shd w:fill="F2F6F5" w:val="clear"/>
            <w:tcMar>
              <w:top w:type="dxa" w:w="80"/>
              <w:left w:type="dxa" w:w="100"/>
              <w:bottom w:type="dxa" w:w="80"/>
              <w:right w:type="dxa" w:w="100"/>
            </w:tcMar>
          </w:tcPr>
          <w:p>
            <w:r>
              <w:rPr>
                <w:color w:val="1A1A1A"/>
                <w:sz w:val="19"/>
                <w:szCs w:val="19"/>
              </w:rPr>
              <w:t xml:space="preserve">Segmentation, scorecards, SRM review history, and a Contract register</w:t>
            </w:r>
          </w:p>
        </w:tc>
        <w:tc>
          <w:tcPr>
            <w:tcW w:type="dxa" w:w="2700"/>
            <w:shd w:fill="F2F6F5" w:val="clear"/>
            <w:tcMar>
              <w:top w:type="dxa" w:w="80"/>
              <w:left w:type="dxa" w:w="100"/>
              <w:bottom w:type="dxa" w:w="80"/>
              <w:right w:type="dxa" w:w="100"/>
            </w:tcMar>
          </w:tcPr>
          <w:p>
            <w:r>
              <w:rPr>
                <w:color w:val="1A1A1A"/>
                <w:sz w:val="19"/>
                <w:szCs w:val="19"/>
              </w:rPr>
              <w:t xml:space="preserve">Yes — AI-assess (segmentation/scorecards); contracts are manual</w:t>
            </w:r>
          </w:p>
        </w:tc>
      </w:tr>
      <w:tr>
        <w:tc>
          <w:tcPr>
            <w:tcW w:type="dxa" w:w="1750"/>
            <w:tcMar>
              <w:top w:type="dxa" w:w="80"/>
              <w:left w:type="dxa" w:w="100"/>
              <w:bottom w:type="dxa" w:w="80"/>
              <w:right w:type="dxa" w:w="100"/>
            </w:tcMar>
          </w:tcPr>
          <w:p>
            <w:r>
              <w:rPr>
                <w:color w:val="1A1A1A"/>
                <w:sz w:val="19"/>
                <w:szCs w:val="19"/>
              </w:rPr>
              <w:t xml:space="preserve">8 · Risk heatmap &amp; ESG</w:t>
            </w:r>
          </w:p>
        </w:tc>
        <w:tc>
          <w:tcPr>
            <w:tcW w:type="dxa" w:w="4900"/>
            <w:tcMar>
              <w:top w:type="dxa" w:w="80"/>
              <w:left w:type="dxa" w:w="100"/>
              <w:bottom w:type="dxa" w:w="80"/>
              <w:right w:type="dxa" w:w="100"/>
            </w:tcMar>
          </w:tcPr>
          <w:p>
            <w:r>
              <w:rPr>
                <w:color w:val="1A1A1A"/>
                <w:sz w:val="19"/>
                <w:szCs w:val="19"/>
              </w:rPr>
              <w:t xml:space="preserve">5×5 risk register + ESG opportunities</w:t>
            </w:r>
          </w:p>
        </w:tc>
        <w:tc>
          <w:tcPr>
            <w:tcW w:type="dxa" w:w="2700"/>
            <w:tcMar>
              <w:top w:type="dxa" w:w="80"/>
              <w:left w:type="dxa" w:w="100"/>
              <w:bottom w:type="dxa" w:w="80"/>
              <w:right w:type="dxa" w:w="100"/>
            </w:tcMar>
          </w:tcPr>
          <w:p>
            <w:r>
              <w:rPr>
                <w:color w:val="1A1A1A"/>
                <w:sz w:val="19"/>
                <w:szCs w:val="19"/>
              </w:rPr>
              <w:t xml:space="preserve">Yes, in full</w:t>
            </w:r>
          </w:p>
        </w:tc>
      </w:tr>
      <w:tr>
        <w:tc>
          <w:tcPr>
            <w:tcW w:type="dxa" w:w="1750"/>
            <w:shd w:fill="F2F6F5" w:val="clear"/>
            <w:tcMar>
              <w:top w:type="dxa" w:w="80"/>
              <w:left w:type="dxa" w:w="100"/>
              <w:bottom w:type="dxa" w:w="80"/>
              <w:right w:type="dxa" w:w="100"/>
            </w:tcMar>
          </w:tcPr>
          <w:p>
            <w:r>
              <w:rPr>
                <w:color w:val="1A1A1A"/>
                <w:sz w:val="19"/>
                <w:szCs w:val="19"/>
              </w:rPr>
              <w:t xml:space="preserve">9 · Purchasing chessboard</w:t>
            </w:r>
          </w:p>
        </w:tc>
        <w:tc>
          <w:tcPr>
            <w:tcW w:type="dxa" w:w="4900"/>
            <w:shd w:fill="F2F6F5" w:val="clear"/>
            <w:tcMar>
              <w:top w:type="dxa" w:w="80"/>
              <w:left w:type="dxa" w:w="100"/>
              <w:bottom w:type="dxa" w:w="80"/>
              <w:right w:type="dxa" w:w="100"/>
            </w:tcMar>
          </w:tcPr>
          <w:p>
            <w:r>
              <w:rPr>
                <w:color w:val="1A1A1A"/>
                <w:sz w:val="19"/>
                <w:szCs w:val="19"/>
              </w:rPr>
              <w:t xml:space="preserve">Sourcing methods from the 64-method board</w:t>
            </w:r>
          </w:p>
        </w:tc>
        <w:tc>
          <w:tcPr>
            <w:tcW w:type="dxa" w:w="2700"/>
            <w:shd w:fill="F2F6F5" w:val="clear"/>
            <w:tcMar>
              <w:top w:type="dxa" w:w="80"/>
              <w:left w:type="dxa" w:w="100"/>
              <w:bottom w:type="dxa" w:w="80"/>
              <w:right w:type="dxa" w:w="100"/>
            </w:tcMar>
          </w:tcPr>
          <w:p>
            <w:r>
              <w:rPr>
                <w:color w:val="1A1A1A"/>
                <w:sz w:val="19"/>
                <w:szCs w:val="19"/>
              </w:rPr>
              <w:t xml:space="preserve">Yes — recommendations accumulate, tick "Keep"</w:t>
            </w:r>
          </w:p>
        </w:tc>
      </w:tr>
      <w:tr>
        <w:tc>
          <w:tcPr>
            <w:tcW w:type="dxa" w:w="1750"/>
            <w:tcMar>
              <w:top w:type="dxa" w:w="80"/>
              <w:left w:type="dxa" w:w="100"/>
              <w:bottom w:type="dxa" w:w="80"/>
              <w:right w:type="dxa" w:w="100"/>
            </w:tcMar>
          </w:tcPr>
          <w:p>
            <w:r>
              <w:rPr>
                <w:color w:val="1A1A1A"/>
                <w:sz w:val="19"/>
                <w:szCs w:val="19"/>
              </w:rPr>
              <w:t xml:space="preserve">10 · Cost drivers &amp; levers</w:t>
            </w:r>
          </w:p>
        </w:tc>
        <w:tc>
          <w:tcPr>
            <w:tcW w:type="dxa" w:w="4900"/>
            <w:tcMar>
              <w:top w:type="dxa" w:w="80"/>
              <w:left w:type="dxa" w:w="100"/>
              <w:bottom w:type="dxa" w:w="80"/>
              <w:right w:type="dxa" w:w="100"/>
            </w:tcMar>
          </w:tcPr>
          <w:p>
            <w:r>
              <w:rPr>
                <w:color w:val="1A1A1A"/>
                <w:sz w:val="19"/>
                <w:szCs w:val="19"/>
              </w:rPr>
              <w:t xml:space="preserve">Should-cost weighting + levers</w:t>
            </w:r>
          </w:p>
        </w:tc>
        <w:tc>
          <w:tcPr>
            <w:tcW w:type="dxa" w:w="2700"/>
            <w:tcMar>
              <w:top w:type="dxa" w:w="80"/>
              <w:left w:type="dxa" w:w="100"/>
              <w:bottom w:type="dxa" w:w="80"/>
              <w:right w:type="dxa" w:w="100"/>
            </w:tcMar>
          </w:tcPr>
          <w:p>
            <w:r>
              <w:rPr>
                <w:color w:val="1A1A1A"/>
                <w:sz w:val="19"/>
                <w:szCs w:val="19"/>
              </w:rPr>
              <w:t xml:space="preserve">Yes — playbook default or full AI</w:t>
            </w:r>
          </w:p>
        </w:tc>
      </w:tr>
      <w:tr>
        <w:tc>
          <w:tcPr>
            <w:tcW w:type="dxa" w:w="1750"/>
            <w:shd w:fill="F2F6F5" w:val="clear"/>
            <w:tcMar>
              <w:top w:type="dxa" w:w="80"/>
              <w:left w:type="dxa" w:w="100"/>
              <w:bottom w:type="dxa" w:w="80"/>
              <w:right w:type="dxa" w:w="100"/>
            </w:tcMar>
          </w:tcPr>
          <w:p>
            <w:r>
              <w:rPr>
                <w:color w:val="1A1A1A"/>
                <w:sz w:val="19"/>
                <w:szCs w:val="19"/>
              </w:rPr>
              <w:t xml:space="preserve">11 · Negotiation plan</w:t>
            </w:r>
          </w:p>
        </w:tc>
        <w:tc>
          <w:tcPr>
            <w:tcW w:type="dxa" w:w="4900"/>
            <w:shd w:fill="F2F6F5" w:val="clear"/>
            <w:tcMar>
              <w:top w:type="dxa" w:w="80"/>
              <w:left w:type="dxa" w:w="100"/>
              <w:bottom w:type="dxa" w:w="80"/>
              <w:right w:type="dxa" w:w="100"/>
            </w:tcMar>
          </w:tcPr>
          <w:p>
            <w:r>
              <w:rPr>
                <w:color w:val="1A1A1A"/>
                <w:sz w:val="19"/>
                <w:szCs w:val="19"/>
              </w:rPr>
              <w:t xml:space="preserve">Objectives, BATNAs, issues, trades, behaviours</w:t>
            </w:r>
          </w:p>
        </w:tc>
        <w:tc>
          <w:tcPr>
            <w:tcW w:type="dxa" w:w="2700"/>
            <w:shd w:fill="F2F6F5" w:val="clear"/>
            <w:tcMar>
              <w:top w:type="dxa" w:w="80"/>
              <w:left w:type="dxa" w:w="100"/>
              <w:bottom w:type="dxa" w:w="80"/>
              <w:right w:type="dxa" w:w="100"/>
            </w:tcMar>
          </w:tcPr>
          <w:p>
            <w:r>
              <w:rPr>
                <w:color w:val="1A1A1A"/>
                <w:sz w:val="19"/>
                <w:szCs w:val="19"/>
              </w:rPr>
              <w:t xml:space="preserve">Yes — grounded in Kraljic position and kept chessboard methods</w:t>
            </w:r>
          </w:p>
        </w:tc>
      </w:tr>
      <w:tr>
        <w:tc>
          <w:tcPr>
            <w:tcW w:type="dxa" w:w="1750"/>
            <w:tcMar>
              <w:top w:type="dxa" w:w="80"/>
              <w:left w:type="dxa" w:w="100"/>
              <w:bottom w:type="dxa" w:w="80"/>
              <w:right w:type="dxa" w:w="100"/>
            </w:tcMar>
          </w:tcPr>
          <w:p>
            <w:r>
              <w:rPr>
                <w:color w:val="1A1A1A"/>
                <w:sz w:val="19"/>
                <w:szCs w:val="19"/>
              </w:rPr>
              <w:t xml:space="preserve">12 · Execution plan</w:t>
            </w:r>
          </w:p>
        </w:tc>
        <w:tc>
          <w:tcPr>
            <w:tcW w:type="dxa" w:w="4900"/>
            <w:tcMar>
              <w:top w:type="dxa" w:w="80"/>
              <w:left w:type="dxa" w:w="100"/>
              <w:bottom w:type="dxa" w:w="80"/>
              <w:right w:type="dxa" w:w="100"/>
            </w:tcMar>
          </w:tcPr>
          <w:p>
            <w:r>
              <w:rPr>
                <w:color w:val="1A1A1A"/>
                <w:sz w:val="19"/>
                <w:szCs w:val="19"/>
              </w:rPr>
              <w:t xml:space="preserve">Gantt + RACI delivery plan</w:t>
            </w:r>
          </w:p>
        </w:tc>
        <w:tc>
          <w:tcPr>
            <w:tcW w:type="dxa" w:w="2700"/>
            <w:tcMar>
              <w:top w:type="dxa" w:w="80"/>
              <w:left w:type="dxa" w:w="100"/>
              <w:bottom w:type="dxa" w:w="80"/>
              <w:right w:type="dxa" w:w="100"/>
            </w:tcMar>
          </w:tcPr>
          <w:p>
            <w:r>
              <w:rPr>
                <w:color w:val="1A1A1A"/>
                <w:sz w:val="19"/>
                <w:szCs w:val="19"/>
              </w:rPr>
              <w:t xml:space="preserve">Partially AI-assisted, fully editable</w:t>
            </w:r>
          </w:p>
        </w:tc>
      </w:tr>
      <w:tr>
        <w:tc>
          <w:tcPr>
            <w:tcW w:type="dxa" w:w="1750"/>
            <w:shd w:fill="F2F6F5" w:val="clear"/>
            <w:tcMar>
              <w:top w:type="dxa" w:w="80"/>
              <w:left w:type="dxa" w:w="100"/>
              <w:bottom w:type="dxa" w:w="80"/>
              <w:right w:type="dxa" w:w="100"/>
            </w:tcMar>
          </w:tcPr>
          <w:p>
            <w:r>
              <w:rPr>
                <w:color w:val="1A1A1A"/>
                <w:sz w:val="19"/>
                <w:szCs w:val="19"/>
              </w:rPr>
              <w:t xml:space="preserve">13 · Commercial 7Ps (optional)</w:t>
            </w:r>
          </w:p>
        </w:tc>
        <w:tc>
          <w:tcPr>
            <w:tcW w:type="dxa" w:w="4900"/>
            <w:shd w:fill="F2F6F5" w:val="clear"/>
            <w:tcMar>
              <w:top w:type="dxa" w:w="80"/>
              <w:left w:type="dxa" w:w="100"/>
              <w:bottom w:type="dxa" w:w="80"/>
              <w:right w:type="dxa" w:w="100"/>
            </w:tcMar>
          </w:tcPr>
          <w:p>
            <w:r>
              <w:rPr>
                <w:color w:val="1A1A1A"/>
                <w:sz w:val="19"/>
                <w:szCs w:val="19"/>
              </w:rPr>
              <w:t xml:space="preserve">Sell-side canvas — only relevant if the category IS the business</w:t>
            </w:r>
          </w:p>
        </w:tc>
        <w:tc>
          <w:tcPr>
            <w:tcW w:type="dxa" w:w="2700"/>
            <w:shd w:fill="F2F6F5" w:val="clear"/>
            <w:tcMar>
              <w:top w:type="dxa" w:w="80"/>
              <w:left w:type="dxa" w:w="100"/>
              <w:bottom w:type="dxa" w:w="80"/>
              <w:right w:type="dxa" w:w="100"/>
            </w:tcMar>
          </w:tcPr>
          <w:p>
            <w:r>
              <w:rPr>
                <w:color w:val="1A1A1A"/>
                <w:sz w:val="19"/>
                <w:szCs w:val="19"/>
              </w:rPr>
              <w:t xml:space="preserve">Yes, throughout. Excluded from exports by default</w:t>
            </w:r>
          </w:p>
        </w:tc>
      </w:tr>
      <w:tr>
        <w:tc>
          <w:tcPr>
            <w:tcW w:type="dxa" w:w="1750"/>
            <w:tcMar>
              <w:top w:type="dxa" w:w="80"/>
              <w:left w:type="dxa" w:w="100"/>
              <w:bottom w:type="dxa" w:w="80"/>
              <w:right w:type="dxa" w:w="100"/>
            </w:tcMar>
          </w:tcPr>
          <w:p>
            <w:r>
              <w:rPr>
                <w:color w:val="1A1A1A"/>
                <w:sz w:val="19"/>
                <w:szCs w:val="19"/>
              </w:rPr>
              <w:t xml:space="preserve">14 · Strategy &amp; plan</w:t>
            </w:r>
          </w:p>
        </w:tc>
        <w:tc>
          <w:tcPr>
            <w:tcW w:type="dxa" w:w="4900"/>
            <w:tcMar>
              <w:top w:type="dxa" w:w="80"/>
              <w:left w:type="dxa" w:w="100"/>
              <w:bottom w:type="dxa" w:w="80"/>
              <w:right w:type="dxa" w:w="100"/>
            </w:tcMar>
          </w:tcPr>
          <w:p>
            <w:r>
              <w:rPr>
                <w:color w:val="1A1A1A"/>
                <w:sz w:val="19"/>
                <w:szCs w:val="19"/>
              </w:rPr>
              <w:t xml:space="preserve">Final synthesis, exports, business case, elevator pitch</w:t>
            </w:r>
          </w:p>
        </w:tc>
        <w:tc>
          <w:tcPr>
            <w:tcW w:type="dxa" w:w="2700"/>
            <w:tcMar>
              <w:top w:type="dxa" w:w="80"/>
              <w:left w:type="dxa" w:w="100"/>
              <w:bottom w:type="dxa" w:w="80"/>
              <w:right w:type="dxa" w:w="100"/>
            </w:tcMar>
          </w:tcPr>
          <w:p>
            <w:r>
              <w:rPr>
                <w:color w:val="1A1A1A"/>
                <w:sz w:val="19"/>
                <w:szCs w:val="19"/>
              </w:rPr>
              <w:t xml:space="preserve">Yes — one AI call</w:t>
            </w:r>
          </w:p>
        </w:tc>
      </w:tr>
    </w:tbl>
    <w:p>
      <w:pPr>
        <w:pStyle w:val="Heading2"/>
        <w:spacing w:after="100" w:before="220"/>
      </w:pPr>
      <w:r>
        <w:t xml:space="preserve">3.1 Accumulate, never overwrite</w:t>
      </w:r>
    </w:p>
    <w:p>
      <w:pPr>
        <w:spacing w:after="140"/>
      </w:pPr>
      <w:r>
        <w:rPr>
          <w:b w:val="false"/>
          <w:bCs w:val="false"/>
          <w:i w:val="false"/>
          <w:iCs w:val="false"/>
        </w:rPr>
        <w:t xml:space="preserve">The Chessboard and Research Assistant steps add each new AI batch to what's already there, rather than replacing it. You tick "Keep" on what you want; only kept items flow into the final document. Regenerating never silently discards a previous selection.</w:t>
      </w:r>
    </w:p>
    <w:p>
      <w:pPr>
        <w:pStyle w:val="Heading2"/>
        <w:spacing w:after="100" w:before="220"/>
      </w:pPr>
      <w:r>
        <w:t xml:space="preserve">3.2 The pre-flight check</w:t>
      </w:r>
    </w:p>
    <w:p>
      <w:pPr>
        <w:spacing w:after="140"/>
      </w:pPr>
      <w:r>
        <w:rPr>
          <w:b w:val="false"/>
          <w:bCs w:val="false"/>
          <w:i w:val="false"/>
          <w:iCs w:val="false"/>
        </w:rPr>
        <w:t xml:space="preserve">Before generating Step 14, the app shows exactly what's missing (market brief, research, SWOT, suppliers, etc.) and lets you continue anyway (gaps get listed under "Data gaps to close") or go back and complete them first.</w:t>
      </w:r>
    </w:p>
    <w:p>
      <w:pPr>
        <w:pStyle w:val="Heading2"/>
        <w:spacing w:after="100" w:before="220"/>
      </w:pPr>
      <w:r>
        <w:t xml:space="preserve">3.3 If you download without generating first</w:t>
      </w:r>
    </w:p>
    <w:p>
      <w:pPr>
        <w:spacing w:after="140"/>
      </w:pPr>
      <w:r>
        <w:rPr>
          <w:b w:val="false"/>
          <w:bCs w:val="false"/>
          <w:i w:val="false"/>
          <w:iCs w:val="false"/>
        </w:rPr>
        <w:t xml:space="preserve">Every export format (.docx, .pptx, .md) shows a clear "⚠ DRAFT — Generate Strategy has not been run" banner if you download before generating — deliberate, not a bug: the document itself declares its own incompleteness, so it's never misleading even if forwarded or shared outside the app.</w:t>
      </w:r>
    </w:p>
    <w:p>
      <w:pPr>
        <w:pStyle w:val="Heading2"/>
        <w:spacing w:after="100" w:before="220"/>
      </w:pPr>
      <w:r>
        <w:t xml:space="preserve">3.4 Module Review — a per-step Word export</w:t>
      </w:r>
    </w:p>
    <w:p>
      <w:pPr>
        <w:spacing w:after="140"/>
      </w:pPr>
      <w:r>
        <w:rPr>
          <w:b w:val="false"/>
          <w:bCs w:val="false"/>
          <w:i w:val="false"/>
          <w:iCs w:val="false"/>
        </w:rPr>
        <w:t xml:space="preserve">Every step has its own "📊 Module review" card: a Complete/Pending badge, an on-screen chart where the module produces one (Five Forces, Kraljic, Suppliers, Risk, Chessboard, Cost drivers), and a "⬇ Module report (Word)" button — a single-module document with that same chart actually embedded, useful for circulating one piece of the analysis without the full document.</w:t>
      </w:r>
    </w:p>
    <w:p>
      <w:pPr>
        <w:pStyle w:val="Heading2"/>
        <w:spacing w:after="100" w:before="220"/>
      </w:pPr>
      <w:r>
        <w:t xml:space="preserve">3.5 Collapsible sections, across most of the workbench</w:t>
      </w:r>
    </w:p>
    <w:p>
      <w:pPr>
        <w:spacing w:after="140"/>
      </w:pPr>
      <w:r>
        <w:rPr>
          <w:b w:val="false"/>
          <w:bCs w:val="false"/>
          <w:i w:val="false"/>
          <w:iCs w:val="false"/>
        </w:rPr>
        <w:t xml:space="preserve">AI-generated output collapses by default on Steps 3, 4, 5, 8, 10, 11, and 14 (Research findings, SWOT/PESTLE, Five Forces breakdown, Risk register, ESG opportunities, savings/KPI grids, negotiation issues matrix, trading board, behaviours roadmap, and every Step 14 section except Executive Summary, which stays visible as the orientation anchor). Deliberately left uncollapsed everywhere it's an active editing surface rather than passive review content — Suppliers scorecard, Contract register, Chessboard, Execution Plan's Gantt/RACI, and Step 13's tracking tables all stay visible, since collapsing an active input surface would hurt usability, not help it.</w:t>
      </w:r>
    </w:p>
    <w:p>
      <w:pPr>
        <w:pStyle w:val="Heading2"/>
        <w:spacing w:after="100" w:before="220"/>
      </w:pPr>
      <w:r>
        <w:t xml:space="preserve">3.6 📁 My Categories — multiple independent categories, one browser</w:t>
      </w:r>
    </w:p>
    <w:p>
      <w:pPr>
        <w:spacing w:after="140"/>
      </w:pPr>
      <w:r>
        <w:rPr>
          <w:b w:val="false"/>
          <w:bCs w:val="false"/>
          <w:i w:val="false"/>
          <w:iCs w:val="false"/>
        </w:rPr>
        <w:t xml:space="preserve">Click "📁 My Categories" in the header (or use the inline widget on Step 1 itself) to create and switch between genuinely separate, independent categories in the same browser. "+ New category" creates a real blank record — unlike simply retyping a name into the Category name field, which renames the currently active record in place and carries over every other field (suppliers, risks, chessboard picks) under the new name. Delete removes a category's entire record permanently, with a confirm first.</w:t>
      </w:r>
    </w:p>
    <w:p>
      <w:pPr>
        <w:pStyle w:val="Heading2"/>
        <w:spacing w:after="100" w:before="220"/>
      </w:pPr>
      <w:r>
        <w:t xml:space="preserve">3.7 Category phase banner</w:t>
      </w:r>
    </w:p>
    <w:p>
      <w:pPr>
        <w:spacing w:after="140"/>
      </w:pPr>
      <w:r>
        <w:rPr>
          <w:b w:val="false"/>
          <w:bCs w:val="false"/>
          <w:i w:val="false"/>
          <w:iCs w:val="false"/>
        </w:rPr>
        <w:t xml:space="preserve">A chevron strip at the top of every Category Workbench screen shows the current phase — Define → Understand → Strategise → Source → Contract &amp; Manage → Output — with completed phases marked.</w:t>
      </w:r>
    </w:p>
    <w:p>
      <w:pPr>
        <w:pBdr>
          <w:left w:val="single" w:color="0E5E56" w:sz="12" w:space="8"/>
        </w:pBdr>
        <w:spacing w:after="160" w:before="60"/>
        <w:ind w:left="200"/>
      </w:pPr>
      <w:r>
        <w:rPr>
          <w:b/>
          <w:bCs/>
          <w:color w:val="0E5E56"/>
        </w:rPr>
        <w:t xml:space="preserve">Note: </w:t>
      </w:r>
      <w:r>
        <w:rPr>
          <w:i/>
          <w:iCs/>
        </w:rPr>
        <w:t xml:space="preserve">Five Forces (Step 5) shows under Understand, not Strategise, by design — it's grouped with SWOT/PESTLE as a market-understanding tool. The sidebar's own per-phase counters can look ahead of the banner in places (a couple of steps share completion logic with an earlier one) — that's expected, not a banner error.</w:t>
      </w:r>
    </w:p>
    <w:p>
      <w:pPr>
        <w:pStyle w:val="Heading2"/>
        <w:spacing w:after="100" w:before="220"/>
      </w:pPr>
      <w:r>
        <w:t xml:space="preserve">3.8 🔎 Find — jump to any screen</w:t>
      </w:r>
    </w:p>
    <w:p>
      <w:pPr>
        <w:spacing w:after="140"/>
      </w:pPr>
      <w:r>
        <w:rPr>
          <w:b w:val="false"/>
          <w:bCs w:val="false"/>
          <w:i w:val="false"/>
          <w:iCs w:val="false"/>
        </w:rPr>
        <w:t xml:space="preserve">Click "🔎 Find" in the header to search every screen's name and description, across both workbenches. Type to filter live, click a result to jump there. Escape closes it; Enter jumps to the current top result (typing is what triggers the search itself).</w:t>
      </w:r>
    </w:p>
    <w:p>
      <w:pPr>
        <w:pStyle w:val="Heading1"/>
        <w:spacing w:after="160" w:before="340"/>
      </w:pPr>
      <w:r>
        <w:t xml:space="preserve">4. Portfolio Workbench — P1 to P3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0E5E56" w:val="clear"/>
            <w:tcMar>
              <w:top w:type="dxa" w:w="80"/>
              <w:left w:type="dxa" w:w="100"/>
              <w:bottom w:type="dxa" w:w="80"/>
              <w:right w:type="dxa" w:w="100"/>
            </w:tcMar>
          </w:tcPr>
          <w:p>
            <w:r>
              <w:rPr>
                <w:b/>
                <w:bCs/>
                <w:color w:val="FFFFFF"/>
                <w:sz w:val="19"/>
                <w:szCs w:val="19"/>
              </w:rPr>
              <w:t xml:space="preserve">Phase</w:t>
            </w:r>
          </w:p>
        </w:tc>
        <w:tc>
          <w:tcPr>
            <w:tcW w:type="dxa" w:w="6650"/>
            <w:shd w:fill="0E5E56" w:val="clear"/>
            <w:tcMar>
              <w:top w:type="dxa" w:w="80"/>
              <w:left w:type="dxa" w:w="100"/>
              <w:bottom w:type="dxa" w:w="80"/>
              <w:right w:type="dxa" w:w="100"/>
            </w:tcMar>
          </w:tcPr>
          <w:p>
            <w:r>
              <w:rPr>
                <w:b/>
                <w:bCs/>
                <w:color w:val="FFFFFF"/>
                <w:sz w:val="19"/>
                <w:szCs w:val="19"/>
              </w:rPr>
              <w:t xml:space="preserve">Purpose</w:t>
            </w:r>
          </w:p>
        </w:tc>
      </w:tr>
      <w:tr>
        <w:tc>
          <w:tcPr>
            <w:tcW w:type="dxa" w:w="2700"/>
            <w:tcMar>
              <w:top w:type="dxa" w:w="80"/>
              <w:left w:type="dxa" w:w="100"/>
              <w:bottom w:type="dxa" w:w="80"/>
              <w:right w:type="dxa" w:w="100"/>
            </w:tcMar>
          </w:tcPr>
          <w:p>
            <w:r>
              <w:rPr>
                <w:color w:val="1A1A1A"/>
                <w:sz w:val="19"/>
                <w:szCs w:val="19"/>
              </w:rPr>
              <w:t xml:space="preserve">P1 · Charter &amp; composition</w:t>
            </w:r>
          </w:p>
        </w:tc>
        <w:tc>
          <w:tcPr>
            <w:tcW w:type="dxa" w:w="6650"/>
            <w:tcMar>
              <w:top w:type="dxa" w:w="80"/>
              <w:left w:type="dxa" w:w="100"/>
              <w:bottom w:type="dxa" w:w="80"/>
              <w:right w:type="dxa" w:w="100"/>
            </w:tcMar>
          </w:tcPr>
          <w:p>
            <w:r>
              <w:rPr>
                <w:color w:val="1A1A1A"/>
                <w:sz w:val="19"/>
                <w:szCs w:val="19"/>
              </w:rPr>
              <w:t xml:space="preserve">19-field parent charter + your list of categories/service lines (name, spend, risk, Kraljic, Playbook). Route-to-market channel suggestions per line — click "use this →" to actually accept a suggestion.</w:t>
            </w:r>
          </w:p>
        </w:tc>
      </w:tr>
      <w:tr>
        <w:tc>
          <w:tcPr>
            <w:tcW w:type="dxa" w:w="2700"/>
            <w:shd w:fill="F2F6F5" w:val="clear"/>
            <w:tcMar>
              <w:top w:type="dxa" w:w="80"/>
              <w:left w:type="dxa" w:w="100"/>
              <w:bottom w:type="dxa" w:w="80"/>
              <w:right w:type="dxa" w:w="100"/>
            </w:tcMar>
          </w:tcPr>
          <w:p>
            <w:r>
              <w:rPr>
                <w:color w:val="1A1A1A"/>
                <w:sz w:val="19"/>
                <w:szCs w:val="19"/>
              </w:rPr>
              <w:t xml:space="preserve">P2 · Strategic options</w:t>
            </w:r>
          </w:p>
        </w:tc>
        <w:tc>
          <w:tcPr>
            <w:tcW w:type="dxa" w:w="6650"/>
            <w:shd w:fill="F2F6F5" w:val="clear"/>
            <w:tcMar>
              <w:top w:type="dxa" w:w="80"/>
              <w:left w:type="dxa" w:w="100"/>
              <w:bottom w:type="dxa" w:w="80"/>
              <w:right w:type="dxa" w:w="100"/>
            </w:tcMar>
          </w:tcPr>
          <w:p>
            <w:r>
              <w:rPr>
                <w:color w:val="1A1A1A"/>
                <w:sz w:val="19"/>
                <w:szCs w:val="19"/>
              </w:rPr>
              <w:t xml:space="preserve">3–5 distinct portfolio-level options, scored across 10 risk dimensions.</w:t>
            </w:r>
          </w:p>
        </w:tc>
      </w:tr>
      <w:tr>
        <w:tc>
          <w:tcPr>
            <w:tcW w:type="dxa" w:w="2700"/>
            <w:tcMar>
              <w:top w:type="dxa" w:w="80"/>
              <w:left w:type="dxa" w:w="100"/>
              <w:bottom w:type="dxa" w:w="80"/>
              <w:right w:type="dxa" w:w="100"/>
            </w:tcMar>
          </w:tcPr>
          <w:p>
            <w:r>
              <w:rPr>
                <w:color w:val="1A1A1A"/>
                <w:sz w:val="19"/>
                <w:szCs w:val="19"/>
              </w:rPr>
              <w:t xml:space="preserve">P3 · Roll-up, matrix &amp; report</w:t>
            </w:r>
          </w:p>
        </w:tc>
        <w:tc>
          <w:tcPr>
            <w:tcW w:type="dxa" w:w="6650"/>
            <w:tcMar>
              <w:top w:type="dxa" w:w="80"/>
              <w:left w:type="dxa" w:w="100"/>
              <w:bottom w:type="dxa" w:w="80"/>
              <w:right w:type="dxa" w:w="100"/>
            </w:tcMar>
          </w:tcPr>
          <w:p>
            <w:r>
              <w:rPr>
                <w:color w:val="1A1A1A"/>
                <w:sz w:val="19"/>
                <w:szCs w:val="19"/>
              </w:rPr>
              <w:t xml:space="preserve">Per-line strategy drafting, the Portfolio Matrix, the consolidated 12-section board-paper report.</w:t>
            </w:r>
          </w:p>
        </w:tc>
      </w:tr>
    </w:tbl>
    <w:p>
      <w:pPr>
        <w:pStyle w:val="Heading2"/>
        <w:spacing w:after="100" w:before="220"/>
      </w:pPr>
      <w:r>
        <w:t xml:space="preserve">4.1 Category hierarchy</w:t>
      </w:r>
    </w:p>
    <w:p>
      <w:pPr>
        <w:spacing w:after="140"/>
      </w:pPr>
      <w:r>
        <w:rPr>
          <w:b w:val="false"/>
          <w:bCs w:val="false"/>
          <w:i w:val="false"/>
          <w:iCs w:val="false"/>
        </w:rPr>
        <w:t xml:space="preserve">Any line can be split into sub-categories at any depth via "➕ Duplicate as child." Descriptive context (notes, playbook, channel, specialization, supplier count, volume) copies down; scores never do — every child starts fully unassessed, exactly like a brand-new category.</w:t>
      </w:r>
    </w:p>
    <w:p>
      <w:pPr>
        <w:pStyle w:val="Heading2"/>
        <w:spacing w:after="100" w:before="220"/>
      </w:pPr>
      <w:r>
        <w:t xml:space="preserve">4.2 The rollup engine</w:t>
      </w:r>
    </w:p>
    <w:p>
      <w:pPr>
        <w:spacing w:after="140"/>
      </w:pPr>
      <w:r>
        <w:rPr>
          <w:b w:val="false"/>
          <w:bCs w:val="false"/>
          <w:i w:val="false"/>
          <w:iCs w:val="false"/>
        </w:rPr>
        <w:t xml:space="preserve">A parent with assessed children shows a rolled-up position, not its own individual score: spend-weighted average by default (falls back to simple average if no child has spend entered), or a worst-case/highest-risk-child alternate mode. Unassessed children are always excluded — never blended in as a guess — with a visible "rollup incomplete" indicator whenever it's partial.</w:t>
      </w:r>
    </w:p>
    <w:p>
      <w:pPr>
        <w:pStyle w:val="Heading2"/>
        <w:spacing w:after="100" w:before="220"/>
      </w:pPr>
      <w:r>
        <w:t xml:space="preserve">4.3 Linking to a Category</w:t>
      </w:r>
    </w:p>
    <w:p>
      <w:pPr>
        <w:spacing w:after="140"/>
      </w:pPr>
      <w:r>
        <w:rPr>
          <w:b w:val="false"/>
          <w:bCs w:val="false"/>
          <w:i w:val="false"/>
          <w:iCs w:val="false"/>
        </w:rPr>
        <w:t xml:space="preserve">From P3, "Deep-dive" on any line opens the Category Workbench with the parent charter's relevant fields already inherited; line-local fields start blank for your own assessment. A standalone category can also be attached back into a portfolio at the end of its own Step 14.</w:t>
      </w:r>
    </w:p>
    <w:p>
      <w:pPr>
        <w:pBdr>
          <w:left w:val="single" w:color="0E5E56" w:sz="12" w:space="8"/>
        </w:pBdr>
        <w:spacing w:after="160" w:before="60"/>
        <w:ind w:left="200"/>
      </w:pPr>
      <w:r>
        <w:rPr>
          <w:b/>
          <w:bCs/>
          <w:color w:val="0E5E56"/>
        </w:rPr>
        <w:t xml:space="preserve">Note: </w:t>
      </w:r>
      <w:r>
        <w:rPr>
          <w:i/>
          <w:iCs/>
        </w:rPr>
        <w:t xml:space="preserve">Child-level (sub-category) assessments don't yet feed the exported board-paper report — the roll-up and report currently reflect level-1 lines only. This is a documented scope boundary, not a bug.</w:t>
      </w:r>
    </w:p>
    <w:p>
      <w:pPr>
        <w:pStyle w:val="Heading1"/>
        <w:spacing w:after="160" w:before="340"/>
      </w:pPr>
      <w:r>
        <w:t xml:space="preserve">5. Prefer to Prepare Offline? The Category Input Template</w:t>
      </w:r>
    </w:p>
    <w:p>
      <w:pPr>
        <w:spacing w:after="140"/>
      </w:pPr>
      <w:r>
        <w:rPr>
          <w:b w:val="false"/>
          <w:bCs w:val="false"/>
          <w:i w:val="false"/>
          <w:iCs w:val="false"/>
        </w:rPr>
        <w:t xml:space="preserve">On Step 1, "⬇ Download input template" gives a 10-sheet spreadsheet — a Read me cover sheet (what each sheet is for and how it feeds the app, plus a full scoring-criteria reference) plus 9 real data sheets:</w:t>
      </w:r>
    </w:p>
    <w:p>
      <w:pPr>
        <w:pStyle w:val="ListParagraph"/>
        <w:numPr>
          <w:ilvl w:val="0"/>
          <w:numId w:val="2"/>
        </w:numPr>
        <w:spacing w:after="60"/>
      </w:pPr>
      <w:r>
        <w:t xml:space="preserve">Profile — name, sector, region, notes, specs &amp; requirements, suppliers, pains</w:t>
      </w:r>
    </w:p>
    <w:p>
      <w:pPr>
        <w:pStyle w:val="ListParagraph"/>
        <w:numPr>
          <w:ilvl w:val="0"/>
          <w:numId w:val="2"/>
        </w:numPr>
        <w:spacing w:after="60"/>
      </w:pPr>
      <w:r>
        <w:t xml:space="preserve">Variables — the most tedious one-by-one task in the wizard, the highest-value sheet to fill offline</w:t>
      </w:r>
    </w:p>
    <w:p>
      <w:pPr>
        <w:pStyle w:val="ListParagraph"/>
        <w:numPr>
          <w:ilvl w:val="0"/>
          <w:numId w:val="2"/>
        </w:numPr>
        <w:spacing w:after="60"/>
      </w:pPr>
      <w:r>
        <w:t xml:space="preserve">Spend — supplier + amount. Folds in what used to be a separate .csv upload on Step 2 — one file now covers both. Auto-strips currency symbols and commas, auto-infers total/top-10/concentration exactly like the standalone upload always did — same formula. The Step 2 CSV upload still exists separately too.</w:t>
      </w:r>
    </w:p>
    <w:p>
      <w:pPr>
        <w:pStyle w:val="ListParagraph"/>
        <w:numPr>
          <w:ilvl w:val="0"/>
          <w:numId w:val="2"/>
        </w:numPr>
        <w:spacing w:after="60"/>
      </w:pPr>
      <w:r>
        <w:t xml:space="preserve">Suppliers, Risks — as in-app</w:t>
      </w:r>
    </w:p>
    <w:p>
      <w:pPr>
        <w:pStyle w:val="ListParagraph"/>
        <w:numPr>
          <w:ilvl w:val="0"/>
          <w:numId w:val="2"/>
        </w:numPr>
        <w:spacing w:after="60"/>
      </w:pPr>
      <w:r>
        <w:t xml:space="preserve">Contracts — feeds negotiation timing</w:t>
      </w:r>
    </w:p>
    <w:p>
      <w:pPr>
        <w:pStyle w:val="ListParagraph"/>
        <w:numPr>
          <w:ilvl w:val="0"/>
          <w:numId w:val="2"/>
        </w:numPr>
        <w:spacing w:after="60"/>
      </w:pPr>
      <w:r>
        <w:t xml:space="preserve">Demand forecast — period, amount, trend</w:t>
      </w:r>
    </w:p>
    <w:p>
      <w:pPr>
        <w:pStyle w:val="ListParagraph"/>
        <w:numPr>
          <w:ilvl w:val="0"/>
          <w:numId w:val="2"/>
        </w:numPr>
        <w:spacing w:after="60"/>
      </w:pPr>
      <w:r>
        <w:t xml:space="preserve">Stakeholders — Mendelow's power-interest grid</w:t>
      </w:r>
    </w:p>
    <w:p>
      <w:pPr>
        <w:pStyle w:val="ListParagraph"/>
        <w:numPr>
          <w:ilvl w:val="0"/>
          <w:numId w:val="2"/>
        </w:numPr>
        <w:spacing w:after="60"/>
      </w:pPr>
      <w:r>
        <w:t xml:space="preserve">Supplier performance — feeds the existing SRM Review history, adds to it, doesn't replace</w:t>
      </w:r>
    </w:p>
    <w:p>
      <w:pPr>
        <w:spacing w:after="140"/>
      </w:pPr>
      <w:r>
        <w:rPr>
          <w:b w:val="false"/>
          <w:bCs w:val="false"/>
          <w:i w:val="false"/>
          <w:iCs w:val="false"/>
        </w:rPr>
        <w:t xml:space="preserve">Every column header carries its own scoring criteria inline (e.g. "Capability (1=Limited/unproven, 5=Best-in-class)") — no need to cross-reference the Read Me sheet just to know what a number means, though it's there for the fuller picture.</w:t>
      </w:r>
    </w:p>
    <w:p>
      <w:pPr>
        <w:spacing w:after="140"/>
      </w:pPr>
      <w:r>
        <w:rPr>
          <w:b w:val="false"/>
          <w:bCs w:val="false"/>
          <w:i w:val="false"/>
          <w:iCs w:val="false"/>
        </w:rPr>
        <w:t xml:space="preserve">Fill it — alone, or with a colleague — then "⬆ Upload filled template" applies it back. You'll see exactly how many fields/scores/rows will change before confirming.</w:t>
      </w:r>
    </w:p>
    <w:p>
      <w:pPr>
        <w:pBdr>
          <w:left w:val="single" w:color="0E5E56" w:sz="12" w:space="8"/>
        </w:pBdr>
        <w:spacing w:after="160" w:before="60"/>
        <w:ind w:left="200"/>
      </w:pPr>
      <w:r>
        <w:rPr>
          <w:b/>
          <w:bCs/>
          <w:color w:val="0E5E56"/>
        </w:rPr>
        <w:t xml:space="preserve">Note: </w:t>
      </w:r>
      <w:r>
        <w:rPr>
          <w:i/>
          <w:iCs/>
        </w:rPr>
        <w:t xml:space="preserve">If a column header can't be recognized (deleted or renamed), that sheet is not imported at all, with a clear warning — never a silent guess that could scramble data. This is separate from the Portfolio Workbench's own Excel round-trip — each track has its own.</w:t>
      </w:r>
    </w:p>
    <w:p>
      <w:pPr>
        <w:pStyle w:val="Heading1"/>
        <w:spacing w:after="160" w:before="340"/>
      </w:pPr>
      <w:r>
        <w:t xml:space="preserve">6. Exports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0E5E56" w:val="clear"/>
            <w:tcMar>
              <w:top w:type="dxa" w:w="80"/>
              <w:left w:type="dxa" w:w="100"/>
              <w:bottom w:type="dxa" w:w="80"/>
              <w:right w:type="dxa" w:w="100"/>
            </w:tcMar>
          </w:tcPr>
          <w:p>
            <w:r>
              <w:rPr>
                <w:b/>
                <w:bCs/>
                <w:color w:val="FFFFFF"/>
                <w:sz w:val="19"/>
                <w:szCs w:val="19"/>
              </w:rPr>
              <w:t xml:space="preserve">Format</w:t>
            </w:r>
          </w:p>
        </w:tc>
        <w:tc>
          <w:tcPr>
            <w:tcW w:type="dxa" w:w="6450"/>
            <w:shd w:fill="0E5E56" w:val="clear"/>
            <w:tcMar>
              <w:top w:type="dxa" w:w="80"/>
              <w:left w:type="dxa" w:w="100"/>
              <w:bottom w:type="dxa" w:w="80"/>
              <w:right w:type="dxa" w:w="100"/>
            </w:tcMar>
          </w:tcPr>
          <w:p>
            <w:r>
              <w:rPr>
                <w:b/>
                <w:bCs/>
                <w:color w:val="FFFFFF"/>
                <w:sz w:val="19"/>
                <w:szCs w:val="19"/>
              </w:rPr>
              <w:t xml:space="preserve">Contents</w:t>
            </w:r>
          </w:p>
        </w:tc>
      </w:tr>
      <w:tr>
        <w:tc>
          <w:tcPr>
            <w:tcW w:type="dxa" w:w="2900"/>
            <w:tcMar>
              <w:top w:type="dxa" w:w="80"/>
              <w:left w:type="dxa" w:w="100"/>
              <w:bottom w:type="dxa" w:w="80"/>
              <w:right w:type="dxa" w:w="100"/>
            </w:tcMar>
          </w:tcPr>
          <w:p>
            <w:r>
              <w:rPr>
                <w:color w:val="1A1A1A"/>
                <w:sz w:val="19"/>
                <w:szCs w:val="19"/>
              </w:rPr>
              <w:t xml:space="preserve">.docx (Word)</w:t>
            </w:r>
          </w:p>
        </w:tc>
        <w:tc>
          <w:tcPr>
            <w:tcW w:type="dxa" w:w="6450"/>
            <w:tcMar>
              <w:top w:type="dxa" w:w="80"/>
              <w:left w:type="dxa" w:w="100"/>
              <w:bottom w:type="dxa" w:w="80"/>
              <w:right w:type="dxa" w:w="100"/>
            </w:tcMar>
          </w:tcPr>
          <w:p>
            <w:r>
              <w:rPr>
                <w:color w:val="1A1A1A"/>
                <w:sz w:val="19"/>
                <w:szCs w:val="19"/>
              </w:rPr>
              <w:t xml:space="preserve">pitch → executive summary → objectives → levers → options → negotiation approach → roadmap → risks → data gaps → evidence charts → FAQ → assumption register. Real embedded charts.</w:t>
            </w:r>
          </w:p>
        </w:tc>
      </w:tr>
      <w:tr>
        <w:tc>
          <w:tcPr>
            <w:tcW w:type="dxa" w:w="2900"/>
            <w:shd w:fill="F2F6F5" w:val="clear"/>
            <w:tcMar>
              <w:top w:type="dxa" w:w="80"/>
              <w:left w:type="dxa" w:w="100"/>
              <w:bottom w:type="dxa" w:w="80"/>
              <w:right w:type="dxa" w:w="100"/>
            </w:tcMar>
          </w:tcPr>
          <w:p>
            <w:r>
              <w:rPr>
                <w:color w:val="1A1A1A"/>
                <w:sz w:val="19"/>
                <w:szCs w:val="19"/>
              </w:rPr>
              <w:t xml:space="preserve">.pptx (PowerPoint)</w:t>
            </w:r>
          </w:p>
        </w:tc>
        <w:tc>
          <w:tcPr>
            <w:tcW w:type="dxa" w:w="6450"/>
            <w:shd w:fill="F2F6F5" w:val="clear"/>
            <w:tcMar>
              <w:top w:type="dxa" w:w="80"/>
              <w:left w:type="dxa" w:w="100"/>
              <w:bottom w:type="dxa" w:w="80"/>
              <w:right w:type="dxa" w:w="100"/>
            </w:tcMar>
          </w:tcPr>
          <w:p>
            <w:r>
              <w:rPr>
                <w:color w:val="1A1A1A"/>
                <w:sz w:val="19"/>
                <w:szCs w:val="19"/>
              </w:rPr>
              <w:t xml:space="preserve">Mirrors the .docx order, one slide per module, same charts — including PESTLE, Research findings, ESG opportunities and a condensed Assumption register.</w:t>
            </w:r>
          </w:p>
        </w:tc>
      </w:tr>
      <w:tr>
        <w:tc>
          <w:tcPr>
            <w:tcW w:type="dxa" w:w="2900"/>
            <w:tcMar>
              <w:top w:type="dxa" w:w="80"/>
              <w:left w:type="dxa" w:w="100"/>
              <w:bottom w:type="dxa" w:w="80"/>
              <w:right w:type="dxa" w:w="100"/>
            </w:tcMar>
          </w:tcPr>
          <w:p>
            <w:r>
              <w:rPr>
                <w:color w:val="1A1A1A"/>
                <w:sz w:val="19"/>
                <w:szCs w:val="19"/>
              </w:rPr>
              <w:t xml:space="preserve">Business case — VM template</w:t>
            </w:r>
          </w:p>
        </w:tc>
        <w:tc>
          <w:tcPr>
            <w:tcW w:type="dxa" w:w="6450"/>
            <w:tcMar>
              <w:top w:type="dxa" w:w="80"/>
              <w:left w:type="dxa" w:w="100"/>
              <w:bottom w:type="dxa" w:w="80"/>
              <w:right w:type="dxa" w:w="100"/>
            </w:tcMar>
          </w:tcPr>
          <w:p>
            <w:r>
              <w:rPr>
                <w:color w:val="1A1A1A"/>
                <w:sz w:val="19"/>
                <w:szCs w:val="19"/>
              </w:rPr>
              <w:t xml:space="preserve">Recommended, procurement-linked: stakeholders → opportunity → benefits delivery plan → project economics → risks &amp; alternatives.</w:t>
            </w:r>
          </w:p>
        </w:tc>
      </w:tr>
      <w:tr>
        <w:tc>
          <w:tcPr>
            <w:tcW w:type="dxa" w:w="2900"/>
            <w:shd w:fill="F2F6F5" w:val="clear"/>
            <w:tcMar>
              <w:top w:type="dxa" w:w="80"/>
              <w:left w:type="dxa" w:w="100"/>
              <w:bottom w:type="dxa" w:w="80"/>
              <w:right w:type="dxa" w:w="100"/>
            </w:tcMar>
          </w:tcPr>
          <w:p>
            <w:r>
              <w:rPr>
                <w:color w:val="1A1A1A"/>
                <w:sz w:val="19"/>
                <w:szCs w:val="19"/>
              </w:rPr>
              <w:t xml:space="preserve">Business case — Five Case Model</w:t>
            </w:r>
          </w:p>
        </w:tc>
        <w:tc>
          <w:tcPr>
            <w:tcW w:type="dxa" w:w="6450"/>
            <w:shd w:fill="F2F6F5" w:val="clear"/>
            <w:tcMar>
              <w:top w:type="dxa" w:w="80"/>
              <w:left w:type="dxa" w:w="100"/>
              <w:bottom w:type="dxa" w:w="80"/>
              <w:right w:type="dxa" w:w="100"/>
            </w:tcMar>
          </w:tcPr>
          <w:p>
            <w:r>
              <w:rPr>
                <w:color w:val="1A1A1A"/>
                <w:sz w:val="19"/>
                <w:szCs w:val="19"/>
              </w:rPr>
              <w:t xml:space="preserve">Same session data, HM Treasury-style structure.</w:t>
            </w:r>
          </w:p>
        </w:tc>
      </w:tr>
      <w:tr>
        <w:tc>
          <w:tcPr>
            <w:tcW w:type="dxa" w:w="2900"/>
            <w:tcMar>
              <w:top w:type="dxa" w:w="80"/>
              <w:left w:type="dxa" w:w="100"/>
              <w:bottom w:type="dxa" w:w="80"/>
              <w:right w:type="dxa" w:w="100"/>
            </w:tcMar>
          </w:tcPr>
          <w:p>
            <w:r>
              <w:rPr>
                <w:color w:val="1A1A1A"/>
                <w:sz w:val="19"/>
                <w:szCs w:val="19"/>
              </w:rPr>
              <w:t xml:space="preserve">.md (Markdown)</w:t>
            </w:r>
          </w:p>
        </w:tc>
        <w:tc>
          <w:tcPr>
            <w:tcW w:type="dxa" w:w="6450"/>
            <w:tcMar>
              <w:top w:type="dxa" w:w="80"/>
              <w:left w:type="dxa" w:w="100"/>
              <w:bottom w:type="dxa" w:w="80"/>
              <w:right w:type="dxa" w:w="100"/>
            </w:tcMar>
          </w:tcPr>
          <w:p>
            <w:r>
              <w:rPr>
                <w:color w:val="1A1A1A"/>
                <w:sz w:val="19"/>
                <w:szCs w:val="19"/>
              </w:rPr>
              <w:t xml:space="preserve">Plain-text equivalent, for wikis.</w:t>
            </w:r>
          </w:p>
        </w:tc>
      </w:tr>
      <w:tr>
        <w:tc>
          <w:tcPr>
            <w:tcW w:type="dxa" w:w="2900"/>
            <w:shd w:fill="F2F6F5" w:val="clear"/>
            <w:tcMar>
              <w:top w:type="dxa" w:w="80"/>
              <w:left w:type="dxa" w:w="100"/>
              <w:bottom w:type="dxa" w:w="80"/>
              <w:right w:type="dxa" w:w="100"/>
            </w:tcMar>
          </w:tcPr>
          <w:p>
            <w:r>
              <w:rPr>
                <w:color w:val="1A1A1A"/>
                <w:sz w:val="19"/>
                <w:szCs w:val="19"/>
              </w:rPr>
              <w:t xml:space="preserve">2-page Category Execution Plan (.docx)</w:t>
            </w:r>
          </w:p>
        </w:tc>
        <w:tc>
          <w:tcPr>
            <w:tcW w:type="dxa" w:w="6450"/>
            <w:shd w:fill="F2F6F5" w:val="clear"/>
            <w:tcMar>
              <w:top w:type="dxa" w:w="80"/>
              <w:left w:type="dxa" w:w="100"/>
              <w:bottom w:type="dxa" w:w="80"/>
              <w:right w:type="dxa" w:w="100"/>
            </w:tcMar>
          </w:tcPr>
          <w:p>
            <w:r>
              <w:rPr>
                <w:color w:val="1A1A1A"/>
                <w:sz w:val="19"/>
                <w:szCs w:val="19"/>
              </w:rPr>
              <w:t xml:space="preserve">A dense, at-a-glance summary distinct from the full strategy document: spend/scope header, spend profile, demand &amp; strategy, Five Forces, supplier landscape, 3-year plan, near-term actions, and a Disruptors table. On-screen preview available before downloading. Does NOT include PESTLE — deliberately compact, not a second full document.</w:t>
            </w:r>
          </w:p>
        </w:tc>
      </w:tr>
    </w:tbl>
    <w:p>
      <w:pPr>
        <w:pBdr>
          <w:left w:val="single" w:color="0E5E56" w:sz="12" w:space="8"/>
        </w:pBdr>
        <w:spacing w:after="160" w:before="60"/>
        <w:ind w:left="200"/>
      </w:pPr>
      <w:r>
        <w:rPr>
          <w:b/>
          <w:bCs/>
          <w:color w:val="0E5E56"/>
        </w:rPr>
        <w:t xml:space="preserve">Note: </w:t>
      </w:r>
      <w:r>
        <w:rPr>
          <w:i/>
          <w:iCs/>
        </w:rPr>
        <w:t xml:space="preserve">7Ps is excluded from every export by default, and never included in either business case format regardless of the toggle — it's a strategy-document concern only.</w:t>
      </w:r>
    </w:p>
    <w:p>
      <w:pPr>
        <w:pStyle w:val="Heading1"/>
        <w:spacing w:after="160" w:before="340"/>
      </w:pPr>
      <w:r>
        <w:t xml:space="preserve">7. Guide Chat, Demo Tour &amp; Excel Round-Trip</w:t>
      </w:r>
    </w:p>
    <w:p>
      <w:pPr>
        <w:spacing w:after="140"/>
      </w:pPr>
      <w:r>
        <w:rPr>
          <w:b w:val="false"/>
          <w:bCs w:val="false"/>
          <w:i w:val="false"/>
          <w:iCs w:val="false"/>
        </w:rPr>
        <w:t xml:space="preserve">Guide chat (📚 "Guide — this screen") — an AI chat bubble on every screen, grounded in that screen's mechanics plus a master library of cost drivers, levers, and playbooks. No live web search — it answers from its own knowledge base.</w:t>
      </w:r>
    </w:p>
    <w:p>
      <w:pPr>
        <w:spacing w:after="140"/>
      </w:pPr>
      <w:r>
        <w:rPr>
          <w:b w:val="false"/>
          <w:bCs w:val="false"/>
          <w:i w:val="false"/>
          <w:iCs w:val="false"/>
        </w:rPr>
        <w:t xml:space="preserve">Demo Tour (▶ Demo tour, header) — 19 stops: Category Workbench (16 stops) then Portfolio Workbench (3 stops), on a full simulated Cloud Services dataset. Confirms before starting since it replaces whatever's currently in your session.</w:t>
      </w:r>
    </w:p>
    <w:p>
      <w:pPr>
        <w:spacing w:after="140"/>
      </w:pPr>
      <w:r>
        <w:rPr>
          <w:b w:val="false"/>
          <w:bCs w:val="false"/>
          <w:i w:val="false"/>
          <w:iCs w:val="false"/>
        </w:rPr>
        <w:t xml:space="preserve">Excel round-trip — columns are matched by their actual header text, not position, so reordering columns is safe; if a required column is deleted or unrecognizable, you'll get a clear warning before anything imports.</w:t>
      </w:r>
    </w:p>
    <w:p>
      <w:pPr>
        <w:pStyle w:val="Heading1"/>
        <w:spacing w:after="160" w:before="340"/>
      </w:pPr>
      <w:r>
        <w:t xml:space="preserve">8. Data &amp; Device Model</w:t>
      </w:r>
    </w:p>
    <w:p>
      <w:pPr>
        <w:spacing w:after="140"/>
      </w:pPr>
      <w:r>
        <w:rPr>
          <w:b w:val="false"/>
          <w:bCs w:val="false"/>
          <w:i w:val="false"/>
          <w:iCs w:val="false"/>
        </w:rPr>
        <w:t xml:space="preserve">Everything lives in this browser's local storage — one device, one private workspace. Nothing syncs automatically. Moving between devices needs a manual session export/import (⬇ Backup session as .json). Two people sharing a browser profile will overwrite each other's work.</w:t>
      </w:r>
    </w:p>
    <w:p>
      <w:pPr>
        <w:pStyle w:val="Heading1"/>
        <w:spacing w:after="160" w:before="340"/>
      </w:pPr>
      <w:r>
        <w:t xml:space="preserve">9. Required-Input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0E5E56" w:val="clear"/>
            <w:tcMar>
              <w:top w:type="dxa" w:w="80"/>
              <w:left w:type="dxa" w:w="100"/>
              <w:bottom w:type="dxa" w:w="80"/>
              <w:right w:type="dxa" w:w="100"/>
            </w:tcMar>
          </w:tcPr>
          <w:p>
            <w:r>
              <w:rPr>
                <w:b/>
                <w:bCs/>
                <w:color w:val="FFFFFF"/>
                <w:sz w:val="19"/>
                <w:szCs w:val="19"/>
              </w:rPr>
              <w:t xml:space="preserve">Field</w:t>
            </w:r>
          </w:p>
        </w:tc>
        <w:tc>
          <w:tcPr>
            <w:tcW w:type="dxa" w:w="5150"/>
            <w:shd w:fill="0E5E56" w:val="clear"/>
            <w:tcMar>
              <w:top w:type="dxa" w:w="80"/>
              <w:left w:type="dxa" w:w="100"/>
              <w:bottom w:type="dxa" w:w="80"/>
              <w:right w:type="dxa" w:w="100"/>
            </w:tcMar>
          </w:tcPr>
          <w:p>
            <w:r>
              <w:rPr>
                <w:b/>
                <w:bCs/>
                <w:color w:val="FFFFFF"/>
                <w:sz w:val="19"/>
                <w:szCs w:val="19"/>
              </w:rPr>
              <w:t xml:space="preserve">Required?</w:t>
            </w:r>
          </w:p>
        </w:tc>
      </w:tr>
      <w:tr>
        <w:tc>
          <w:tcPr>
            <w:tcW w:type="dxa" w:w="4200"/>
            <w:tcMar>
              <w:top w:type="dxa" w:w="80"/>
              <w:left w:type="dxa" w:w="100"/>
              <w:bottom w:type="dxa" w:w="80"/>
              <w:right w:type="dxa" w:w="100"/>
            </w:tcMar>
          </w:tcPr>
          <w:p>
            <w:r>
              <w:rPr>
                <w:color w:val="1A1A1A"/>
                <w:sz w:val="19"/>
                <w:szCs w:val="19"/>
              </w:rPr>
              <w:t xml:space="preserve">Category name</w:t>
            </w:r>
          </w:p>
        </w:tc>
        <w:tc>
          <w:tcPr>
            <w:tcW w:type="dxa" w:w="5150"/>
            <w:tcMar>
              <w:top w:type="dxa" w:w="80"/>
              <w:left w:type="dxa" w:w="100"/>
              <w:bottom w:type="dxa" w:w="80"/>
              <w:right w:type="dxa" w:w="100"/>
            </w:tcMar>
          </w:tcPr>
          <w:p>
            <w:r>
              <w:rPr>
                <w:color w:val="1A1A1A"/>
                <w:sz w:val="19"/>
                <w:szCs w:val="19"/>
              </w:rPr>
              <w:t xml:space="preserve">Required</w:t>
            </w:r>
          </w:p>
        </w:tc>
      </w:tr>
      <w:tr>
        <w:tc>
          <w:tcPr>
            <w:tcW w:type="dxa" w:w="4200"/>
            <w:shd w:fill="F2F6F5" w:val="clear"/>
            <w:tcMar>
              <w:top w:type="dxa" w:w="80"/>
              <w:left w:type="dxa" w:w="100"/>
              <w:bottom w:type="dxa" w:w="80"/>
              <w:right w:type="dxa" w:w="100"/>
            </w:tcMar>
          </w:tcPr>
          <w:p>
            <w:r>
              <w:rPr>
                <w:color w:val="1A1A1A"/>
                <w:sz w:val="19"/>
                <w:szCs w:val="19"/>
              </w:rPr>
              <w:t xml:space="preserve">Everything else (sector, suppliers, market data, SWOT, cost drivers, negotiation plan, 7Ps)</w:t>
            </w:r>
          </w:p>
        </w:tc>
        <w:tc>
          <w:tcPr>
            <w:tcW w:type="dxa" w:w="5150"/>
            <w:shd w:fill="F2F6F5" w:val="clear"/>
            <w:tcMar>
              <w:top w:type="dxa" w:w="80"/>
              <w:left w:type="dxa" w:w="100"/>
              <w:bottom w:type="dxa" w:w="80"/>
              <w:right w:type="dxa" w:w="100"/>
            </w:tcMar>
          </w:tcPr>
          <w:p>
            <w:r>
              <w:rPr>
                <w:color w:val="1A1A1A"/>
                <w:sz w:val="19"/>
                <w:szCs w:val="19"/>
              </w:rPr>
              <w:t xml:space="preserve">Optional, AI-fillable</w:t>
            </w:r>
          </w:p>
        </w:tc>
      </w:tr>
      <w:tr>
        <w:tc>
          <w:tcPr>
            <w:tcW w:type="dxa" w:w="4200"/>
            <w:tcMar>
              <w:top w:type="dxa" w:w="80"/>
              <w:left w:type="dxa" w:w="100"/>
              <w:bottom w:type="dxa" w:w="80"/>
              <w:right w:type="dxa" w:w="100"/>
            </w:tcMar>
          </w:tcPr>
          <w:p>
            <w:r>
              <w:rPr>
                <w:color w:val="1A1A1A"/>
                <w:sz w:val="19"/>
                <w:szCs w:val="19"/>
              </w:rPr>
              <w:t xml:space="preserve">Internal spend data</w:t>
            </w:r>
          </w:p>
        </w:tc>
        <w:tc>
          <w:tcPr>
            <w:tcW w:type="dxa" w:w="5150"/>
            <w:tcMar>
              <w:top w:type="dxa" w:w="80"/>
              <w:left w:type="dxa" w:w="100"/>
              <w:bottom w:type="dxa" w:w="80"/>
              <w:right w:type="dxa" w:w="100"/>
            </w:tcMar>
          </w:tcPr>
          <w:p>
            <w:r>
              <w:rPr>
                <w:color w:val="1A1A1A"/>
                <w:sz w:val="19"/>
                <w:szCs w:val="19"/>
              </w:rPr>
              <w:t xml:space="preserve">Optional — the one input that meaningfully upgrades a generic sector-typical playbook into a data-backed strategy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068"/>
        <w:sz w:val="15"/>
        <w:szCs w:val="15"/>
      </w:rPr>
      <w:t xml:space="preserve">Page </w:t>
    </w:r>
    <w:r>
      <w:rPr>
        <w:color w:val="5A60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068"/>
        <w:sz w:val="15"/>
        <w:szCs w:val="15"/>
      </w:rPr>
      <w:t xml:space="preserve">CategoryAI — User Reference Guide · v2.38.5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2026-08-22T13:33:42.661Z</dcterms:created>
  <dcterms:modified xsi:type="dcterms:W3CDTF">2026-08-22T13:33:42.679Z</dcterms:modified>
</cp:coreProperties>
</file>

<file path=docProps/custom.xml><?xml version="1.0" encoding="utf-8"?>
<Properties xmlns="http://schemas.openxmlformats.org/officeDocument/2006/custom-properties" xmlns:vt="http://schemas.openxmlformats.org/officeDocument/2006/docPropsVTypes"/>
</file>