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20242B"/>
          <w:sz w:val="56"/>
          <w:szCs w:val="56"/>
        </w:rPr>
        <w:t xml:space="preserve">CATEGORYAI</w:t>
      </w:r>
      <w:r>
        <w:rPr>
          <w:color w:val="14636B"/>
          <w:sz w:val="56"/>
          <w:szCs w:val="56"/>
        </w:rPr>
        <w:t xml:space="preserve">  ·  STRATEGIC CATEGORY SUITE</w:t>
      </w:r>
    </w:p>
    <w:p>
      <w:pPr>
        <w:spacing w:after="160"/>
      </w:pPr>
      <w:r>
        <w:rPr>
          <w:b/>
          <w:bCs/>
          <w:color w:val="20242B"/>
          <w:sz w:val="72"/>
          <w:szCs w:val="72"/>
        </w:rPr>
        <w:t xml:space="preserve">Admin &amp; Deployment Guide</w:t>
      </w:r>
    </w:p>
    <w:p>
      <w:pPr>
        <w:spacing w:after="240"/>
      </w:pPr>
      <w:r>
        <w:rPr>
          <w:color w:val="6B7280"/>
          <w:sz w:val="26"/>
          <w:szCs w:val="26"/>
        </w:rPr>
        <w:t xml:space="preserve">Installing, configuring, customising and governing the suite — for the administrator or power user who owns the deployment.</w:t>
      </w:r>
    </w:p>
    <w:p>
      <w:r>
        <w:rPr>
          <w:b/>
          <w:bCs/>
          <w:color w:val="B8860B"/>
          <w:sz w:val="22"/>
          <w:szCs w:val="22"/>
        </w:rPr>
        <w:t xml:space="preserve">Version 1.0   ·   2026-07-21</w:t>
      </w:r>
    </w:p>
    <w:p>
      <w:r>
        <w:br w:type="page"/>
      </w:r>
    </w:p>
    <w:p>
      <w:pPr>
        <w:spacing w:after="120"/>
      </w:pPr>
      <w:r>
        <w:rPr>
          <w:b/>
          <w:bCs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20"/>
      </w:pPr>
      <w:r>
        <w:rPr>
          <w:i/>
          <w:iCs/>
          <w:color w:val="6B7280"/>
          <w:sz w:val="18"/>
          <w:szCs w:val="18"/>
        </w:rPr>
        <w:t xml:space="preserve">In Word: right-click the table of contents and choose “Update Field” to populate page numbers.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1. Deployment model</w:t>
      </w:r>
    </w:p>
    <w:p>
      <w:pPr>
        <w:spacing w:after="120"/>
      </w:pPr>
      <w:r>
        <w:t xml:space="preserve">The suite is </w:t>
      </w:r>
      <w:r>
        <w:rPr>
          <w:b/>
          <w:bCs/>
        </w:rPr>
        <w:t xml:space="preserve">one self-contained HTML file</w:t>
      </w:r>
      <w:r>
        <w:t xml:space="preserve">. There is no build step, no server and no install: distribute the file, users open it in a browser. It runs in three environments: (a) inside Claude.ai as an interactive artifact (Claude in-app AI needs no key there), (b) standalone in any modern browser with a Claude or Gemini API key, (c) standalone offline in </w:t>
      </w:r>
      <w:r>
        <w:rPr>
          <w:b/>
          <w:bCs/>
        </w:rPr>
        <w:t xml:space="preserve">Sandbox mode</w:t>
      </w:r>
      <w:r>
        <w:t xml:space="preserve"> with no key at all.</w:t>
      </w:r>
    </w:p>
    <w:p>
      <w:pPr>
        <w:pStyle w:val="Heading2"/>
        <w:spacing w:after="100" w:before="240"/>
      </w:pPr>
      <w:r>
        <w:t xml:space="preserve">External dependencies (CDN)</w:t>
      </w:r>
    </w:p>
    <w:p>
      <w:pPr>
        <w:spacing w:after="120"/>
      </w:pPr>
      <w:r>
        <w:t xml:space="preserve">The file loads React 18, Babel standalone and PapaParse from cdnjs at open time, and two libraries on demand: </w:t>
      </w:r>
      <w:r>
        <w:rPr>
          <w:b/>
          <w:bCs/>
        </w:rPr>
        <w:t xml:space="preserve">docx</w:t>
      </w:r>
      <w:r>
        <w:t xml:space="preserve"> at first Word download and </w:t>
      </w:r>
      <w:r>
        <w:rPr>
          <w:b/>
          <w:bCs/>
        </w:rPr>
        <w:t xml:space="preserve">pptxgenjs</w:t>
      </w:r>
      <w:r>
        <w:t xml:space="preserve"> at first PowerPoint download (for each, cdnjs, then unpkg/jsDelivr are tried in order). On a network that blocks these CDNs the app will not start; on a network that blocks only the docx CDNs, Word downloads fall back automatically to the legacy .doc format. For locked-down environments, whitelist cdnjs.cloudflare.com (required), plus unpkg.com and cdn.jsdelivr.net (optional fallbacks).</w:t>
      </w:r>
    </w:p>
    <w:p>
      <w:pPr>
        <w:pStyle w:val="Heading1"/>
        <w:spacing w:after="140" w:before="300"/>
      </w:pPr>
      <w:r>
        <w:t xml:space="preserve">2. AI providers, keys and privacy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Providers</w:t>
      </w:r>
      <w:r>
        <w:t xml:space="preserve">: Claude in-app · Claude with API key · Gemini with API key (2.5-flash default, automatic fallback across models on 404) · 🏖 Sandbox (offline, simulated).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 storage</w:t>
      </w:r>
      <w:r>
        <w:t xml:space="preserve">: keys live in memory for the session; </w:t>
      </w:r>
      <w:r>
        <w:rPr>
          <w:b/>
          <w:bCs/>
        </w:rPr>
        <w:t xml:space="preserve">Save</w:t>
      </w:r>
      <w:r>
        <w:t xml:space="preserve"> writes them to the browser’s localStorage on that device only (key: categoryai_keys); </w:t>
      </w:r>
      <w:r>
        <w:rPr>
          <w:b/>
          <w:bCs/>
        </w:rPr>
        <w:t xml:space="preserve">Clear</w:t>
      </w:r>
      <w:r>
        <w:t xml:space="preserve"> wipes them. Keys are never sent anywhere except directly to the chosen AI vendor’s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flow</w:t>
      </w:r>
      <w:r>
        <w:t xml:space="preserve">: with a live provider, prompt content (category details, scores, notes) goes to that vendor’s API from the user’s browser. In Sandbox mode nothing leaves the machine.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Sandbox governance</w:t>
      </w:r>
      <w:r>
        <w:t xml:space="preserve">: every simulated output carries a “[Sandbox — simulated]” marker and stays flagged AI-inferred, so a sandbox-built document is self-identifying and cannot silently masquerade as a live strategy.</w:t>
      </w:r>
    </w:p>
    <w:p>
      <w:pPr>
        <w:pStyle w:val="Heading1"/>
        <w:spacing w:after="140" w:before="300"/>
      </w:pPr>
      <w:r>
        <w:t xml:space="preserve">3. The Admin panel (🛠)</w:t>
      </w:r>
    </w:p>
    <w:p>
      <w:pPr>
        <w:pStyle w:val="Heading2"/>
        <w:spacing w:after="100" w:before="240"/>
      </w:pPr>
      <w:r>
        <w:t xml:space="preserve">🔑 API keys</w:t>
      </w:r>
    </w:p>
    <w:p>
      <w:pPr>
        <w:spacing w:after="120"/>
      </w:pPr>
      <w:r>
        <w:t xml:space="preserve">The same provider/key controls as ⚙ AI settings, for an admin pre-configuring a shared device.</w:t>
      </w:r>
    </w:p>
    <w:p>
      <w:pPr>
        <w:pStyle w:val="Heading2"/>
        <w:spacing w:after="100" w:before="240"/>
      </w:pPr>
      <w:r>
        <w:t xml:space="preserve">👥 Users</w:t>
      </w:r>
    </w:p>
    <w:p>
      <w:pPr>
        <w:spacing w:after="120"/>
      </w:pPr>
      <w:r>
        <w:t xml:space="preserve">A lightweight local user register (names/roles) held in localStorage — for labelling who worked on a session on a shared machine. It is not authentication.</w:t>
      </w:r>
    </w:p>
    <w:p>
      <w:pPr>
        <w:pStyle w:val="Heading2"/>
        <w:spacing w:after="100" w:before="240"/>
      </w:pPr>
      <w:r>
        <w:t xml:space="preserve">📄 Custom templates</w:t>
      </w:r>
    </w:p>
    <w:p>
      <w:pPr>
        <w:spacing w:after="120"/>
      </w:pPr>
      <w:r>
        <w:t xml:space="preserve">Add your organisation’s own markdown templates; they appear alongside the four built-in master templates and pre-fill from session data the same way.</w:t>
      </w:r>
    </w:p>
    <w:p>
      <w:pPr>
        <w:pStyle w:val="Heading2"/>
        <w:spacing w:after="100" w:before="240"/>
      </w:pPr>
      <w:r>
        <w:t xml:space="preserve">🧩 Custom archetypes</w:t>
      </w:r>
    </w:p>
    <w:p>
      <w:pPr>
        <w:spacing w:after="120"/>
      </w:pPr>
      <w:r>
        <w:t xml:space="preserve">Paste JSON to add or override category archetypes (driver weightings, ranked levers, demand drivers, risks, savings, KPIs, aliases). Custom entries merge over the built-in 22 and are used by archetype matching, AI prompts and Sandbox mode alike.</w:t>
      </w:r>
    </w:p>
    <w:p>
      <w:pPr>
        <w:pStyle w:val="Heading2"/>
        <w:spacing w:after="100" w:before="240"/>
      </w:pPr>
      <w:r>
        <w:t xml:space="preserve">♟ Chessboard plug-in</w:t>
      </w:r>
    </w:p>
    <w:p>
      <w:pPr>
        <w:spacing w:after="120"/>
      </w:pPr>
      <w:r>
        <w:t xml:space="preserve">The app ships with CategoryAI’s open 64-method board. Organisations licensing the A.T. Kearney Purchasing Chessboard can paste the official data as JSON shaped 4 strategies × 4 approaches × 4 methods — the 8×8 board, AI recommendations and Sandbox picks then use it everywhere. Reset returns to the open board.</w:t>
      </w:r>
    </w:p>
    <w:p>
      <w:pPr>
        <w:pBdr>
          <w:left w:val="single" w:color="B8860B" w:sz="16"/>
        </w:pBdr>
        <w:shd w:fill="FBF6E9" w:val="clear"/>
        <w:spacing w:after="140"/>
        <w:ind w:left="160"/>
      </w:pPr>
      <w:r>
        <w:rPr>
          <w:b/>
          <w:bCs/>
          <w:color w:val="B8860B"/>
        </w:rPr>
        <w:t xml:space="preserve">Note: </w:t>
      </w:r>
      <w:r>
        <w:t xml:space="preserve">All Admin data persists in the browser’s localStorage on that device. Clearing browser data removes it — export anything important first. Sessions can be downloaded as files from the Strategy step for portable backup.</w:t>
      </w:r>
    </w:p>
    <w:p>
      <w:pPr>
        <w:pStyle w:val="Heading1"/>
        <w:spacing w:after="140" w:before="300"/>
      </w:pPr>
      <w:r>
        <w:t xml:space="preserve">4. Versioning and releases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live application is always </w:t>
      </w:r>
      <w:r>
        <w:rPr>
          <w:b/>
          <w:bCs/>
        </w:rPr>
        <w:t xml:space="preserve">index.html</w:t>
      </w:r>
      <w:r>
        <w:t xml:space="preserve"> at the repository root — it is never renamed with a version stamp. A superseded snapshot moves to </w:t>
      </w:r>
      <w:r>
        <w:rPr>
          <w:b/>
          <w:bCs/>
        </w:rPr>
        <w:t xml:space="preserve">archive/</w:t>
      </w:r>
      <w:r>
        <w:t xml:space="preserve"> instead of the live file being renamed and frozen in place.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release is logged in </w:t>
      </w:r>
      <w:r>
        <w:rPr>
          <w:b/>
          <w:bCs/>
        </w:rPr>
        <w:t xml:space="preserve">CHANGELOG.md</w:t>
      </w:r>
      <w:r>
        <w:t xml:space="preserve"> at the root, newest entry first, each carrying its own version number (e.g. v2.29.0).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 files are versioned (</w:t>
      </w:r>
      <w:r>
        <w:rPr>
          <w:b/>
          <w:bCs/>
        </w:rPr>
        <w:t xml:space="preserve">categoryai-session-v1</w:t>
      </w:r>
      <w:r>
        <w:t xml:space="preserve">) and load across compatible builds; older sessions without newer fields degrade gracefully (e.g. chessboard methods without a Keep flag are treated as kept).</w:t>
      </w:r>
    </w:p>
    <w:p>
      <w:pPr>
        <w:pStyle w:val="Heading1"/>
        <w:spacing w:after="140" w:before="300"/>
      </w:pPr>
      <w:r>
        <w:t xml:space="preserve">5. Publishing to GitHub</w:t>
      </w:r>
    </w:p>
    <w:p>
      <w:pPr>
        <w:spacing w:after="120"/>
      </w:pPr>
      <w:r>
        <w:t xml:space="preserve">A minimal, sensible repository layout — see the portfolio-wide CLAUDE.md convention for the full rationale: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shd w:fill="EE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5160"/>
            <w:shd w:fill="EE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Contents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index.html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live application — the only file users need to run it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README.md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What it is, current status, tech stack, how to run it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METHODOLOGY.md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The original framework/methodology this tool builds on — the IP-protection document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LICENSE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All-rights-reserved copyright, present in the repository directly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CHANGELOG.md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Versioned release notes, newest entry first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docs/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User Guide, Reference Guide, Admin Guide (this document), and other supporting documentation not needed to run the app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archive/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Superseded versions, old HTML/app snapshots, deprecated scripts — kept for history, not deleted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tools/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Utility/build scripts still actively used, if any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Do </w:t>
      </w:r>
      <w:r>
        <w:rPr>
          <w:b/>
          <w:bCs/>
        </w:rPr>
        <w:t xml:space="preserve">not</w:t>
      </w:r>
      <w:r>
        <w:t xml:space="preserve"> commit API keys, session files containing real category data, or your proprietary reference documents/training decks unless the repository is private.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 happens on a feature branch, then via pull request into </w:t>
      </w:r>
      <w:r>
        <w:rPr>
          <w:b/>
          <w:bCs/>
        </w:rPr>
        <w:t xml:space="preserve">main</w:t>
      </w:r>
      <w:r>
        <w:t xml:space="preserve"> — direct pushes to </w:t>
      </w:r>
      <w:r>
        <w:rPr>
          <w:b/>
          <w:bCs/>
        </w:rPr>
        <w:t xml:space="preserve">main</w:t>
      </w:r>
      <w:r>
        <w:t xml:space="preserve"> should be avoided.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Pages can serve the HTML directly (Settings → Pages → deploy from branch); users then open a URL instead of a file. CDN access is still required at the user’s end.</w:t>
      </w:r>
    </w:p>
    <w:p>
      <w:pPr>
        <w:pStyle w:val="Heading1"/>
        <w:spacing w:after="140" w:before="300"/>
      </w:pPr>
      <w:r>
        <w:t xml:space="preserve">6.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shd w:fill="EE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Symptom</w:t>
            </w:r>
          </w:p>
        </w:tc>
        <w:tc>
          <w:tcPr>
            <w:tcW w:type="dxa" w:w="5760"/>
            <w:shd w:fill="EE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Cause &amp; fix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Blank page on open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CDNs blocked — whitelist cdnjs.cloudflare.com, or open on an unrestricted network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⚡ buttons error “couldn’t reach the AI service”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Offline or no key — set a provider in ⚙ AI settings, or switch to Sandbox for demos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Word download arrives as .doc not .docx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docx CDNs unreachable — the automatic fallback fired; the file still opens in Word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PowerPoint button reports the library couldn’t load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pptxgenjs CDNs unreachable — allow cdnjs/jsdelivr/unpkg, or use the Word download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Demo tour replaced my work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It warns first — restore by re-importing your downloaded session (.json) from the Strategy step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Research assistant refuses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It needs the Claude provider (web search); Gemini and Sandbox don’t support it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Settings/keys/archetypes vanished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Browser data was cleared — localStorage is per-device; re-enter or re-import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CategoryAI Strategic Category Suite v1.0 —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</w:pPr>
    <w:rPr>
      <w:b/>
      <w:bCs/>
      <w:color w:val="1463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20242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b/>
      <w:bCs/>
      <w:color w:val="6B728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2026-07-12T22:17:37.747Z</dcterms:created>
  <dcterms:modified xsi:type="dcterms:W3CDTF">2026-07-12T22:17:37.747Z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