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99CC"/>
          <w:sz w:val="72"/>
          <w:szCs w:val="72"/>
        </w:rPr>
        <w:t xml:space="preserve">CyberScore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Step-by-Step Walkthrough</w:t>
      </w:r>
    </w:p>
    <w:p>
      <w:pPr>
        <w:spacing w:after="80"/>
        <w:jc w:val="center"/>
      </w:pPr>
      <w:r>
        <w:rPr>
          <w:rFonts w:ascii="Arial" w:cs="Arial" w:eastAsia="Arial" w:hAnsi="Arial"/>
          <w:color w:val="6B82A8"/>
          <w:sz w:val="22"/>
          <w:szCs w:val="22"/>
        </w:rPr>
        <w:t xml:space="preserve">Version 1.4  ·  Complete guided tour from first open to board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B82A8"/>
          <w:sz w:val="22"/>
          <w:szCs w:val="22"/>
        </w:rPr>
        <w:t xml:space="preserve">Follow this end-to-end to see every feature — takes approximately 20 minutes</w:t>
      </w:r>
    </w:p>
    <w:p>
      <w:pPr>
        <w:pBdr>
          <w:bottom w:val="single" w:color="0099CC" w:sz="12" w:space="1"/>
        </w:pBd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walkthrough uses Demo mode — no API key or real company data required. Everything is pre-filled.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1 — Welcome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 — Open the tool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index.html in Chrome, Firefox, Edge, or Safari. You should see a dark navy welcome screen titled "Your CyberScore Health Check" with four capability chips at the top.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 — User mode vs Demo mode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are in User mode by default — a clean tool ready for your real organisation. There is no admin bar cluttering the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"Start my assessment →" — begins your real assessment with a blank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"See how it works (demo) →" — loads fictional data to demonstrate all features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"Admin" link in the footer is the password-protected admin panel — we will come back to this.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 — Choose assessment depth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the Deep Dive card to see the full description including Five Eyes AI questions. Click back to Quick Check — we will use this for the walkthrough.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4 — Launch demo mode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"See how it works (demo) →". The results screen loads immediately with fictional data for Acme Financial Ltd (UK, Financial Services, mid-market, £25M revenue).</w:t>
      </w:r>
    </w:p>
    <w:p>
      <w:pPr>
        <w:pBdr>
          <w:left w:val="single" w:color="F59E0B" w:sz="24" w:space="120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Notice the yellow demo banner at the top of the screen: "Viewing fictional data for Acme Financial Ltd". This makes clear at all times that results are illustrative only.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2 — Demo Results Overview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5 — Read the demo banner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yellow banner shows two buttons: "Start my assessment →" (exits demo and starts your real assessment) and "✕ Close demo" (closes demo and shows the return prompt). Leave it open for now.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6 — AI status pill and settings gear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Look at the results header top-right. You will see: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"🎭 Demo" mode pill — yellow, confirming you are in demo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"AI off" pill — grey, clickable. This opens Settings to enable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⚙ gear icon — opens Settings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"⬇ PDF" and "← Exit" buttons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7 — Read the three headline scores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demo data (deliberately weak Detection and Supply Chain scores) produces: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CyberScore ~61/100 — 🟡 Established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 Score ~74/100 — High exposure (Financial Services 1.4× sector multiplier)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of Inaction ~£2.4M/yr — at current posture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3 — Domain Scores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8 — Read the radar chart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radar chart shows your eight domain scores (cyan line) against the Financial Services sector average of 72 (amber dashed line). Notice Detection &amp; Response is the shortest spoke — the weakest domain in the demo.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9 — Benchmark strip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Below the charts, four cards show: Your score (61), Sector average (72), Top quartile (82), and Gap to top quartile (+21 pts). This frames the improvement journey for a board audience.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10 — AI Executive Summary box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 the bottom of the Domains tab is an AI Executive Summary box. Currently it shows "Add an API key in ⚙ Settings to generate an AI executive summary." We will enable AI in Part 9.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4 — Risk Analysis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11 — Risk breakdown bars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the "⚠️ Risk" tab. The domain risk bars are the inverse of CyberScore — Detection &amp; Response shows the highest risk bar (red, ~80).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12 — Risk matrix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risk matrix plots six threat scenarios. Dot A (Ransomware) is in the top-right Critical zone because Detection &amp; Response is weak. Hover over any dot to see the scenario name.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13 — Qualitative dimensions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Six coloured squares show non-financial risk: reputational damage, customer churn, board credibility, supplier trust, talent retention, and media exposure. These complement the financial FAIR model.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5 — Cost of Inaction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14 — The ALE formula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the "💷 Cost" tab. The formula box shows the FAIR calculation: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SLE = £4.5M (revenue £25M × 18% exposure factor)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ARO = 0.52 (sector breach frequency × control gap modifier)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 = £2.3M per year at current posture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15 — Cost breakdown cards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Four cards cover: Direct breach cost (~£3M), Regulatory exposure (~£1M max GDPR), Operational downtime (~£342k for 5 days), Insurance &amp; opportunity cost (~£550k).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16 — Opportunity cost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opportunity cost section shows revenue at risk from missing certifications: "Missing Cyber Essentials — Blocked from public sector contracts — £1.25M".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6 — Frameworks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17 — Framework adherence matrix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"📋 Frameworks". The table shows each applicable framework (auto-selected for UK Financial Services) with coverage %, status chip, and key gaps.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18 — Five Eyes panel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Scroll down below the framework table. The Five Eyes AI &amp; Cyber Resilience alignment panel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Overall Five Eyes Alignment Score (~45/100 for demo in Quick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 principle bars with coloured progress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 citations linking to the official June 22 2026 joint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analysis box (shows prompt to enable AI)</w:t>
      </w:r>
    </w:p>
    <w:p>
      <w:pPr>
        <w:pBdr>
          <w:left w:val="single" w:color="F59E0B" w:sz="24" w:space="120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"22 Jun 2026" badge on the panel title — this framework was added the same day the joint statement was published.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19 — Five Eyes alert banner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 the top of the results body, a purple gradient banner with a pulsing red "NEW" badge summarises the Five Eyes joint statement. Click the ✕ to dismiss it (stored in localStorage — won't return).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7 — Gap Register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20 — Browse the gaps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"🔍 Gaps". You see 13 gaps sorted by severity. Two CRITICAL gaps at the top (No SIEM, No IR plan), several HIGH gaps, and MEDIUM gaps below.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21 — Filter by Five Eyes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the "🛡️ Five Eyes" filter button. Three gaps tagged [Five Eyes] appear: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[Five Eyes] No AI governance or procurement policy —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[Five Eyes] AI agents potentially over-permissioned —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[Five Eyes] No human override procedure for AI security decisions — HIGH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references the specific Five Eyes risk class from the May 2026 Agentic AI guidance.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8 — Optimiser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22 — Read the action plan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"🎯 Optimiser". The default objective is "📉 Reduce risk fastest". The top 6 actions are ranked with effort, typical cost, and risk £ removed per year.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23 — Try different objectives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"💰 Best value per spend" — the list reorders with MFA rollout at the top (low cost, high risk reduction). Click "📋 Reach cert soonest" — ISO 27001-critical gaps float up.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24 — Adjust budget slider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Drag the Annual budget slider to £20,000. The action list updates and the before/after projection recalculates. Drag to £200,000 to see more expensive structural improvements become viable.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25 — Before/after projection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three cards at the bottom of the controls panel show: if you implement the top 6 actions, your CyberScore improves, Risk Score drops, and annual loss reduces — with specific numbers.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9 — AI Features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26 — Enable 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the "AI off" pill or the ⚙ gear in the results header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Settings panel slides in from the right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Gemini (free) or Claude (paid)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Paste your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Tick "Remember in this browser" to persist across sessions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"Save &amp; enable AI"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AI pill changes to "✨ AI · Gemini" (green). The AI prompt card disappears.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27 — AI Executive Summary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Navigate to the Domains tab. The AI Executive Summary box auto-generates: a three-paragraph narrative covering overall posture, top two risks with business impact, and immediate priority actions.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28 — Five Eyes AI analysis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the Frameworks tab. The Five Eyes AI analysis auto-generates: what the June 22 statement means for a Financial Services firm in the UK, and the top 2 actions to improve Five Eyes alignment.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29 — Board Report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the Roadmap tab. Click "Generate Board Report". A one-page board-ready narrative appears. Copy and paste it into a Word document or PowerPoint slide for your board pack.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10 — History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30 — View saved assessment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"📂 History". The demo assessment is saved automatically. The history card shows org name, date, three score pills, and four action buttons.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31 — Export a record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"⬇ Export" on the card. A .json file downloads. Open it in a text editor to see the complete assessment snapshot — all domain scores, answers, context, and metadata.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32 — Run assessment again to get a trend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"← Exit" to close the demo. Click "See how it works (demo) →" again. On the quiz, if you changed any answers, the new results will show a different score. Return to History — the trend chart now appears with two data points.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33 — Compare two assessments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"📊 Compare with previous" on the newer record. A modal shows: side-by-side headers, score changes with directional arrows (▲ improvement, ▼ decline), and a domain-by-domain bar comparison.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11 — Admin Panel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34 — Access the admin 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"Admin" in the footer of the welcome or results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password modal appears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Enter: cyberscore2026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admin panel unlocks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35 — Admin panel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Mode: Demo / User toggle — switches between pre-filled and real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Configuration: shows current provider and key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"Open Settings →" links directly to the Settings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Quick Actions: Run demo, return to Welcome, Clear history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 change the admin password: generate a SHA-256 hash of your new password at emn178.github.io/online-tools/sha256.html, then replace the ADMIN_HASH constant in index.html.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12 — PDF Export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36 — Download PDF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the results header, click "⬇ PDF". An A4 document downloads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Header with org name, sector, region,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Three headline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Domain scores vs peer benchmark with coloured progress 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 5 gaps with severity and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of inaction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Footer disclaimer (and "DEMO DATA" warning if in demo mode)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13 — Your Real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Step 37 — Exit demo and start your 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"Start my assessment →" in the demo banner, or click "← Exit"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demo return prompt appears: "Ready for your own assessment?"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"Start my assessment →"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context screen loads with a blank form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Tips for accurate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Fill in your real revenue — it drives all cost figures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your primary region accurately — it determines which regulations apply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secondary jurisdiction chips if you operate across borders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Answer honestly — one level below what you think if unsure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Deep Dive mode for certification gap analysis or board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AI for a personalised narrative to take to your leadership team</w:t>
      </w:r>
    </w:p>
    <w:p>
      <w:pPr>
        <w:spacing w:after="160"/>
      </w:pPr>
      <w:r>
        <w:t xml:space="preserve"/>
      </w:r>
    </w:p>
    <w:p>
      <w:pPr>
        <w:pBdr>
          <w:left w:val="single" w:color="F59E0B" w:sz="24" w:space="120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Your answers are private — all data stays in your browser. Nothing is uploaded anywhere.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What you have covered in this walkthrough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</w:tblGrid>
      <w:tr>
        <w:trPr>
          <w:tblHeader/>
        </w:trP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Welcome screen — User mode vs Demo mode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banner and mode pill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Three headline scores (CyberScore, Risk, Cost of Inaction)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Scores tab — radar chart, benchmark strip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Analysis — domain bars, risk matrix, qualitative dimensions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of Inaction — FAIR model, regulatory fines, opportunity cost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Frameworks tab — framework adherence matrix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Five Eyes AI &amp; Cyber Resilience panel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Five Eyes alert banner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 with Five Eyes filter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Optimiser — three objectives, sliders, before/after projection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Roadmap tab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features — Executive Summary, Five Eyes analysis, Board Report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(if key available)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tab — auto-save, trend chart, compare, export/import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panel — password access, mode toggle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Settings gear — currency, AI key, provider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9CC" w:sz="4" w:space="1"/>
      </w:pBdr>
    </w:pPr>
    <w:r>
      <w:rPr>
        <w:rFonts w:ascii="Arial" w:cs="Arial" w:eastAsia="Arial" w:hAnsi="Arial"/>
        <w:color w:val="6B82A8"/>
        <w:sz w:val="16"/>
        <w:szCs w:val="16"/>
      </w:rPr>
      <w:t xml:space="preserve">v1.4  ·  Self-reported maturity assessment  ·  Not a substitute for professional audit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9CC" w:sz="6" w:space="1"/>
      </w:pBdr>
    </w:pPr>
    <w:r>
      <w:rPr>
        <w:rFonts w:ascii="Arial" w:cs="Arial" w:eastAsia="Arial" w:hAnsi="Arial"/>
        <w:color w:val="6B82A8"/>
        <w:sz w:val="18"/>
        <w:szCs w:val="18"/>
      </w:rPr>
      <w:t xml:space="preserve">CyberScore Pro  — 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2026-06-23T11:52:55.376Z</dcterms:created>
  <dcterms:modified xsi:type="dcterms:W3CDTF">2026-06-23T11:52:55.376Z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