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160" w:before="0"/>
        <w:jc w:val="center"/>
      </w:pPr>
      <w:r>
        <w:rPr>
          <w:rFonts w:ascii="Arial" w:cs="Arial" w:eastAsia="Arial" w:hAnsi="Arial"/>
          <w:b w:val="false"/>
          <w:bCs w:val="false"/>
          <w:i w:val="false"/>
          <w:iCs w:val="false"/>
          <w:color w:val="374151"/>
          <w:sz w:val="72"/>
          <w:szCs w:val="72"/>
        </w:rPr>
        <w:t xml:space="preserve">🛡</w:t>
      </w:r>
    </w:p>
    <w:p>
      <w:pPr>
        <w:spacing w:after="120" w:before="0"/>
        <w:jc w:val="center"/>
      </w:pPr>
      <w:r>
        <w:rPr>
          <w:rFonts w:ascii="Arial" w:cs="Arial" w:eastAsia="Arial" w:hAnsi="Arial"/>
          <w:b/>
          <w:bCs/>
          <w:i w:val="false"/>
          <w:iCs w:val="false"/>
          <w:color w:val="0B0F1A"/>
          <w:sz w:val="56"/>
          <w:szCs w:val="56"/>
        </w:rPr>
        <w:t xml:space="preserve">CyberScore Pro</w:t>
      </w:r>
    </w:p>
    <w:p>
      <w:pPr>
        <w:spacing w:after="80" w:before="0"/>
        <w:jc w:val="center"/>
      </w:pPr>
      <w:r>
        <w:rPr>
          <w:rFonts w:ascii="Arial" w:cs="Arial" w:eastAsia="Arial" w:hAnsi="Arial"/>
          <w:b w:val="false"/>
          <w:bCs w:val="false"/>
          <w:i w:val="false"/>
          <w:iCs w:val="false"/>
          <w:color w:val="374151"/>
          <w:sz w:val="32"/>
          <w:szCs w:val="32"/>
        </w:rPr>
        <w:t xml:space="preserve">Complete User Guide</w:t>
      </w:r>
    </w:p>
    <w:p>
      <w:pPr>
        <w:spacing w:after="80" w:before="0"/>
        <w:jc w:val="center"/>
      </w:pPr>
      <w:r>
        <w:rPr>
          <w:rFonts w:ascii="Arial" w:cs="Arial" w:eastAsia="Arial" w:hAnsi="Arial"/>
          <w:b w:val="false"/>
          <w:bCs w:val="false"/>
          <w:i w:val="false"/>
          <w:iCs w:val="false"/>
          <w:color w:val="6B7280"/>
          <w:sz w:val="22"/>
          <w:szCs w:val="22"/>
        </w:rPr>
        <w:t xml:space="preserve">Version 1.9  •  June 2026</w:t>
      </w:r>
    </w:p>
    <w:p>
      <w:pPr>
        <w:spacing w:after="0" w:before="0"/>
        <w:jc w:val="center"/>
      </w:pPr>
      <w:r>
        <w:rPr>
          <w:rFonts w:ascii="Arial" w:cs="Arial" w:eastAsia="Arial" w:hAnsi="Arial"/>
          <w:b w:val="false"/>
          <w:bCs w:val="false"/>
          <w:i w:val="false"/>
          <w:iCs w:val="false"/>
          <w:color w:val="00C9FF"/>
          <w:sz w:val="22"/>
          <w:szCs w:val="22"/>
        </w:rPr>
        <w:t xml:space="preserve">rags1816.github.io/cyber/</w:t>
      </w:r>
    </w:p>
    <w:p>
      <w:pPr>
        <w:spacing w:after="0" w:before="0"/>
      </w:pPr>
      <w:r>
        <w:br w:type="page"/>
      </w:r>
    </w:p>
    <w:p>
      <w:pPr>
        <w:pStyle w:val="Heading1"/>
        <w:pBdr>
          <w:bottom w:val="single" w:color="00C9FF" w:sz="6" w:space="4"/>
        </w:pBdr>
        <w:spacing w:after="160" w:before="400"/>
      </w:pPr>
      <w:r>
        <w:rPr>
          <w:rFonts w:ascii="Arial" w:cs="Arial" w:eastAsia="Arial" w:hAnsi="Arial"/>
          <w:b/>
          <w:bCs/>
          <w:color w:val="0B0F1A"/>
          <w:sz w:val="36"/>
          <w:szCs w:val="36"/>
        </w:rPr>
        <w:t xml:space="preserve">1. What Is CyberScore Pro</w:t>
      </w:r>
    </w:p>
    <w:p>
      <w:pPr>
        <w:spacing w:after="60" w:before="60"/>
      </w:pPr>
      <w:r>
        <w:rPr>
          <w:rFonts w:ascii="Arial" w:cs="Arial" w:eastAsia="Arial" w:hAnsi="Arial"/>
          <w:color w:val="374151"/>
          <w:sz w:val="22"/>
          <w:szCs w:val="22"/>
        </w:rPr>
        <w:t xml:space="preserve">CyberScore Pro is a self-contained, browser-based cybersecurity maturity assessment tool for businesses of all sizes. It runs entirely in a single HTML file — no server, no login, no data leaving your browser.</w:t>
      </w:r>
    </w:p>
    <w:p>
      <w:pPr>
        <w:spacing w:after="60" w:before="60"/>
      </w:pPr>
      <w:r>
        <w:rPr>
          <w:rFonts w:ascii="Arial" w:cs="Arial" w:eastAsia="Arial" w:hAnsi="Arial"/>
          <w:color w:val="374151"/>
          <w:sz w:val="22"/>
          <w:szCs w:val="22"/>
        </w:rPr>
        <w:t xml:space="preserve">It produces five key outputs: a CyberScore maturity rating (0–100), a Risk Score, a Cost of Inaction estimate, a Compliance Gap Register, and an Optimised Roadmap — all calibrated to your sector, size, region, and security budget.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1"/>
              <w:left w:val="single" w:color="D1D5DB" w:sz="1"/>
              <w:bottom w:val="single" w:color="D1D5DB" w:sz="1"/>
              <w:right w:val="single" w:color="D1D5DB" w:sz="1"/>
            </w:tcBorders>
            <w:shd w:fill="0B0F1A" w:val="clear"/>
            <w:tcMar>
              <w:top w:type="dxa" w:w="80"/>
              <w:left w:type="dxa" w:w="120"/>
              <w:bottom w:type="dxa" w:w="80"/>
              <w:right w:type="dxa" w:w="120"/>
            </w:tcMar>
          </w:tcPr>
          <w:p>
            <w:pPr>
              <w:spacing w:after="40" w:before="40"/>
            </w:pPr>
            <w:r>
              <w:rPr>
                <w:rFonts w:ascii="Arial" w:cs="Arial" w:eastAsia="Arial" w:hAnsi="Arial"/>
                <w:b/>
                <w:bCs/>
                <w:i w:val="false"/>
                <w:iCs w:val="false"/>
                <w:color w:val="FFFFFF"/>
                <w:sz w:val="20"/>
                <w:szCs w:val="20"/>
              </w:rPr>
              <w:t xml:space="preserve">Output</w:t>
            </w:r>
          </w:p>
        </w:tc>
        <w:tc>
          <w:tcPr>
            <w:tcW w:type="dxa" w:w="4680"/>
            <w:tcBorders>
              <w:top w:val="single" w:color="D1D5DB" w:sz="1"/>
              <w:left w:val="single" w:color="D1D5DB" w:sz="1"/>
              <w:bottom w:val="single" w:color="D1D5DB" w:sz="1"/>
              <w:right w:val="single" w:color="D1D5DB" w:sz="1"/>
            </w:tcBorders>
            <w:shd w:fill="0B0F1A" w:val="clear"/>
            <w:tcMar>
              <w:top w:type="dxa" w:w="80"/>
              <w:left w:type="dxa" w:w="120"/>
              <w:bottom w:type="dxa" w:w="80"/>
              <w:right w:type="dxa" w:w="120"/>
            </w:tcMar>
          </w:tcPr>
          <w:p>
            <w:pPr>
              <w:spacing w:after="40" w:before="40"/>
            </w:pPr>
            <w:r>
              <w:rPr>
                <w:rFonts w:ascii="Arial" w:cs="Arial" w:eastAsia="Arial" w:hAnsi="Arial"/>
                <w:b/>
                <w:bCs/>
                <w:i w:val="false"/>
                <w:iCs w:val="false"/>
                <w:color w:val="FFFFFF"/>
                <w:sz w:val="20"/>
                <w:szCs w:val="20"/>
              </w:rPr>
              <w:t xml:space="preserve">Description</w:t>
            </w:r>
          </w:p>
        </w:tc>
      </w:tr>
      <w:tr>
        <w:trPr>
          <w:tblHeader w:val="false"/>
        </w:trP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 CyberScore</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Overall maturity 0–100, weighted across 8 domains</w:t>
            </w:r>
          </w:p>
        </w:tc>
      </w:tr>
      <w:tr>
        <w:trPr>
          <w:tblHeader w:val="false"/>
        </w:trP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 Risk Score</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Residual exposure 0–100, adjusted for sector multiplier</w:t>
            </w:r>
          </w:p>
        </w:tc>
      </w:tr>
      <w:tr>
        <w:trPr>
          <w:tblHeader w:val="false"/>
        </w:trP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 Cost of Inaction</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FAIR-based annual loss expectancy in your chosen currency</w:t>
            </w:r>
          </w:p>
        </w:tc>
      </w:tr>
      <w:tr>
        <w:trPr>
          <w:tblHeader w:val="false"/>
        </w:trP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 Gap Register</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Prioritised control gaps with severity, effort, and remediation cost</w:t>
            </w:r>
          </w:p>
        </w:tc>
      </w:tr>
      <w:tr>
        <w:trPr>
          <w:tblHeader w:val="false"/>
        </w:trP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 Optimiser</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ROI-ranked action plan — risk-first, cost-first, or quick wins</w:t>
            </w:r>
          </w:p>
        </w:tc>
      </w:tr>
      <w:tr>
        <w:trPr>
          <w:tblHeader w:val="false"/>
        </w:trP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 Roadmap</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4-phase plan sequenced by severity toward target certification</w:t>
            </w:r>
          </w:p>
        </w:tc>
      </w:tr>
      <w:tr>
        <w:trPr>
          <w:tblHeader w:val="false"/>
        </w:trP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 Five Eyes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Alignment with the 22 June 2026 joint resilience advisory (11 principles)</w:t>
            </w:r>
          </w:p>
        </w:tc>
      </w:tr>
    </w:tbl>
    <w:p>
      <w:pPr>
        <w:pStyle w:val="Heading1"/>
        <w:pBdr>
          <w:bottom w:val="single" w:color="00C9FF" w:sz="6" w:space="4"/>
        </w:pBdr>
        <w:spacing w:after="160" w:before="400"/>
      </w:pPr>
      <w:r>
        <w:rPr>
          <w:rFonts w:ascii="Arial" w:cs="Arial" w:eastAsia="Arial" w:hAnsi="Arial"/>
          <w:b/>
          <w:bCs/>
          <w:color w:val="0B0F1A"/>
          <w:sz w:val="36"/>
          <w:szCs w:val="36"/>
        </w:rPr>
        <w:t xml:space="preserve">2. Getting Started</w:t>
      </w:r>
    </w:p>
    <w:p>
      <w:pPr>
        <w:pStyle w:val="Heading2"/>
        <w:spacing w:after="100" w:before="280"/>
      </w:pPr>
      <w:r>
        <w:rPr>
          <w:rFonts w:ascii="Arial" w:cs="Arial" w:eastAsia="Arial" w:hAnsi="Arial"/>
          <w:b/>
          <w:bCs/>
          <w:color w:val="0B0F1A"/>
          <w:sz w:val="28"/>
          <w:szCs w:val="28"/>
        </w:rPr>
        <w:t xml:space="preserve">2.1 Opening the Tool</w:t>
      </w:r>
    </w:p>
    <w:p>
      <w:pPr>
        <w:spacing w:after="60" w:before="60"/>
      </w:pPr>
      <w:r>
        <w:rPr>
          <w:rFonts w:ascii="Arial" w:cs="Arial" w:eastAsia="Arial" w:hAnsi="Arial"/>
          <w:color w:val="374151"/>
          <w:sz w:val="22"/>
          <w:szCs w:val="22"/>
        </w:rPr>
        <w:t xml:space="preserve">Navigate to rags1816.github.io/cyber/ in any modern browser, or open index.html locally. No installation required — no npm, no build step, no server.</w:t>
      </w:r>
    </w:p>
    <w:p>
      <w:pPr>
        <w:pStyle w:val="Heading2"/>
        <w:spacing w:after="100" w:before="280"/>
      </w:pPr>
      <w:r>
        <w:rPr>
          <w:rFonts w:ascii="Arial" w:cs="Arial" w:eastAsia="Arial" w:hAnsi="Arial"/>
          <w:b/>
          <w:bCs/>
          <w:color w:val="0B0F1A"/>
          <w:sz w:val="28"/>
          <w:szCs w:val="28"/>
        </w:rPr>
        <w:t xml:space="preserve">2.2 Welcome Screen</w:t>
      </w:r>
    </w:p>
    <w:p>
      <w:pPr>
        <w:spacing w:after="60" w:before="60"/>
      </w:pPr>
      <w:r>
        <w:rPr>
          <w:rFonts w:ascii="Arial" w:cs="Arial" w:eastAsia="Arial" w:hAnsi="Arial"/>
          <w:color w:val="374151"/>
          <w:sz w:val="22"/>
          <w:szCs w:val="22"/>
        </w:rPr>
        <w:t xml:space="preserve">On fresh load you see the Welcome screen only. The ESG-style UI shows:</w:t>
      </w:r>
    </w:p>
    <w:p>
      <w:pPr>
        <w:pStyle w:val="ListParagraph"/>
        <w:numPr>
          <w:ilvl w:val="0"/>
          <w:numId w:val="2"/>
        </w:numPr>
        <w:spacing w:after="40" w:before="40"/>
      </w:pPr>
      <w:r>
        <w:rPr>
          <w:rFonts w:ascii="Arial" w:cs="Arial" w:eastAsia="Arial" w:hAnsi="Arial"/>
          <w:color w:val="374151"/>
          <w:sz w:val="22"/>
          <w:szCs w:val="22"/>
        </w:rPr>
        <w:t xml:space="preserve">8 coloured domain chips (Identity &amp; Access, Detection &amp; Response, Network Security, Cloud &amp; Infra, Data Protection, Governance, People, Supply Chain)</w:t>
      </w:r>
    </w:p>
    <w:p>
      <w:pPr>
        <w:pStyle w:val="ListParagraph"/>
        <w:numPr>
          <w:ilvl w:val="0"/>
          <w:numId w:val="2"/>
        </w:numPr>
        <w:spacing w:after="40" w:before="40"/>
      </w:pPr>
      <w:r>
        <w:rPr>
          <w:rFonts w:ascii="Arial" w:cs="Arial" w:eastAsia="Arial" w:hAnsi="Arial"/>
          <w:color w:val="374151"/>
          <w:sz w:val="22"/>
          <w:szCs w:val="22"/>
        </w:rPr>
        <w:t xml:space="preserve">Stats strip: 8 Domains · 12+ Frameworks · 45min Deep Dive · All Industries</w:t>
      </w:r>
    </w:p>
    <w:p>
      <w:pPr>
        <w:pStyle w:val="ListParagraph"/>
        <w:numPr>
          <w:ilvl w:val="0"/>
          <w:numId w:val="2"/>
        </w:numPr>
        <w:spacing w:after="40" w:before="40"/>
      </w:pPr>
      <w:r>
        <w:rPr>
          <w:rFonts w:ascii="Arial" w:cs="Arial" w:eastAsia="Arial" w:hAnsi="Arial"/>
          <w:color w:val="374151"/>
          <w:sz w:val="22"/>
          <w:szCs w:val="22"/>
        </w:rPr>
        <w:t xml:space="preserve">Two mode cards: Quick Check and Deep Dive — click either to begin immediately</w:t>
      </w:r>
    </w:p>
    <w:p>
      <w:pPr>
        <w:pStyle w:val="ListParagraph"/>
        <w:numPr>
          <w:ilvl w:val="0"/>
          <w:numId w:val="2"/>
        </w:numPr>
        <w:spacing w:after="40" w:before="40"/>
      </w:pPr>
      <w:r>
        <w:rPr>
          <w:rFonts w:ascii="Arial" w:cs="Arial" w:eastAsia="Arial" w:hAnsi="Arial"/>
          <w:color w:val="374151"/>
          <w:sz w:val="22"/>
          <w:szCs w:val="22"/>
        </w:rPr>
        <w:t xml:space="preserve">My AI Settings collapsible card — optional API key for AI-generated narrative</w:t>
      </w:r>
    </w:p>
    <w:p>
      <w:pPr>
        <w:pStyle w:val="ListParagraph"/>
        <w:numPr>
          <w:ilvl w:val="0"/>
          <w:numId w:val="2"/>
        </w:numPr>
        <w:spacing w:after="40" w:before="40"/>
      </w:pPr>
      <w:r>
        <w:rPr>
          <w:rFonts w:ascii="Arial" w:cs="Arial" w:eastAsia="Arial" w:hAnsi="Arial"/>
          <w:color w:val="374151"/>
          <w:sz w:val="22"/>
          <w:szCs w:val="22"/>
        </w:rPr>
        <w:t xml:space="preserve">▶ Run Demo — See Sample Results amber CTA</w:t>
      </w:r>
    </w:p>
    <w:p>
      <w:pPr>
        <w:pStyle w:val="ListParagraph"/>
        <w:numPr>
          <w:ilvl w:val="0"/>
          <w:numId w:val="2"/>
        </w:numPr>
        <w:spacing w:after="40" w:before="40"/>
      </w:pPr>
      <w:r>
        <w:rPr>
          <w:rFonts w:ascii="Arial" w:cs="Arial" w:eastAsia="Arial" w:hAnsi="Arial"/>
          <w:color w:val="374151"/>
          <w:sz w:val="22"/>
          <w:szCs w:val="22"/>
        </w:rPr>
        <w:t xml:space="preserve">Bottom minibar: AI status indicator · Start Assessment · Admin Settings</w:t>
      </w:r>
    </w:p>
    <w:p>
      <w:pPr>
        <w:pBdr>
          <w:left w:val="single" w:color="10B981" w:sz="12" w:space="8"/>
        </w:pBdr>
        <w:shd w:fill="F0F9FF" w:val="clear"/>
        <w:spacing w:after="100" w:before="100"/>
        <w:ind w:left="360"/>
      </w:pPr>
      <w:r>
        <w:rPr>
          <w:rFonts w:ascii="Arial" w:cs="Arial" w:eastAsia="Arial" w:hAnsi="Arial"/>
          <w:color w:val="374151"/>
          <w:sz w:val="20"/>
          <w:szCs w:val="20"/>
        </w:rPr>
        <w:t xml:space="preserve">✅  No banner, no toast, and no demo data shows on a fresh load. The tool always opens in User mode.</w:t>
      </w:r>
    </w:p>
    <w:p>
      <w:pPr>
        <w:pStyle w:val="Heading1"/>
        <w:pBdr>
          <w:bottom w:val="single" w:color="00C9FF" w:sz="6" w:space="4"/>
        </w:pBdr>
        <w:spacing w:after="160" w:before="400"/>
      </w:pPr>
      <w:r>
        <w:rPr>
          <w:rFonts w:ascii="Arial" w:cs="Arial" w:eastAsia="Arial" w:hAnsi="Arial"/>
          <w:b/>
          <w:bCs/>
          <w:color w:val="0B0F1A"/>
          <w:sz w:val="36"/>
          <w:szCs w:val="36"/>
        </w:rPr>
        <w:t xml:space="preserve">3. Assessment Flow</w:t>
      </w:r>
    </w:p>
    <w:p>
      <w:pPr>
        <w:pStyle w:val="Heading2"/>
        <w:spacing w:after="100" w:before="280"/>
      </w:pPr>
      <w:r>
        <w:rPr>
          <w:rFonts w:ascii="Arial" w:cs="Arial" w:eastAsia="Arial" w:hAnsi="Arial"/>
          <w:b/>
          <w:bCs/>
          <w:color w:val="0B0F1A"/>
          <w:sz w:val="28"/>
          <w:szCs w:val="28"/>
        </w:rPr>
        <w:t xml:space="preserve">3.1 Choosing Your Mode</w:t>
      </w:r>
    </w:p>
    <w:p>
      <w:pPr>
        <w:spacing w:after="60" w:before="60"/>
      </w:pPr>
      <w:r>
        <w:rPr>
          <w:rFonts w:ascii="Arial" w:cs="Arial" w:eastAsia="Arial" w:hAnsi="Arial"/>
          <w:color w:val="374151"/>
          <w:sz w:val="22"/>
          <w:szCs w:val="22"/>
        </w:rPr>
        <w:t xml:space="preserve">Click a mode card directly — this selects the mode and immediately navigates to the context form. The minibar "Start Assessment" button scrolls to the mode cards and pulses them with a cyan glow to prompt your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1D5DB" w:sz="1"/>
              <w:left w:val="single" w:color="D1D5DB" w:sz="1"/>
              <w:bottom w:val="single" w:color="D1D5DB" w:sz="1"/>
              <w:right w:val="single" w:color="D1D5DB" w:sz="1"/>
            </w:tcBorders>
            <w:shd w:fill="0B0F1A" w:val="clear"/>
            <w:tcMar>
              <w:top w:type="dxa" w:w="80"/>
              <w:left w:type="dxa" w:w="120"/>
              <w:bottom w:type="dxa" w:w="80"/>
              <w:right w:type="dxa" w:w="120"/>
            </w:tcMar>
          </w:tcPr>
          <w:p>
            <w:pPr>
              <w:spacing w:after="40" w:before="40"/>
            </w:pPr>
            <w:r>
              <w:rPr>
                <w:rFonts w:ascii="Arial" w:cs="Arial" w:eastAsia="Arial" w:hAnsi="Arial"/>
                <w:b/>
                <w:bCs/>
                <w:i w:val="false"/>
                <w:iCs w:val="false"/>
                <w:color w:val="FFFFFF"/>
                <w:sz w:val="20"/>
                <w:szCs w:val="20"/>
              </w:rPr>
              <w:t xml:space="preserve">Mode</w:t>
            </w:r>
          </w:p>
        </w:tc>
        <w:tc>
          <w:tcPr>
            <w:tcW w:type="dxa" w:w="2340"/>
            <w:tcBorders>
              <w:top w:val="single" w:color="D1D5DB" w:sz="1"/>
              <w:left w:val="single" w:color="D1D5DB" w:sz="1"/>
              <w:bottom w:val="single" w:color="D1D5DB" w:sz="1"/>
              <w:right w:val="single" w:color="D1D5DB" w:sz="1"/>
            </w:tcBorders>
            <w:shd w:fill="0B0F1A" w:val="clear"/>
            <w:tcMar>
              <w:top w:type="dxa" w:w="80"/>
              <w:left w:type="dxa" w:w="120"/>
              <w:bottom w:type="dxa" w:w="80"/>
              <w:right w:type="dxa" w:w="120"/>
            </w:tcMar>
          </w:tcPr>
          <w:p>
            <w:pPr>
              <w:spacing w:after="40" w:before="40"/>
            </w:pPr>
            <w:r>
              <w:rPr>
                <w:rFonts w:ascii="Arial" w:cs="Arial" w:eastAsia="Arial" w:hAnsi="Arial"/>
                <w:b/>
                <w:bCs/>
                <w:i w:val="false"/>
                <w:iCs w:val="false"/>
                <w:color w:val="FFFFFF"/>
                <w:sz w:val="20"/>
                <w:szCs w:val="20"/>
              </w:rPr>
              <w:t xml:space="preserve">Questions</w:t>
            </w:r>
          </w:p>
        </w:tc>
        <w:tc>
          <w:tcPr>
            <w:tcW w:type="dxa" w:w="2340"/>
            <w:tcBorders>
              <w:top w:val="single" w:color="D1D5DB" w:sz="1"/>
              <w:left w:val="single" w:color="D1D5DB" w:sz="1"/>
              <w:bottom w:val="single" w:color="D1D5DB" w:sz="1"/>
              <w:right w:val="single" w:color="D1D5DB" w:sz="1"/>
            </w:tcBorders>
            <w:shd w:fill="0B0F1A" w:val="clear"/>
            <w:tcMar>
              <w:top w:type="dxa" w:w="80"/>
              <w:left w:type="dxa" w:w="120"/>
              <w:bottom w:type="dxa" w:w="80"/>
              <w:right w:type="dxa" w:w="120"/>
            </w:tcMar>
          </w:tcPr>
          <w:p>
            <w:pPr>
              <w:spacing w:after="40" w:before="40"/>
            </w:pPr>
            <w:r>
              <w:rPr>
                <w:rFonts w:ascii="Arial" w:cs="Arial" w:eastAsia="Arial" w:hAnsi="Arial"/>
                <w:b/>
                <w:bCs/>
                <w:i w:val="false"/>
                <w:iCs w:val="false"/>
                <w:color w:val="FFFFFF"/>
                <w:sz w:val="20"/>
                <w:szCs w:val="20"/>
              </w:rPr>
              <w:t xml:space="preserve">Time</w:t>
            </w:r>
          </w:p>
        </w:tc>
        <w:tc>
          <w:tcPr>
            <w:tcW w:type="dxa" w:w="2340"/>
            <w:tcBorders>
              <w:top w:val="single" w:color="D1D5DB" w:sz="1"/>
              <w:left w:val="single" w:color="D1D5DB" w:sz="1"/>
              <w:bottom w:val="single" w:color="D1D5DB" w:sz="1"/>
              <w:right w:val="single" w:color="D1D5DB" w:sz="1"/>
            </w:tcBorders>
            <w:shd w:fill="0B0F1A" w:val="clear"/>
            <w:tcMar>
              <w:top w:type="dxa" w:w="80"/>
              <w:left w:type="dxa" w:w="120"/>
              <w:bottom w:type="dxa" w:w="80"/>
              <w:right w:type="dxa" w:w="120"/>
            </w:tcMar>
          </w:tcPr>
          <w:p>
            <w:pPr>
              <w:spacing w:after="40" w:before="40"/>
            </w:pPr>
            <w:r>
              <w:rPr>
                <w:rFonts w:ascii="Arial" w:cs="Arial" w:eastAsia="Arial" w:hAnsi="Arial"/>
                <w:b/>
                <w:bCs/>
                <w:i w:val="false"/>
                <w:iCs w:val="false"/>
                <w:color w:val="FFFFFF"/>
                <w:sz w:val="20"/>
                <w:szCs w:val="20"/>
              </w:rPr>
              <w:t xml:space="preserve">Best for</w:t>
            </w:r>
          </w:p>
        </w:tc>
      </w:tr>
      <w:tr>
        <w:trPr>
          <w:tblHeader w:val="false"/>
        </w:trPr>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 Quick Check</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16 (2 per domain)</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~15 min</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First-pass, leadership overview, board prep</w:t>
            </w:r>
          </w:p>
        </w:tc>
      </w:tr>
      <w:tr>
        <w:trPr>
          <w:tblHeader w:val="false"/>
        </w:trPr>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 Deep Dive</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48 (full granularity)</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~45 min</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Certification prep, detailed gap analysis, annual review</w:t>
            </w:r>
          </w:p>
        </w:tc>
      </w:tr>
    </w:tbl>
    <w:p>
      <w:pPr>
        <w:pStyle w:val="Heading2"/>
        <w:spacing w:after="100" w:before="280"/>
      </w:pPr>
      <w:r>
        <w:rPr>
          <w:rFonts w:ascii="Arial" w:cs="Arial" w:eastAsia="Arial" w:hAnsi="Arial"/>
          <w:b/>
          <w:bCs/>
          <w:color w:val="0B0F1A"/>
          <w:sz w:val="28"/>
          <w:szCs w:val="28"/>
        </w:rPr>
        <w:t xml:space="preserve">3.2 Context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1"/>
              <w:left w:val="single" w:color="D1D5DB" w:sz="1"/>
              <w:bottom w:val="single" w:color="D1D5DB" w:sz="1"/>
              <w:right w:val="single" w:color="D1D5DB" w:sz="1"/>
            </w:tcBorders>
            <w:shd w:fill="0B0F1A" w:val="clear"/>
            <w:tcMar>
              <w:top w:type="dxa" w:w="80"/>
              <w:left w:type="dxa" w:w="120"/>
              <w:bottom w:type="dxa" w:w="80"/>
              <w:right w:type="dxa" w:w="120"/>
            </w:tcMar>
          </w:tcPr>
          <w:p>
            <w:pPr>
              <w:spacing w:after="40" w:before="40"/>
            </w:pPr>
            <w:r>
              <w:rPr>
                <w:rFonts w:ascii="Arial" w:cs="Arial" w:eastAsia="Arial" w:hAnsi="Arial"/>
                <w:b/>
                <w:bCs/>
                <w:i w:val="false"/>
                <w:iCs w:val="false"/>
                <w:color w:val="FFFFFF"/>
                <w:sz w:val="20"/>
                <w:szCs w:val="20"/>
              </w:rPr>
              <w:t xml:space="preserve">Field</w:t>
            </w:r>
          </w:p>
        </w:tc>
        <w:tc>
          <w:tcPr>
            <w:tcW w:type="dxa" w:w="4680"/>
            <w:tcBorders>
              <w:top w:val="single" w:color="D1D5DB" w:sz="1"/>
              <w:left w:val="single" w:color="D1D5DB" w:sz="1"/>
              <w:bottom w:val="single" w:color="D1D5DB" w:sz="1"/>
              <w:right w:val="single" w:color="D1D5DB" w:sz="1"/>
            </w:tcBorders>
            <w:shd w:fill="0B0F1A" w:val="clear"/>
            <w:tcMar>
              <w:top w:type="dxa" w:w="80"/>
              <w:left w:type="dxa" w:w="120"/>
              <w:bottom w:type="dxa" w:w="80"/>
              <w:right w:type="dxa" w:w="120"/>
            </w:tcMar>
          </w:tcPr>
          <w:p>
            <w:pPr>
              <w:spacing w:after="40" w:before="40"/>
            </w:pPr>
            <w:r>
              <w:rPr>
                <w:rFonts w:ascii="Arial" w:cs="Arial" w:eastAsia="Arial" w:hAnsi="Arial"/>
                <w:b/>
                <w:bCs/>
                <w:i w:val="false"/>
                <w:iCs w:val="false"/>
                <w:color w:val="FFFFFF"/>
                <w:sz w:val="20"/>
                <w:szCs w:val="20"/>
              </w:rPr>
              <w:t xml:space="preserve">Purpose</w:t>
            </w:r>
          </w:p>
        </w:tc>
      </w:tr>
      <w:tr>
        <w:trPr>
          <w:tblHeader w:val="false"/>
        </w:trP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Organisation name</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Named in the board report and PDF export</w:t>
            </w:r>
          </w:p>
        </w:tc>
      </w:tr>
      <w:tr>
        <w:trPr>
          <w:tblHeader w:val="false"/>
        </w:trP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Contact name</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Named in the executive summary</w:t>
            </w:r>
          </w:p>
        </w:tc>
      </w:tr>
      <w:tr>
        <w:trPr>
          <w:tblHeader w:val="false"/>
        </w:trP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Sector</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Sets sector risk multiplier (Financial Services = 1.45×, Healthcare = 1.40×, etc.)</w:t>
            </w:r>
          </w:p>
        </w:tc>
      </w:tr>
      <w:tr>
        <w:trPr>
          <w:tblHeader w:val="false"/>
        </w:trP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Primary region</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Selects regulatory frameworks (UK, EU, USA, AUS, NZ, Global)</w:t>
            </w:r>
          </w:p>
        </w:tc>
      </w:tr>
      <w:tr>
        <w:trPr>
          <w:tblHeader w:val="false"/>
        </w:trP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Secondary jurisdictions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Adds extra framework overlays (e.g. EU for GDPR if UK-based)</w:t>
            </w:r>
          </w:p>
        </w:tc>
      </w:tr>
      <w:tr>
        <w:trPr>
          <w:tblHeader w:val="false"/>
        </w:trP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Organisation size</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Calibrates recommendation costs (Micro / Small / SME / Mid-market / Enterprise)</w:t>
            </w:r>
          </w:p>
        </w:tc>
      </w:tr>
      <w:tr>
        <w:trPr>
          <w:tblHeader w:val="false"/>
        </w:trP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Annual revenue</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Used in Cost of Inaction formula — never transmitted</w:t>
            </w:r>
          </w:p>
        </w:tc>
      </w:tr>
      <w:tr>
        <w:trPr>
          <w:tblHeader w:val="false"/>
        </w:trP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Security budget</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Identifies budget gap vs recommended spend</w:t>
            </w:r>
          </w:p>
        </w:tc>
      </w:tr>
      <w:tr>
        <w:trPr>
          <w:tblHeader w:val="false"/>
        </w:trP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Risk appetite</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Adjusts how recommendations are prioritised (Low / Medium / High)</w:t>
            </w:r>
          </w:p>
        </w:tc>
      </w:tr>
      <w:tr>
        <w:trPr>
          <w:tblHeader w:val="false"/>
        </w:trP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Target certification</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Focuses gap register (ISO 27001, Cyber Essentials Plus, SOC 2, NIST CSF)</w:t>
            </w:r>
          </w:p>
        </w:tc>
      </w:tr>
      <w:tr>
        <w:trPr>
          <w:tblHeader w:val="false"/>
        </w:trP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Optimisation mode</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Sets roadmap priority (Risk-first, Cost-first, Quick wins)</w:t>
            </w:r>
          </w:p>
        </w:tc>
      </w:tr>
    </w:tbl>
    <w:p>
      <w:pPr>
        <w:pStyle w:val="Heading2"/>
        <w:spacing w:after="100" w:before="280"/>
      </w:pPr>
      <w:r>
        <w:rPr>
          <w:rFonts w:ascii="Arial" w:cs="Arial" w:eastAsia="Arial" w:hAnsi="Arial"/>
          <w:b/>
          <w:bCs/>
          <w:color w:val="0B0F1A"/>
          <w:sz w:val="28"/>
          <w:szCs w:val="28"/>
        </w:rPr>
        <w:t xml:space="preserve">3.3 Domain Questions</w:t>
      </w:r>
    </w:p>
    <w:p>
      <w:pPr>
        <w:spacing w:after="60" w:before="60"/>
      </w:pPr>
      <w:r>
        <w:rPr>
          <w:rFonts w:ascii="Arial" w:cs="Arial" w:eastAsia="Arial" w:hAnsi="Arial"/>
          <w:color w:val="374151"/>
          <w:sz w:val="22"/>
          <w:szCs w:val="22"/>
        </w:rPr>
        <w:t xml:space="preserve">Eight domains are assessed in sequence. Score each question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1"/>
              <w:left w:val="single" w:color="D1D5DB" w:sz="1"/>
              <w:bottom w:val="single" w:color="D1D5DB" w:sz="1"/>
              <w:right w:val="single" w:color="D1D5DB" w:sz="1"/>
            </w:tcBorders>
            <w:shd w:fill="0B0F1A" w:val="clear"/>
            <w:tcMar>
              <w:top w:type="dxa" w:w="80"/>
              <w:left w:type="dxa" w:w="120"/>
              <w:bottom w:type="dxa" w:w="80"/>
              <w:right w:type="dxa" w:w="120"/>
            </w:tcMar>
          </w:tcPr>
          <w:p>
            <w:pPr>
              <w:spacing w:after="40" w:before="40"/>
            </w:pPr>
            <w:r>
              <w:rPr>
                <w:rFonts w:ascii="Arial" w:cs="Arial" w:eastAsia="Arial" w:hAnsi="Arial"/>
                <w:b/>
                <w:bCs/>
                <w:i w:val="false"/>
                <w:iCs w:val="false"/>
                <w:color w:val="FFFFFF"/>
                <w:sz w:val="20"/>
                <w:szCs w:val="20"/>
              </w:rPr>
              <w:t xml:space="preserve">Score</w:t>
            </w:r>
          </w:p>
        </w:tc>
        <w:tc>
          <w:tcPr>
            <w:tcW w:type="dxa" w:w="4680"/>
            <w:tcBorders>
              <w:top w:val="single" w:color="D1D5DB" w:sz="1"/>
              <w:left w:val="single" w:color="D1D5DB" w:sz="1"/>
              <w:bottom w:val="single" w:color="D1D5DB" w:sz="1"/>
              <w:right w:val="single" w:color="D1D5DB" w:sz="1"/>
            </w:tcBorders>
            <w:shd w:fill="0B0F1A" w:val="clear"/>
            <w:tcMar>
              <w:top w:type="dxa" w:w="80"/>
              <w:left w:type="dxa" w:w="120"/>
              <w:bottom w:type="dxa" w:w="80"/>
              <w:right w:type="dxa" w:w="120"/>
            </w:tcMar>
          </w:tcPr>
          <w:p>
            <w:pPr>
              <w:spacing w:after="40" w:before="40"/>
            </w:pPr>
            <w:r>
              <w:rPr>
                <w:rFonts w:ascii="Arial" w:cs="Arial" w:eastAsia="Arial" w:hAnsi="Arial"/>
                <w:b/>
                <w:bCs/>
                <w:i w:val="false"/>
                <w:iCs w:val="false"/>
                <w:color w:val="FFFFFF"/>
                <w:sz w:val="20"/>
                <w:szCs w:val="20"/>
              </w:rPr>
              <w:t xml:space="preserve">Meaning</w:t>
            </w:r>
          </w:p>
        </w:tc>
      </w:tr>
      <w:tr>
        <w:trPr>
          <w:tblHeader w:val="false"/>
        </w:trP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1</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Not implemented — not addressed</w:t>
            </w:r>
          </w:p>
        </w:tc>
      </w:tr>
      <w:tr>
        <w:trPr>
          <w:tblHeader w:val="false"/>
        </w:trP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2</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Planned — discussed, not yet implemented</w:t>
            </w:r>
          </w:p>
        </w:tc>
      </w:tr>
      <w:tr>
        <w:trPr>
          <w:tblHeader w:val="false"/>
        </w:trP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3</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Partially implemented — significant gaps remain</w:t>
            </w:r>
          </w:p>
        </w:tc>
      </w:tr>
      <w:tr>
        <w:trPr>
          <w:tblHeader w:val="false"/>
        </w:trP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4</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Largely implemented — minor gaps or inconsistencies</w:t>
            </w:r>
          </w:p>
        </w:tc>
      </w:tr>
      <w:tr>
        <w:trPr>
          <w:tblHeader w:val="false"/>
        </w:trP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5</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Fully implemented and tested — documented, deployed, and regularly verified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1D5DB" w:sz="1"/>
              <w:left w:val="single" w:color="D1D5DB" w:sz="1"/>
              <w:bottom w:val="single" w:color="D1D5DB" w:sz="1"/>
              <w:right w:val="single" w:color="D1D5DB" w:sz="1"/>
            </w:tcBorders>
            <w:shd w:fill="0B0F1A" w:val="clear"/>
            <w:tcMar>
              <w:top w:type="dxa" w:w="80"/>
              <w:left w:type="dxa" w:w="120"/>
              <w:bottom w:type="dxa" w:w="80"/>
              <w:right w:type="dxa" w:w="120"/>
            </w:tcMar>
          </w:tcPr>
          <w:p>
            <w:pPr>
              <w:spacing w:after="40" w:before="40"/>
            </w:pPr>
            <w:r>
              <w:rPr>
                <w:rFonts w:ascii="Arial" w:cs="Arial" w:eastAsia="Arial" w:hAnsi="Arial"/>
                <w:b/>
                <w:bCs/>
                <w:i w:val="false"/>
                <w:iCs w:val="false"/>
                <w:color w:val="FFFFFF"/>
                <w:sz w:val="20"/>
                <w:szCs w:val="20"/>
              </w:rPr>
              <w:t xml:space="preserve">Domain</w:t>
            </w:r>
          </w:p>
        </w:tc>
        <w:tc>
          <w:tcPr>
            <w:tcW w:type="dxa" w:w="3120"/>
            <w:tcBorders>
              <w:top w:val="single" w:color="D1D5DB" w:sz="1"/>
              <w:left w:val="single" w:color="D1D5DB" w:sz="1"/>
              <w:bottom w:val="single" w:color="D1D5DB" w:sz="1"/>
              <w:right w:val="single" w:color="D1D5DB" w:sz="1"/>
            </w:tcBorders>
            <w:shd w:fill="0B0F1A" w:val="clear"/>
            <w:tcMar>
              <w:top w:type="dxa" w:w="80"/>
              <w:left w:type="dxa" w:w="120"/>
              <w:bottom w:type="dxa" w:w="80"/>
              <w:right w:type="dxa" w:w="120"/>
            </w:tcMar>
          </w:tcPr>
          <w:p>
            <w:pPr>
              <w:spacing w:after="40" w:before="40"/>
            </w:pPr>
            <w:r>
              <w:rPr>
                <w:rFonts w:ascii="Arial" w:cs="Arial" w:eastAsia="Arial" w:hAnsi="Arial"/>
                <w:b/>
                <w:bCs/>
                <w:i w:val="false"/>
                <w:iCs w:val="false"/>
                <w:color w:val="FFFFFF"/>
                <w:sz w:val="20"/>
                <w:szCs w:val="20"/>
              </w:rPr>
              <w:t xml:space="preserve">Weight</w:t>
            </w:r>
          </w:p>
        </w:tc>
        <w:tc>
          <w:tcPr>
            <w:tcW w:type="dxa" w:w="3120"/>
            <w:tcBorders>
              <w:top w:val="single" w:color="D1D5DB" w:sz="1"/>
              <w:left w:val="single" w:color="D1D5DB" w:sz="1"/>
              <w:bottom w:val="single" w:color="D1D5DB" w:sz="1"/>
              <w:right w:val="single" w:color="D1D5DB" w:sz="1"/>
            </w:tcBorders>
            <w:shd w:fill="0B0F1A" w:val="clear"/>
            <w:tcMar>
              <w:top w:type="dxa" w:w="80"/>
              <w:left w:type="dxa" w:w="120"/>
              <w:bottom w:type="dxa" w:w="80"/>
              <w:right w:type="dxa" w:w="120"/>
            </w:tcMar>
          </w:tcPr>
          <w:p>
            <w:pPr>
              <w:spacing w:after="40" w:before="40"/>
            </w:pPr>
            <w:r>
              <w:rPr>
                <w:rFonts w:ascii="Arial" w:cs="Arial" w:eastAsia="Arial" w:hAnsi="Arial"/>
                <w:b/>
                <w:bCs/>
                <w:i w:val="false"/>
                <w:iCs w:val="false"/>
                <w:color w:val="FFFFFF"/>
                <w:sz w:val="20"/>
                <w:szCs w:val="20"/>
              </w:rPr>
              <w:t xml:space="preserve">Focus</w:t>
            </w:r>
          </w:p>
        </w:tc>
      </w:tr>
      <w:tr>
        <w:trPr>
          <w:tblHeader w:val="false"/>
        </w:trP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 Identity &amp; Access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15%</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MFA, PAM, zero trust, identity lifecycle</w:t>
            </w:r>
          </w:p>
        </w:tc>
      </w:tr>
      <w:tr>
        <w:trPr>
          <w:tblHeader w:val="false"/>
        </w:trP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 Detection &amp; Response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14%</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SIEM, EDR, IR plan, mean time to detect</w:t>
            </w:r>
          </w:p>
        </w:tc>
      </w:tr>
      <w:tr>
        <w:trPr>
          <w:tblHeader w:val="false"/>
        </w:trP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 Network Security</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13%</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Firewall, segmentation, VPN, DNS filtering</w:t>
            </w:r>
          </w:p>
        </w:tc>
      </w:tr>
      <w:tr>
        <w:trPr>
          <w:tblHeader w:val="false"/>
        </w:trP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 Cloud &amp; Infrastructure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12%</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Cloud config, IaC, asset inventory, patching</w:t>
            </w:r>
          </w:p>
        </w:tc>
      </w:tr>
      <w:tr>
        <w:trPr>
          <w:tblHeader w:val="false"/>
        </w:trP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 Data Protection</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12%</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Encryption, DLP, backup, data classification</w:t>
            </w:r>
          </w:p>
        </w:tc>
      </w:tr>
      <w:tr>
        <w:trPr>
          <w:tblHeader w:val="false"/>
        </w:trP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 Governance &amp; Risk</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12%</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Policy, board oversight, audit, risk register</w:t>
            </w:r>
          </w:p>
        </w:tc>
      </w:tr>
      <w:tr>
        <w:trPr>
          <w:tblHeader w:val="false"/>
        </w:trP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 People &amp; Awareness</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12%</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Training, phishing simulation, culture</w:t>
            </w:r>
          </w:p>
        </w:tc>
      </w:tr>
      <w:tr>
        <w:trPr>
          <w:tblHeader w:val="false"/>
        </w:trP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 Supply Chain</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10%</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Vendor risk, third-party assurance, contracts</w:t>
            </w:r>
          </w:p>
        </w:tc>
      </w:tr>
    </w:tbl>
    <w:p>
      <w:pPr>
        <w:pStyle w:val="Heading2"/>
        <w:spacing w:after="100" w:before="280"/>
      </w:pPr>
      <w:r>
        <w:rPr>
          <w:rFonts w:ascii="Arial" w:cs="Arial" w:eastAsia="Arial" w:hAnsi="Arial"/>
          <w:b/>
          <w:bCs/>
          <w:color w:val="0B0F1A"/>
          <w:sz w:val="28"/>
          <w:szCs w:val="28"/>
        </w:rPr>
        <w:t xml:space="preserve">3.4 Satisfaction Gate</w:t>
      </w:r>
    </w:p>
    <w:p>
      <w:pPr>
        <w:spacing w:after="60" w:before="60"/>
      </w:pPr>
      <w:r>
        <w:rPr>
          <w:rFonts w:ascii="Arial" w:cs="Arial" w:eastAsia="Arial" w:hAnsi="Arial"/>
          <w:color w:val="374151"/>
          <w:sz w:val="22"/>
          <w:szCs w:val="22"/>
        </w:rPr>
        <w:t xml:space="preserve">After the final domain question a modal asks: "Ready to see your results?" You can choose Edit My Answers (returns to quiz with all answers preserved) or Yes, Show My Report (calculates and renders full results).</w:t>
      </w:r>
    </w:p>
    <w:p>
      <w:pPr>
        <w:pStyle w:val="Heading1"/>
        <w:pBdr>
          <w:bottom w:val="single" w:color="00C9FF" w:sz="6" w:space="4"/>
        </w:pBdr>
        <w:spacing w:after="160" w:before="400"/>
      </w:pPr>
      <w:r>
        <w:rPr>
          <w:rFonts w:ascii="Arial" w:cs="Arial" w:eastAsia="Arial" w:hAnsi="Arial"/>
          <w:b/>
          <w:bCs/>
          <w:color w:val="0B0F1A"/>
          <w:sz w:val="36"/>
          <w:szCs w:val="36"/>
        </w:rPr>
        <w:t xml:space="preserve">4. Results Screen</w:t>
      </w:r>
    </w:p>
    <w:p>
      <w:pPr>
        <w:pStyle w:val="Heading2"/>
        <w:spacing w:after="100" w:before="280"/>
      </w:pPr>
      <w:r>
        <w:rPr>
          <w:rFonts w:ascii="Arial" w:cs="Arial" w:eastAsia="Arial" w:hAnsi="Arial"/>
          <w:b/>
          <w:bCs/>
          <w:color w:val="0B0F1A"/>
          <w:sz w:val="28"/>
          <w:szCs w:val="28"/>
        </w:rPr>
        <w:t xml:space="preserve">4.1 Three Score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1D5DB" w:sz="1"/>
              <w:left w:val="single" w:color="D1D5DB" w:sz="1"/>
              <w:bottom w:val="single" w:color="D1D5DB" w:sz="1"/>
              <w:right w:val="single" w:color="D1D5DB" w:sz="1"/>
            </w:tcBorders>
            <w:shd w:fill="0B0F1A" w:val="clear"/>
            <w:tcMar>
              <w:top w:type="dxa" w:w="80"/>
              <w:left w:type="dxa" w:w="120"/>
              <w:bottom w:type="dxa" w:w="80"/>
              <w:right w:type="dxa" w:w="120"/>
            </w:tcMar>
          </w:tcPr>
          <w:p>
            <w:pPr>
              <w:spacing w:after="40" w:before="40"/>
            </w:pPr>
            <w:r>
              <w:rPr>
                <w:rFonts w:ascii="Arial" w:cs="Arial" w:eastAsia="Arial" w:hAnsi="Arial"/>
                <w:b/>
                <w:bCs/>
                <w:i w:val="false"/>
                <w:iCs w:val="false"/>
                <w:color w:val="FFFFFF"/>
                <w:sz w:val="20"/>
                <w:szCs w:val="20"/>
              </w:rPr>
              <w:t xml:space="preserve">Card</w:t>
            </w:r>
          </w:p>
        </w:tc>
        <w:tc>
          <w:tcPr>
            <w:tcW w:type="dxa" w:w="3120"/>
            <w:tcBorders>
              <w:top w:val="single" w:color="D1D5DB" w:sz="1"/>
              <w:left w:val="single" w:color="D1D5DB" w:sz="1"/>
              <w:bottom w:val="single" w:color="D1D5DB" w:sz="1"/>
              <w:right w:val="single" w:color="D1D5DB" w:sz="1"/>
            </w:tcBorders>
            <w:shd w:fill="0B0F1A" w:val="clear"/>
            <w:tcMar>
              <w:top w:type="dxa" w:w="80"/>
              <w:left w:type="dxa" w:w="120"/>
              <w:bottom w:type="dxa" w:w="80"/>
              <w:right w:type="dxa" w:w="120"/>
            </w:tcMar>
          </w:tcPr>
          <w:p>
            <w:pPr>
              <w:spacing w:after="40" w:before="40"/>
            </w:pPr>
            <w:r>
              <w:rPr>
                <w:rFonts w:ascii="Arial" w:cs="Arial" w:eastAsia="Arial" w:hAnsi="Arial"/>
                <w:b/>
                <w:bCs/>
                <w:i w:val="false"/>
                <w:iCs w:val="false"/>
                <w:color w:val="FFFFFF"/>
                <w:sz w:val="20"/>
                <w:szCs w:val="20"/>
              </w:rPr>
              <w:t xml:space="preserve">Colour</w:t>
            </w:r>
          </w:p>
        </w:tc>
        <w:tc>
          <w:tcPr>
            <w:tcW w:type="dxa" w:w="3120"/>
            <w:tcBorders>
              <w:top w:val="single" w:color="D1D5DB" w:sz="1"/>
              <w:left w:val="single" w:color="D1D5DB" w:sz="1"/>
              <w:bottom w:val="single" w:color="D1D5DB" w:sz="1"/>
              <w:right w:val="single" w:color="D1D5DB" w:sz="1"/>
            </w:tcBorders>
            <w:shd w:fill="0B0F1A" w:val="clear"/>
            <w:tcMar>
              <w:top w:type="dxa" w:w="80"/>
              <w:left w:type="dxa" w:w="120"/>
              <w:bottom w:type="dxa" w:w="80"/>
              <w:right w:type="dxa" w:w="120"/>
            </w:tcMar>
          </w:tcPr>
          <w:p>
            <w:pPr>
              <w:spacing w:after="40" w:before="40"/>
            </w:pPr>
            <w:r>
              <w:rPr>
                <w:rFonts w:ascii="Arial" w:cs="Arial" w:eastAsia="Arial" w:hAnsi="Arial"/>
                <w:b/>
                <w:bCs/>
                <w:i w:val="false"/>
                <w:iCs w:val="false"/>
                <w:color w:val="FFFFFF"/>
                <w:sz w:val="20"/>
                <w:szCs w:val="20"/>
              </w:rPr>
              <w:t xml:space="preserve">Formula</w:t>
            </w:r>
          </w:p>
        </w:tc>
      </w:tr>
      <w:tr>
        <w:trPr>
          <w:tblHeader w:val="false"/>
        </w:trP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 CyberScore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Cyan</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Σ(domain score × weight) — see Section 7</w:t>
            </w:r>
          </w:p>
        </w:tc>
      </w:tr>
      <w:tr>
        <w:trPr>
          <w:tblHeader w:val="false"/>
        </w:trP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 Risk Score</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Red</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min(100, (100 – CyberScore) × sectorMultiplier × 0.85)</w:t>
            </w:r>
          </w:p>
        </w:tc>
      </w:tr>
      <w:tr>
        <w:trPr>
          <w:tblHeader w:val="false"/>
        </w:trP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 Cost of Inaction</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Amber</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(revenue × 18% × risk/100 × 0.7) + (revenue × 2%)</w:t>
            </w:r>
          </w:p>
        </w:tc>
      </w:tr>
    </w:tbl>
    <w:p>
      <w:pPr>
        <w:pStyle w:val="Heading2"/>
        <w:spacing w:after="100" w:before="280"/>
      </w:pPr>
      <w:r>
        <w:rPr>
          <w:rFonts w:ascii="Arial" w:cs="Arial" w:eastAsia="Arial" w:hAnsi="Arial"/>
          <w:b/>
          <w:bCs/>
          <w:color w:val="0B0F1A"/>
          <w:sz w:val="28"/>
          <w:szCs w:val="28"/>
        </w:rPr>
        <w:t xml:space="preserve">4.2 Maturity Bands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1"/>
              <w:left w:val="single" w:color="D1D5DB" w:sz="1"/>
              <w:bottom w:val="single" w:color="D1D5DB" w:sz="1"/>
              <w:right w:val="single" w:color="D1D5DB" w:sz="1"/>
            </w:tcBorders>
            <w:shd w:fill="0B0F1A" w:val="clear"/>
            <w:tcMar>
              <w:top w:type="dxa" w:w="80"/>
              <w:left w:type="dxa" w:w="120"/>
              <w:bottom w:type="dxa" w:w="80"/>
              <w:right w:type="dxa" w:w="120"/>
            </w:tcMar>
          </w:tcPr>
          <w:p>
            <w:pPr>
              <w:spacing w:after="40" w:before="40"/>
            </w:pPr>
            <w:r>
              <w:rPr>
                <w:rFonts w:ascii="Arial" w:cs="Arial" w:eastAsia="Arial" w:hAnsi="Arial"/>
                <w:b/>
                <w:bCs/>
                <w:i w:val="false"/>
                <w:iCs w:val="false"/>
                <w:color w:val="FFFFFF"/>
                <w:sz w:val="20"/>
                <w:szCs w:val="20"/>
              </w:rPr>
              <w:t xml:space="preserve">CyberScore</w:t>
            </w:r>
          </w:p>
        </w:tc>
        <w:tc>
          <w:tcPr>
            <w:tcW w:type="dxa" w:w="4680"/>
            <w:tcBorders>
              <w:top w:val="single" w:color="D1D5DB" w:sz="1"/>
              <w:left w:val="single" w:color="D1D5DB" w:sz="1"/>
              <w:bottom w:val="single" w:color="D1D5DB" w:sz="1"/>
              <w:right w:val="single" w:color="D1D5DB" w:sz="1"/>
            </w:tcBorders>
            <w:shd w:fill="0B0F1A" w:val="clear"/>
            <w:tcMar>
              <w:top w:type="dxa" w:w="80"/>
              <w:left w:type="dxa" w:w="120"/>
              <w:bottom w:type="dxa" w:w="80"/>
              <w:right w:type="dxa" w:w="120"/>
            </w:tcMar>
          </w:tcPr>
          <w:p>
            <w:pPr>
              <w:spacing w:after="40" w:before="40"/>
            </w:pPr>
            <w:r>
              <w:rPr>
                <w:rFonts w:ascii="Arial" w:cs="Arial" w:eastAsia="Arial" w:hAnsi="Arial"/>
                <w:b/>
                <w:bCs/>
                <w:i w:val="false"/>
                <w:iCs w:val="false"/>
                <w:color w:val="FFFFFF"/>
                <w:sz w:val="20"/>
                <w:szCs w:val="20"/>
              </w:rPr>
              <w:t xml:space="preserve">Band</w:t>
            </w:r>
          </w:p>
        </w:tc>
      </w:tr>
      <w:tr>
        <w:trPr>
          <w:tblHeader w:val="false"/>
        </w:trP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90–100</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 Leading</w:t>
            </w:r>
          </w:p>
        </w:tc>
      </w:tr>
      <w:tr>
        <w:trPr>
          <w:tblHeader w:val="false"/>
        </w:trP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75–89</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 Advanced</w:t>
            </w:r>
          </w:p>
        </w:tc>
      </w:tr>
      <w:tr>
        <w:trPr>
          <w:tblHeader w:val="false"/>
        </w:trP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60–74</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 Established</w:t>
            </w:r>
          </w:p>
        </w:tc>
      </w:tr>
      <w:tr>
        <w:trPr>
          <w:tblHeader w:val="false"/>
        </w:trP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40–59</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 Developing</w:t>
            </w:r>
          </w:p>
        </w:tc>
      </w:tr>
      <w:tr>
        <w:trPr>
          <w:tblHeader w:val="false"/>
        </w:trP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0–39</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 Critical</w:t>
            </w:r>
          </w:p>
        </w:tc>
      </w:tr>
    </w:tbl>
    <w:p>
      <w:pPr>
        <w:pStyle w:val="Heading2"/>
        <w:spacing w:after="100" w:before="280"/>
      </w:pPr>
      <w:r>
        <w:rPr>
          <w:rFonts w:ascii="Arial" w:cs="Arial" w:eastAsia="Arial" w:hAnsi="Arial"/>
          <w:b/>
          <w:bCs/>
          <w:color w:val="0B0F1A"/>
          <w:sz w:val="28"/>
          <w:szCs w:val="28"/>
        </w:rPr>
        <w:t xml:space="preserve">4.3 Results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1"/>
              <w:left w:val="single" w:color="D1D5DB" w:sz="1"/>
              <w:bottom w:val="single" w:color="D1D5DB" w:sz="1"/>
              <w:right w:val="single" w:color="D1D5DB" w:sz="1"/>
            </w:tcBorders>
            <w:shd w:fill="0B0F1A" w:val="clear"/>
            <w:tcMar>
              <w:top w:type="dxa" w:w="80"/>
              <w:left w:type="dxa" w:w="120"/>
              <w:bottom w:type="dxa" w:w="80"/>
              <w:right w:type="dxa" w:w="120"/>
            </w:tcMar>
          </w:tcPr>
          <w:p>
            <w:pPr>
              <w:spacing w:after="40" w:before="40"/>
            </w:pPr>
            <w:r>
              <w:rPr>
                <w:rFonts w:ascii="Arial" w:cs="Arial" w:eastAsia="Arial" w:hAnsi="Arial"/>
                <w:b/>
                <w:bCs/>
                <w:i w:val="false"/>
                <w:iCs w:val="false"/>
                <w:color w:val="FFFFFF"/>
                <w:sz w:val="20"/>
                <w:szCs w:val="20"/>
              </w:rPr>
              <w:t xml:space="preserve">Tab</w:t>
            </w:r>
          </w:p>
        </w:tc>
        <w:tc>
          <w:tcPr>
            <w:tcW w:type="dxa" w:w="4680"/>
            <w:tcBorders>
              <w:top w:val="single" w:color="D1D5DB" w:sz="1"/>
              <w:left w:val="single" w:color="D1D5DB" w:sz="1"/>
              <w:bottom w:val="single" w:color="D1D5DB" w:sz="1"/>
              <w:right w:val="single" w:color="D1D5DB" w:sz="1"/>
            </w:tcBorders>
            <w:shd w:fill="0B0F1A" w:val="clear"/>
            <w:tcMar>
              <w:top w:type="dxa" w:w="80"/>
              <w:left w:type="dxa" w:w="120"/>
              <w:bottom w:type="dxa" w:w="80"/>
              <w:right w:type="dxa" w:w="120"/>
            </w:tcMar>
          </w:tcPr>
          <w:p>
            <w:pPr>
              <w:spacing w:after="40" w:before="40"/>
            </w:pPr>
            <w:r>
              <w:rPr>
                <w:rFonts w:ascii="Arial" w:cs="Arial" w:eastAsia="Arial" w:hAnsi="Arial"/>
                <w:b/>
                <w:bCs/>
                <w:i w:val="false"/>
                <w:iCs w:val="false"/>
                <w:color w:val="FFFFFF"/>
                <w:sz w:val="20"/>
                <w:szCs w:val="20"/>
              </w:rPr>
              <w:t xml:space="preserve">Content</w:t>
            </w:r>
          </w:p>
        </w:tc>
      </w:tr>
      <w:tr>
        <w:trPr>
          <w:tblHeader w:val="false"/>
        </w:trP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 Domain Scores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Per-domain bars with score, band, benchmark vs sector peers</w:t>
            </w:r>
          </w:p>
        </w:tc>
      </w:tr>
      <w:tr>
        <w:trPr>
          <w:tblHeader w:val="false"/>
        </w:trP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 Risk Analysis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Risk contribution bars, 3-card matrix (sector multiplier, risk, ALE), 4 qualitative risk scenarios</w:t>
            </w:r>
          </w:p>
        </w:tc>
      </w:tr>
      <w:tr>
        <w:trPr>
          <w:tblHeader w:val="false"/>
        </w:trP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 Cost of Inaction</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ALE formula breakdown, 6 cost cards (ALE, budget, recommended spend, gap, per-employee, ROI)</w:t>
            </w:r>
          </w:p>
        </w:tc>
      </w:tr>
      <w:tr>
        <w:trPr>
          <w:tblHeader w:val="false"/>
        </w:trP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 Frameworks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Framework adherence table with mandatory/recommended/optional tags + Five Eyes panel</w:t>
            </w:r>
          </w:p>
        </w:tc>
      </w:tr>
      <w:tr>
        <w:trPr>
          <w:tblHeader w:val="false"/>
        </w:trP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 Gap Register</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Severity-filtered list (Critical/High/Medium/Low/Five Eyes) — controls, effort, cost, framework mapping</w:t>
            </w:r>
          </w:p>
        </w:tc>
      </w:tr>
      <w:tr>
        <w:trPr>
          <w:tblHeader w:val="false"/>
        </w:trP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 Optimiser</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ROI-ranked action list with before/after score projection, budget and time sliders</w:t>
            </w:r>
          </w:p>
        </w:tc>
      </w:tr>
      <w:tr>
        <w:trPr>
          <w:tblHeader w:val="false"/>
        </w:trP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 Roadmap</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4-phase timeline (0–30d, 1–3mo, 3–6mo, 6–12mo) sequenced by severity</w:t>
            </w:r>
          </w:p>
        </w:tc>
      </w:tr>
      <w:tr>
        <w:trPr>
          <w:tblHeader w:val="false"/>
        </w:trP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 History</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Trend over previous assessments stored in local browser storage</w:t>
            </w:r>
          </w:p>
        </w:tc>
      </w:tr>
    </w:tbl>
    <w:p>
      <w:pPr>
        <w:pStyle w:val="Heading2"/>
        <w:spacing w:after="100" w:before="280"/>
      </w:pPr>
      <w:r>
        <w:rPr>
          <w:rFonts w:ascii="Arial" w:cs="Arial" w:eastAsia="Arial" w:hAnsi="Arial"/>
          <w:b/>
          <w:bCs/>
          <w:color w:val="0B0F1A"/>
          <w:sz w:val="28"/>
          <w:szCs w:val="28"/>
        </w:rPr>
        <w:t xml:space="preserve">4.4 Edit Answers</w:t>
      </w:r>
    </w:p>
    <w:p>
      <w:pPr>
        <w:spacing w:after="60" w:before="60"/>
      </w:pPr>
      <w:r>
        <w:rPr>
          <w:rFonts w:ascii="Arial" w:cs="Arial" w:eastAsia="Arial" w:hAnsi="Arial"/>
          <w:color w:val="374151"/>
          <w:sz w:val="22"/>
          <w:szCs w:val="22"/>
        </w:rPr>
        <w:t xml:space="preserve">The blue "✏ Edit Answers" button in the results header returns to the quiz with all your answers preserved. You can revise any response and regenerate results without starting over.</w:t>
      </w:r>
    </w:p>
    <w:p>
      <w:pPr>
        <w:pStyle w:val="Heading1"/>
        <w:pBdr>
          <w:bottom w:val="single" w:color="00C9FF" w:sz="6" w:space="4"/>
        </w:pBdr>
        <w:spacing w:after="160" w:before="400"/>
      </w:pPr>
      <w:r>
        <w:rPr>
          <w:rFonts w:ascii="Arial" w:cs="Arial" w:eastAsia="Arial" w:hAnsi="Arial"/>
          <w:b/>
          <w:bCs/>
          <w:color w:val="0B0F1A"/>
          <w:sz w:val="36"/>
          <w:szCs w:val="36"/>
        </w:rPr>
        <w:t xml:space="preserve">5. Demo Mode</w:t>
      </w:r>
    </w:p>
    <w:p>
      <w:pPr>
        <w:spacing w:after="60" w:before="60"/>
      </w:pPr>
      <w:r>
        <w:rPr>
          <w:rFonts w:ascii="Arial" w:cs="Arial" w:eastAsia="Arial" w:hAnsi="Arial"/>
          <w:color w:val="374151"/>
          <w:sz w:val="22"/>
          <w:szCs w:val="22"/>
        </w:rPr>
        <w:t xml:space="preserve">Click "▶ Run Demo — See Sample Results" on the welcome screen. This loads pre-built fictional data for Acme Financial Ltd and renders the full results screen immediately. A yellow demo banner confirms fictional data is shown.</w:t>
      </w:r>
    </w:p>
    <w:p>
      <w:pPr>
        <w:spacing w:after="60" w:before="60"/>
      </w:pPr>
      <w:r>
        <w:rPr>
          <w:rFonts w:ascii="Arial" w:cs="Arial" w:eastAsia="Arial" w:hAnsi="Arial"/>
          <w:color w:val="374151"/>
          <w:sz w:val="22"/>
          <w:szCs w:val="22"/>
        </w:rPr>
        <w:t xml:space="preserve">Two buttons in the banner: "Start my assessment →" exits demo and starts your real assessment. "✕ Close demo" returns to the welcome screen.</w:t>
      </w:r>
    </w:p>
    <w:p>
      <w:pPr>
        <w:pBdr>
          <w:left w:val="single" w:color="F59E0B" w:sz="12" w:space="8"/>
        </w:pBdr>
        <w:shd w:fill="F0F9FF" w:val="clear"/>
        <w:spacing w:after="100" w:before="100"/>
        <w:ind w:left="360"/>
      </w:pPr>
      <w:r>
        <w:rPr>
          <w:rFonts w:ascii="Arial" w:cs="Arial" w:eastAsia="Arial" w:hAnsi="Arial"/>
          <w:color w:val="374151"/>
          <w:sz w:val="20"/>
          <w:szCs w:val="20"/>
        </w:rPr>
        <w:t xml:space="preserve">🎭  The demo banner only appears after you click Run Demo. It never shows on a fresh page load.</w:t>
      </w:r>
    </w:p>
    <w:p>
      <w:pPr>
        <w:pStyle w:val="Heading1"/>
        <w:pBdr>
          <w:bottom w:val="single" w:color="00C9FF" w:sz="6" w:space="4"/>
        </w:pBdr>
        <w:spacing w:after="160" w:before="400"/>
      </w:pPr>
      <w:r>
        <w:rPr>
          <w:rFonts w:ascii="Arial" w:cs="Arial" w:eastAsia="Arial" w:hAnsi="Arial"/>
          <w:b/>
          <w:bCs/>
          <w:color w:val="0B0F1A"/>
          <w:sz w:val="36"/>
          <w:szCs w:val="36"/>
        </w:rPr>
        <w:t xml:space="preserve">6. Five Eyes Framework</w:t>
      </w:r>
    </w:p>
    <w:p>
      <w:pPr>
        <w:spacing w:after="60" w:before="60"/>
      </w:pPr>
      <w:r>
        <w:rPr>
          <w:rFonts w:ascii="Arial" w:cs="Arial" w:eastAsia="Arial" w:hAnsi="Arial"/>
          <w:color w:val="374151"/>
          <w:sz w:val="22"/>
          <w:szCs w:val="22"/>
        </w:rPr>
        <w:t xml:space="preserve">On 22 June 2026 the Five Eyes alliance issued a joint cyber resilience advisory. CyberScore Pro scores your organisation against all 11 principles inside the Frameworks tab.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1"/>
              <w:left w:val="single" w:color="D1D5DB" w:sz="1"/>
              <w:bottom w:val="single" w:color="D1D5DB" w:sz="1"/>
              <w:right w:val="single" w:color="D1D5DB" w:sz="1"/>
            </w:tcBorders>
            <w:shd w:fill="0B0F1A" w:val="clear"/>
            <w:tcMar>
              <w:top w:type="dxa" w:w="80"/>
              <w:left w:type="dxa" w:w="120"/>
              <w:bottom w:type="dxa" w:w="80"/>
              <w:right w:type="dxa" w:w="120"/>
            </w:tcMar>
          </w:tcPr>
          <w:p>
            <w:pPr>
              <w:spacing w:after="40" w:before="40"/>
            </w:pPr>
            <w:r>
              <w:rPr>
                <w:rFonts w:ascii="Arial" w:cs="Arial" w:eastAsia="Arial" w:hAnsi="Arial"/>
                <w:b/>
                <w:bCs/>
                <w:i w:val="false"/>
                <w:iCs w:val="false"/>
                <w:color w:val="FFFFFF"/>
                <w:sz w:val="20"/>
                <w:szCs w:val="20"/>
              </w:rPr>
              <w:t xml:space="preserve">Principle</w:t>
            </w:r>
          </w:p>
        </w:tc>
        <w:tc>
          <w:tcPr>
            <w:tcW w:type="dxa" w:w="4680"/>
            <w:tcBorders>
              <w:top w:val="single" w:color="D1D5DB" w:sz="1"/>
              <w:left w:val="single" w:color="D1D5DB" w:sz="1"/>
              <w:bottom w:val="single" w:color="D1D5DB" w:sz="1"/>
              <w:right w:val="single" w:color="D1D5DB" w:sz="1"/>
            </w:tcBorders>
            <w:shd w:fill="0B0F1A" w:val="clear"/>
            <w:tcMar>
              <w:top w:type="dxa" w:w="80"/>
              <w:left w:type="dxa" w:w="120"/>
              <w:bottom w:type="dxa" w:w="80"/>
              <w:right w:type="dxa" w:w="120"/>
            </w:tcMar>
          </w:tcPr>
          <w:p>
            <w:pPr>
              <w:spacing w:after="40" w:before="40"/>
            </w:pPr>
            <w:r>
              <w:rPr>
                <w:rFonts w:ascii="Arial" w:cs="Arial" w:eastAsia="Arial" w:hAnsi="Arial"/>
                <w:b/>
                <w:bCs/>
                <w:i w:val="false"/>
                <w:iCs w:val="false"/>
                <w:color w:val="FFFFFF"/>
                <w:sz w:val="20"/>
                <w:szCs w:val="20"/>
              </w:rPr>
              <w:t xml:space="preserve">Area</w:t>
            </w:r>
          </w:p>
        </w:tc>
      </w:tr>
      <w:tr>
        <w:trPr>
          <w:tblHeader w:val="false"/>
        </w:trP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1. Know your environment</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Asset inventory and network mapping</w:t>
            </w:r>
          </w:p>
        </w:tc>
      </w:tr>
      <w:tr>
        <w:trPr>
          <w:tblHeader w:val="false"/>
        </w:trP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2. Prioritise patching</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Vulnerability management, &lt;7-day critical patch cadence</w:t>
            </w:r>
          </w:p>
        </w:tc>
      </w:tr>
      <w:tr>
        <w:trPr>
          <w:tblHeader w:val="false"/>
        </w:trP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3. Enforce MFA</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FIDO2/phishing-resistant MFA on all accounts</w:t>
            </w:r>
          </w:p>
        </w:tc>
      </w:tr>
      <w:tr>
        <w:trPr>
          <w:tblHeader w:val="false"/>
        </w:trP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4. Secure remote access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VPN, zero trust, RDP hardening</w:t>
            </w:r>
          </w:p>
        </w:tc>
      </w:tr>
      <w:tr>
        <w:trPr>
          <w:tblHeader w:val="false"/>
        </w:trP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5. Segment networks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Lateral movement prevention</w:t>
            </w:r>
          </w:p>
        </w:tc>
      </w:tr>
      <w:tr>
        <w:trPr>
          <w:tblHeader w:val="false"/>
        </w:trP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6. Manage supply chain risk</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Third-party assurance and vendor contracts</w:t>
            </w:r>
          </w:p>
        </w:tc>
      </w:tr>
      <w:tr>
        <w:trPr>
          <w:tblHeader w:val="false"/>
        </w:trP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7. Backup and recover</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3-2-1 backup, RTO/RPO testing</w:t>
            </w:r>
          </w:p>
        </w:tc>
      </w:tr>
      <w:tr>
        <w:trPr>
          <w:tblHeader w:val="false"/>
        </w:trP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8. Log and detect</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SIEM, EDR, anomaly detection</w:t>
            </w:r>
          </w:p>
        </w:tc>
      </w:tr>
      <w:tr>
        <w:trPr>
          <w:tblHeader w:val="false"/>
        </w:trP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9. Plan and rehearse</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IR plan, tabletop exercises</w:t>
            </w:r>
          </w:p>
        </w:tc>
      </w:tr>
      <w:tr>
        <w:trPr>
          <w:tblHeader w:val="false"/>
        </w:trP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10. Secure by design</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Development practices and cloud configuration</w:t>
            </w:r>
          </w:p>
        </w:tc>
      </w:tr>
      <w:tr>
        <w:trPr>
          <w:tblHeader w:val="false"/>
        </w:trP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11. Build cyber culture</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Training, phishing simulation, board engagement</w:t>
            </w:r>
          </w:p>
        </w:tc>
      </w:tr>
    </w:tbl>
    <w:p>
      <w:pPr>
        <w:pStyle w:val="Heading1"/>
        <w:pBdr>
          <w:bottom w:val="single" w:color="00C9FF" w:sz="6" w:space="4"/>
        </w:pBdr>
        <w:spacing w:after="160" w:before="400"/>
      </w:pPr>
      <w:r>
        <w:rPr>
          <w:rFonts w:ascii="Arial" w:cs="Arial" w:eastAsia="Arial" w:hAnsi="Arial"/>
          <w:b/>
          <w:bCs/>
          <w:color w:val="0B0F1A"/>
          <w:sz w:val="36"/>
          <w:szCs w:val="36"/>
        </w:rPr>
        <w:t xml:space="preserve">7. AI Features</w:t>
      </w:r>
    </w:p>
    <w:p>
      <w:pPr>
        <w:spacing w:after="60" w:before="60"/>
      </w:pPr>
      <w:r>
        <w:rPr>
          <w:rFonts w:ascii="Arial" w:cs="Arial" w:eastAsia="Arial" w:hAnsi="Arial"/>
          <w:color w:val="374151"/>
          <w:sz w:val="22"/>
          <w:szCs w:val="22"/>
        </w:rPr>
        <w:t xml:space="preserve">AI features are optional. Two providers are supported: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1D5DB" w:sz="1"/>
              <w:left w:val="single" w:color="D1D5DB" w:sz="1"/>
              <w:bottom w:val="single" w:color="D1D5DB" w:sz="1"/>
              <w:right w:val="single" w:color="D1D5DB" w:sz="1"/>
            </w:tcBorders>
            <w:shd w:fill="0B0F1A" w:val="clear"/>
            <w:tcMar>
              <w:top w:type="dxa" w:w="80"/>
              <w:left w:type="dxa" w:w="120"/>
              <w:bottom w:type="dxa" w:w="80"/>
              <w:right w:type="dxa" w:w="120"/>
            </w:tcMar>
          </w:tcPr>
          <w:p>
            <w:pPr>
              <w:spacing w:after="40" w:before="40"/>
            </w:pPr>
            <w:r>
              <w:rPr>
                <w:rFonts w:ascii="Arial" w:cs="Arial" w:eastAsia="Arial" w:hAnsi="Arial"/>
                <w:b/>
                <w:bCs/>
                <w:i w:val="false"/>
                <w:iCs w:val="false"/>
                <w:color w:val="FFFFFF"/>
                <w:sz w:val="20"/>
                <w:szCs w:val="20"/>
              </w:rPr>
              <w:t xml:space="preserve">Provider</w:t>
            </w:r>
          </w:p>
        </w:tc>
        <w:tc>
          <w:tcPr>
            <w:tcW w:type="dxa" w:w="2340"/>
            <w:tcBorders>
              <w:top w:val="single" w:color="D1D5DB" w:sz="1"/>
              <w:left w:val="single" w:color="D1D5DB" w:sz="1"/>
              <w:bottom w:val="single" w:color="D1D5DB" w:sz="1"/>
              <w:right w:val="single" w:color="D1D5DB" w:sz="1"/>
            </w:tcBorders>
            <w:shd w:fill="0B0F1A" w:val="clear"/>
            <w:tcMar>
              <w:top w:type="dxa" w:w="80"/>
              <w:left w:type="dxa" w:w="120"/>
              <w:bottom w:type="dxa" w:w="80"/>
              <w:right w:type="dxa" w:w="120"/>
            </w:tcMar>
          </w:tcPr>
          <w:p>
            <w:pPr>
              <w:spacing w:after="40" w:before="40"/>
            </w:pPr>
            <w:r>
              <w:rPr>
                <w:rFonts w:ascii="Arial" w:cs="Arial" w:eastAsia="Arial" w:hAnsi="Arial"/>
                <w:b/>
                <w:bCs/>
                <w:i w:val="false"/>
                <w:iCs w:val="false"/>
                <w:color w:val="FFFFFF"/>
                <w:sz w:val="20"/>
                <w:szCs w:val="20"/>
              </w:rPr>
              <w:t xml:space="preserve">Where to enter key</w:t>
            </w:r>
          </w:p>
        </w:tc>
        <w:tc>
          <w:tcPr>
            <w:tcW w:type="dxa" w:w="2340"/>
            <w:tcBorders>
              <w:top w:val="single" w:color="D1D5DB" w:sz="1"/>
              <w:left w:val="single" w:color="D1D5DB" w:sz="1"/>
              <w:bottom w:val="single" w:color="D1D5DB" w:sz="1"/>
              <w:right w:val="single" w:color="D1D5DB" w:sz="1"/>
            </w:tcBorders>
            <w:shd w:fill="0B0F1A" w:val="clear"/>
            <w:tcMar>
              <w:top w:type="dxa" w:w="80"/>
              <w:left w:type="dxa" w:w="120"/>
              <w:bottom w:type="dxa" w:w="80"/>
              <w:right w:type="dxa" w:w="120"/>
            </w:tcMar>
          </w:tcPr>
          <w:p>
            <w:pPr>
              <w:spacing w:after="40" w:before="40"/>
            </w:pPr>
            <w:r>
              <w:rPr>
                <w:rFonts w:ascii="Arial" w:cs="Arial" w:eastAsia="Arial" w:hAnsi="Arial"/>
                <w:b/>
                <w:bCs/>
                <w:i w:val="false"/>
                <w:iCs w:val="false"/>
                <w:color w:val="FFFFFF"/>
                <w:sz w:val="20"/>
                <w:szCs w:val="20"/>
              </w:rPr>
              <w:t xml:space="preserve">Cost estimate</w:t>
            </w:r>
          </w:p>
        </w:tc>
        <w:tc>
          <w:tcPr>
            <w:tcW w:type="dxa" w:w="2340"/>
            <w:tcBorders>
              <w:top w:val="single" w:color="D1D5DB" w:sz="1"/>
              <w:left w:val="single" w:color="D1D5DB" w:sz="1"/>
              <w:bottom w:val="single" w:color="D1D5DB" w:sz="1"/>
              <w:right w:val="single" w:color="D1D5DB" w:sz="1"/>
            </w:tcBorders>
            <w:shd w:fill="0B0F1A" w:val="clear"/>
            <w:tcMar>
              <w:top w:type="dxa" w:w="80"/>
              <w:left w:type="dxa" w:w="120"/>
              <w:bottom w:type="dxa" w:w="80"/>
              <w:right w:type="dxa" w:w="120"/>
            </w:tcMar>
          </w:tcPr>
          <w:p>
            <w:pPr>
              <w:spacing w:after="40" w:before="40"/>
            </w:pPr>
            <w:r>
              <w:rPr>
                <w:rFonts w:ascii="Arial" w:cs="Arial" w:eastAsia="Arial" w:hAnsi="Arial"/>
                <w:b/>
                <w:bCs/>
                <w:i w:val="false"/>
                <w:iCs w:val="false"/>
                <w:color w:val="FFFFFF"/>
                <w:sz w:val="20"/>
                <w:szCs w:val="20"/>
              </w:rPr>
              <w:t xml:space="preserve">Notes</w:t>
            </w:r>
          </w:p>
        </w:tc>
      </w:tr>
      <w:tr>
        <w:trPr>
          <w:tblHeader w:val="false"/>
        </w:trPr>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 Gemini</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My AI Settings card (welcome) or Admin Settings</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~£0.002/session</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Free tier available — recommended for most users</w:t>
            </w:r>
          </w:p>
        </w:tc>
      </w:tr>
      <w:tr>
        <w:trPr>
          <w:tblHeader w:val="false"/>
        </w:trPr>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 Claude (Anthropic)</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My AI Settings card (welcome) or Admin Settings</w:t>
            </w:r>
          </w:p>
        </w:tc>
        <w:tc>
          <w:tcPr>
            <w:tcW w:type="dxa" w:w="23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~£0.004/session</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Premium — higher quality narrative</w:t>
            </w:r>
          </w:p>
        </w:tc>
      </w:tr>
    </w:tbl>
    <w:p>
      <w:pPr>
        <w:spacing w:after="60" w:before="60"/>
      </w:pPr>
      <w:r>
        <w:rPr>
          <w:rFonts w:ascii="Arial" w:cs="Arial" w:eastAsia="Arial" w:hAnsi="Arial"/>
          <w:color w:val="374151"/>
          <w:sz w:val="22"/>
          <w:szCs w:val="22"/>
        </w:rPr>
        <w:t xml:space="preserve">Admin key always takes priority. Your user key (from the welcome screen AI card) is used as fallback. Keys are stored only in your browser localStorage and never committed to the repository.</w:t>
      </w:r>
    </w:p>
    <w:p>
      <w:pPr>
        <w:spacing w:after="60" w:before="60"/>
      </w:pPr>
      <w:r>
        <w:rPr>
          <w:rFonts w:ascii="Arial" w:cs="Arial" w:eastAsia="Arial" w:hAnsi="Arial"/>
          <w:color w:val="374151"/>
          <w:sz w:val="22"/>
          <w:szCs w:val="22"/>
        </w:rPr>
        <w:t xml:space="preserve">With a key active, AI generates: executive summary narrative, gap insights, and board report text. Without a key all core scoring, gaps, frameworks, optimiser, and roadmap features work fully.</w:t>
      </w:r>
    </w:p>
    <w:p>
      <w:pPr>
        <w:pStyle w:val="Heading1"/>
        <w:pBdr>
          <w:bottom w:val="single" w:color="00C9FF" w:sz="6" w:space="4"/>
        </w:pBdr>
        <w:spacing w:after="160" w:before="400"/>
      </w:pPr>
      <w:r>
        <w:rPr>
          <w:rFonts w:ascii="Arial" w:cs="Arial" w:eastAsia="Arial" w:hAnsi="Arial"/>
          <w:b/>
          <w:bCs/>
          <w:color w:val="0B0F1A"/>
          <w:sz w:val="36"/>
          <w:szCs w:val="36"/>
        </w:rPr>
        <w:t xml:space="preserve">8. Settings &amp; Admin</w:t>
      </w:r>
    </w:p>
    <w:p>
      <w:pPr>
        <w:pStyle w:val="Heading2"/>
        <w:spacing w:after="100" w:before="280"/>
      </w:pPr>
      <w:r>
        <w:rPr>
          <w:rFonts w:ascii="Arial" w:cs="Arial" w:eastAsia="Arial" w:hAnsi="Arial"/>
          <w:b/>
          <w:bCs/>
          <w:color w:val="0B0F1A"/>
          <w:sz w:val="28"/>
          <w:szCs w:val="28"/>
        </w:rPr>
        <w:t xml:space="preserve">8.1 My AI Settings (Welcome Screen)</w:t>
      </w:r>
    </w:p>
    <w:p>
      <w:pPr>
        <w:spacing w:after="60" w:before="60"/>
      </w:pPr>
      <w:r>
        <w:rPr>
          <w:rFonts w:ascii="Arial" w:cs="Arial" w:eastAsia="Arial" w:hAnsi="Arial"/>
          <w:color w:val="374151"/>
          <w:sz w:val="22"/>
          <w:szCs w:val="22"/>
        </w:rPr>
        <w:t xml:space="preserve">Collapsible card on the welcome screen. Select Gemini or Claude, paste your API key, click Save. Key is saved to browser storage and auto-enables AI for your session.</w:t>
      </w:r>
    </w:p>
    <w:p>
      <w:pPr>
        <w:pStyle w:val="Heading2"/>
        <w:spacing w:after="100" w:before="280"/>
      </w:pPr>
      <w:r>
        <w:rPr>
          <w:rFonts w:ascii="Arial" w:cs="Arial" w:eastAsia="Arial" w:hAnsi="Arial"/>
          <w:b/>
          <w:bCs/>
          <w:color w:val="0B0F1A"/>
          <w:sz w:val="28"/>
          <w:szCs w:val="28"/>
        </w:rPr>
        <w:t xml:space="preserve">8.2 Admin Settings (Minibar → ⚙ Admin Settings)</w:t>
      </w:r>
    </w:p>
    <w:p>
      <w:pPr>
        <w:spacing w:after="60" w:before="60"/>
      </w:pPr>
      <w:r>
        <w:rPr>
          <w:rFonts w:ascii="Arial" w:cs="Arial" w:eastAsia="Arial" w:hAnsi="Arial"/>
          <w:color w:val="374151"/>
          <w:sz w:val="22"/>
          <w:szCs w:val="22"/>
        </w:rPr>
        <w:t xml:space="preserve">Password-protected panel (default: cyberscore2026, SHA-256 hashed). Five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1"/>
              <w:left w:val="single" w:color="D1D5DB" w:sz="1"/>
              <w:bottom w:val="single" w:color="D1D5DB" w:sz="1"/>
              <w:right w:val="single" w:color="D1D5DB" w:sz="1"/>
            </w:tcBorders>
            <w:shd w:fill="0B0F1A" w:val="clear"/>
            <w:tcMar>
              <w:top w:type="dxa" w:w="80"/>
              <w:left w:type="dxa" w:w="120"/>
              <w:bottom w:type="dxa" w:w="80"/>
              <w:right w:type="dxa" w:w="120"/>
            </w:tcMar>
          </w:tcPr>
          <w:p>
            <w:pPr>
              <w:spacing w:after="40" w:before="40"/>
            </w:pPr>
            <w:r>
              <w:rPr>
                <w:rFonts w:ascii="Arial" w:cs="Arial" w:eastAsia="Arial" w:hAnsi="Arial"/>
                <w:b/>
                <w:bCs/>
                <w:i w:val="false"/>
                <w:iCs w:val="false"/>
                <w:color w:val="FFFFFF"/>
                <w:sz w:val="20"/>
                <w:szCs w:val="20"/>
              </w:rPr>
              <w:t xml:space="preserve">Section</w:t>
            </w:r>
          </w:p>
        </w:tc>
        <w:tc>
          <w:tcPr>
            <w:tcW w:type="dxa" w:w="4680"/>
            <w:tcBorders>
              <w:top w:val="single" w:color="D1D5DB" w:sz="1"/>
              <w:left w:val="single" w:color="D1D5DB" w:sz="1"/>
              <w:bottom w:val="single" w:color="D1D5DB" w:sz="1"/>
              <w:right w:val="single" w:color="D1D5DB" w:sz="1"/>
            </w:tcBorders>
            <w:shd w:fill="0B0F1A" w:val="clear"/>
            <w:tcMar>
              <w:top w:type="dxa" w:w="80"/>
              <w:left w:type="dxa" w:w="120"/>
              <w:bottom w:type="dxa" w:w="80"/>
              <w:right w:type="dxa" w:w="120"/>
            </w:tcMar>
          </w:tcPr>
          <w:p>
            <w:pPr>
              <w:spacing w:after="40" w:before="40"/>
            </w:pPr>
            <w:r>
              <w:rPr>
                <w:rFonts w:ascii="Arial" w:cs="Arial" w:eastAsia="Arial" w:hAnsi="Arial"/>
                <w:b/>
                <w:bCs/>
                <w:i w:val="false"/>
                <w:iCs w:val="false"/>
                <w:color w:val="FFFFFF"/>
                <w:sz w:val="20"/>
                <w:szCs w:val="20"/>
              </w:rPr>
              <w:t xml:space="preserve">Controls</w:t>
            </w:r>
          </w:p>
        </w:tc>
      </w:tr>
      <w:tr>
        <w:trPr>
          <w:tblHeader w:val="false"/>
        </w:trP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1. AI Advisor</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Provider (Gemini/Anthropic), enable toggle, admin API key</w:t>
            </w:r>
          </w:p>
        </w:tc>
      </w:tr>
      <w:tr>
        <w:trPr>
          <w:tblHeader w:val="false"/>
        </w:trP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2. Session Mode</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Demo mode / User mode toggle</w:t>
            </w:r>
          </w:p>
        </w:tc>
      </w:tr>
      <w:tr>
        <w:trPr>
          <w:tblHeader w:val="false"/>
        </w:trP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3. Currency</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GBP (£), EUR (€), USD ($) — converts all monetary displays instantly</w:t>
            </w:r>
          </w:p>
        </w:tc>
      </w:tr>
      <w:tr>
        <w:trPr>
          <w:tblHeader w:val="false"/>
        </w:trP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4. Quick Actions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Run Demo, Return to Welcome, Clear History</w:t>
            </w:r>
          </w:p>
        </w:tc>
      </w:tr>
      <w:tr>
        <w:trPr>
          <w:tblHeader w:val="false"/>
        </w:trP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5. Admin Password</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Set a custom password (stored in localStorage)</w:t>
            </w:r>
          </w:p>
        </w:tc>
      </w:tr>
    </w:tbl>
    <w:p>
      <w:pPr>
        <w:pStyle w:val="Heading1"/>
        <w:pBdr>
          <w:bottom w:val="single" w:color="00C9FF" w:sz="6" w:space="4"/>
        </w:pBdr>
        <w:spacing w:after="160" w:before="400"/>
      </w:pPr>
      <w:r>
        <w:rPr>
          <w:rFonts w:ascii="Arial" w:cs="Arial" w:eastAsia="Arial" w:hAnsi="Arial"/>
          <w:b/>
          <w:bCs/>
          <w:color w:val="0B0F1A"/>
          <w:sz w:val="36"/>
          <w:szCs w:val="36"/>
        </w:rPr>
        <w:t xml:space="preserve">9.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1D5DB" w:sz="1"/>
              <w:left w:val="single" w:color="D1D5DB" w:sz="1"/>
              <w:bottom w:val="single" w:color="D1D5DB" w:sz="1"/>
              <w:right w:val="single" w:color="D1D5DB" w:sz="1"/>
            </w:tcBorders>
            <w:shd w:fill="0B0F1A" w:val="clear"/>
            <w:tcMar>
              <w:top w:type="dxa" w:w="80"/>
              <w:left w:type="dxa" w:w="120"/>
              <w:bottom w:type="dxa" w:w="80"/>
              <w:right w:type="dxa" w:w="120"/>
            </w:tcMar>
          </w:tcPr>
          <w:p>
            <w:pPr>
              <w:spacing w:after="40" w:before="40"/>
            </w:pPr>
            <w:r>
              <w:rPr>
                <w:rFonts w:ascii="Arial" w:cs="Arial" w:eastAsia="Arial" w:hAnsi="Arial"/>
                <w:b/>
                <w:bCs/>
                <w:i w:val="false"/>
                <w:iCs w:val="false"/>
                <w:color w:val="FFFFFF"/>
                <w:sz w:val="20"/>
                <w:szCs w:val="20"/>
              </w:rPr>
              <w:t xml:space="preserve">Version</w:t>
            </w:r>
          </w:p>
        </w:tc>
        <w:tc>
          <w:tcPr>
            <w:tcW w:type="dxa" w:w="3120"/>
            <w:tcBorders>
              <w:top w:val="single" w:color="D1D5DB" w:sz="1"/>
              <w:left w:val="single" w:color="D1D5DB" w:sz="1"/>
              <w:bottom w:val="single" w:color="D1D5DB" w:sz="1"/>
              <w:right w:val="single" w:color="D1D5DB" w:sz="1"/>
            </w:tcBorders>
            <w:shd w:fill="0B0F1A" w:val="clear"/>
            <w:tcMar>
              <w:top w:type="dxa" w:w="80"/>
              <w:left w:type="dxa" w:w="120"/>
              <w:bottom w:type="dxa" w:w="80"/>
              <w:right w:type="dxa" w:w="120"/>
            </w:tcMar>
          </w:tcPr>
          <w:p>
            <w:pPr>
              <w:spacing w:after="40" w:before="40"/>
            </w:pPr>
            <w:r>
              <w:rPr>
                <w:rFonts w:ascii="Arial" w:cs="Arial" w:eastAsia="Arial" w:hAnsi="Arial"/>
                <w:b/>
                <w:bCs/>
                <w:i w:val="false"/>
                <w:iCs w:val="false"/>
                <w:color w:val="FFFFFF"/>
                <w:sz w:val="20"/>
                <w:szCs w:val="20"/>
              </w:rPr>
              <w:t xml:space="preserve">Date</w:t>
            </w:r>
          </w:p>
        </w:tc>
        <w:tc>
          <w:tcPr>
            <w:tcW w:type="dxa" w:w="3120"/>
            <w:tcBorders>
              <w:top w:val="single" w:color="D1D5DB" w:sz="1"/>
              <w:left w:val="single" w:color="D1D5DB" w:sz="1"/>
              <w:bottom w:val="single" w:color="D1D5DB" w:sz="1"/>
              <w:right w:val="single" w:color="D1D5DB" w:sz="1"/>
            </w:tcBorders>
            <w:shd w:fill="0B0F1A" w:val="clear"/>
            <w:tcMar>
              <w:top w:type="dxa" w:w="80"/>
              <w:left w:type="dxa" w:w="120"/>
              <w:bottom w:type="dxa" w:w="80"/>
              <w:right w:type="dxa" w:w="120"/>
            </w:tcMar>
          </w:tcPr>
          <w:p>
            <w:pPr>
              <w:spacing w:after="40" w:before="40"/>
            </w:pPr>
            <w:r>
              <w:rPr>
                <w:rFonts w:ascii="Arial" w:cs="Arial" w:eastAsia="Arial" w:hAnsi="Arial"/>
                <w:b/>
                <w:bCs/>
                <w:i w:val="false"/>
                <w:iCs w:val="false"/>
                <w:color w:val="FFFFFF"/>
                <w:sz w:val="20"/>
                <w:szCs w:val="20"/>
              </w:rPr>
              <w:t xml:space="preserve">What changed</w:t>
            </w:r>
          </w:p>
        </w:tc>
      </w:tr>
      <w:tr>
        <w:trPr>
          <w:tblHeader w:val="false"/>
        </w:trP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v1.0</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15 Jun 2026</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Initial release — frozen baseline</w:t>
            </w:r>
          </w:p>
        </w:tc>
      </w:tr>
      <w:tr>
        <w:trPr>
          <w:tblHeader w:val="false"/>
        </w:trP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v1.1</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15 Jun 2026</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History tab: localStorage save/restore, trend chart, delta strip, comparison, JSON import/export</w:t>
            </w:r>
          </w:p>
        </w:tc>
      </w:tr>
      <w:tr>
        <w:trPr>
          <w:tblHeader w:val="false"/>
        </w:trP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v1.2</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15 Jun 2026</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Toast notification system</w:t>
            </w:r>
          </w:p>
        </w:tc>
      </w:tr>
      <w:tr>
        <w:trPr>
          <w:tblHeader w:val="false"/>
        </w:trP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v1.3</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22 Jun 2026</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Five Eyes AI &amp; Cyber Resilience framework: joint statement 22 Jun 2026</w:t>
            </w:r>
          </w:p>
        </w:tc>
      </w:tr>
      <w:tr>
        <w:trPr>
          <w:tblHeader w:val="false"/>
        </w:trP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v1.4–v1.7</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22 Jun 2026</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Settings panel, admin v2, FAIR scoring, currency conversion, optimiser modes</w:t>
            </w:r>
          </w:p>
        </w:tc>
      </w:tr>
      <w:tr>
        <w:trPr>
          <w:tblHeader w:val="false"/>
        </w:trP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v1.8</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23 Jun 2026</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Browser-tested (Playwright). Fixed: init mode, duplicate setAdminMode(), missing renderTripleScores(), banner ordering. 18/18 tests.</w:t>
            </w:r>
          </w:p>
        </w:tc>
      </w:tr>
      <w:tr>
        <w:trPr>
          <w:tblHeader w:val="false"/>
        </w:trP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v1.9</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23 Jun 2026</w:t>
            </w:r>
          </w:p>
        </w:tc>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b w:val="false"/>
                <w:bCs w:val="false"/>
                <w:i w:val="false"/>
                <w:iCs w:val="false"/>
                <w:color w:val="374151"/>
                <w:sz w:val="20"/>
                <w:szCs w:val="20"/>
              </w:rPr>
              <w:t xml:space="preserve">ESG-style UI (DM Serif Display, domain chips, mode cards, minibar, admin modal, sat gate, edit answers). All 8 render functions implemented. Mode cards launch directly. Encoding fix (UTF-8 BOM + mojibake). 37/37 tests.</w:t>
            </w:r>
          </w:p>
        </w:tc>
      </w:tr>
    </w:tbl>
    <w:p>
      <w:pPr>
        <w:pStyle w:val="Heading1"/>
        <w:pBdr>
          <w:bottom w:val="single" w:color="00C9FF" w:sz="6" w:space="4"/>
        </w:pBdr>
        <w:spacing w:after="160" w:before="400"/>
      </w:pPr>
      <w:r>
        <w:rPr>
          <w:rFonts w:ascii="Arial" w:cs="Arial" w:eastAsia="Arial" w:hAnsi="Arial"/>
          <w:b/>
          <w:bCs/>
          <w:color w:val="0B0F1A"/>
          <w:sz w:val="36"/>
          <w:szCs w:val="36"/>
        </w:rPr>
        <w:t xml:space="preserve">10. Deployment</w:t>
      </w:r>
    </w:p>
    <w:p>
      <w:pPr>
        <w:spacing w:after="60" w:before="60"/>
      </w:pPr>
      <w:r>
        <w:rPr>
          <w:rFonts w:ascii="Arial" w:cs="Arial" w:eastAsia="Arial" w:hAnsi="Arial"/>
          <w:color w:val="374151"/>
          <w:sz w:val="22"/>
          <w:szCs w:val="22"/>
        </w:rPr>
        <w:t xml:space="preserve">CyberScore Pro is deployed as a single HTML file:</w:t>
      </w:r>
    </w:p>
    <w:p>
      <w:pPr>
        <w:pStyle w:val="ListParagraph"/>
        <w:numPr>
          <w:ilvl w:val="0"/>
          <w:numId w:val="3"/>
        </w:numPr>
        <w:spacing w:after="40" w:before="40"/>
      </w:pPr>
      <w:r>
        <w:rPr>
          <w:rFonts w:ascii="Arial" w:cs="Arial" w:eastAsia="Arial" w:hAnsi="Arial"/>
          <w:color w:val="374151"/>
          <w:sz w:val="22"/>
          <w:szCs w:val="22"/>
        </w:rPr>
        <w:t xml:space="preserve">Push index.html to the root of a public GitHub repository</w:t>
      </w:r>
    </w:p>
    <w:p>
      <w:pPr>
        <w:pStyle w:val="ListParagraph"/>
        <w:numPr>
          <w:ilvl w:val="0"/>
          <w:numId w:val="3"/>
        </w:numPr>
        <w:spacing w:after="40" w:before="40"/>
      </w:pPr>
      <w:r>
        <w:rPr>
          <w:rFonts w:ascii="Arial" w:cs="Arial" w:eastAsia="Arial" w:hAnsi="Arial"/>
          <w:color w:val="374151"/>
          <w:sz w:val="22"/>
          <w:szCs w:val="22"/>
        </w:rPr>
        <w:t xml:space="preserve">Enable GitHub Pages: Settings → Pages → Source: main / root</w:t>
      </w:r>
    </w:p>
    <w:p>
      <w:pPr>
        <w:pStyle w:val="ListParagraph"/>
        <w:numPr>
          <w:ilvl w:val="0"/>
          <w:numId w:val="3"/>
        </w:numPr>
        <w:spacing w:after="40" w:before="40"/>
      </w:pPr>
      <w:r>
        <w:rPr>
          <w:rFonts w:ascii="Arial" w:cs="Arial" w:eastAsia="Arial" w:hAnsi="Arial"/>
          <w:color w:val="374151"/>
          <w:sz w:val="22"/>
          <w:szCs w:val="22"/>
        </w:rPr>
        <w:t xml:space="preserve">Access at: rags1816.github.io/cyber/</w:t>
      </w:r>
    </w:p>
    <w:p>
      <w:pPr>
        <w:pBdr>
          <w:left w:val="single" w:color="EF4444" w:sz="12" w:space="8"/>
        </w:pBdr>
        <w:shd w:fill="FEF2F2" w:val="clear"/>
        <w:spacing w:after="100" w:before="100"/>
        <w:ind w:left="360"/>
      </w:pPr>
      <w:r>
        <w:rPr>
          <w:rFonts w:ascii="Arial" w:cs="Arial" w:eastAsia="Arial" w:hAnsi="Arial"/>
          <w:color w:val="7F1D1D"/>
          <w:sz w:val="20"/>
          <w:szCs w:val="20"/>
        </w:rPr>
        <w:t xml:space="preserve">⚠  Never commit API keys to the repository. Keys must only be entered at runtime via the My AI Settings card or Admin Settings panel.</w:t>
      </w:r>
    </w:p>
    <w:p>
      <w:pPr>
        <w:spacing w:after="0" w:before="0"/>
      </w:pPr>
      <w:r>
        <w:t xml:space="preserve"/>
      </w:r>
    </w:p>
    <w:p>
      <w:pPr>
        <w:pBdr>
          <w:left w:val="single" w:color="10B981" w:sz="12" w:space="8"/>
        </w:pBdr>
        <w:shd w:fill="ECFDF5" w:val="clear"/>
        <w:spacing w:after="100" w:before="100"/>
        <w:ind w:left="360"/>
      </w:pPr>
      <w:r>
        <w:rPr>
          <w:rFonts w:ascii="Arial" w:cs="Arial" w:eastAsia="Arial" w:hAnsi="Arial"/>
          <w:color w:val="064E3B"/>
          <w:sz w:val="20"/>
          <w:szCs w:val="20"/>
        </w:rPr>
        <w:t xml:space="preserve">✅  37/37 browser tests pass on Playwright headless Chromium across desktop (1280×800) and mobile (375×812).</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2"/>
      </w:pBdr>
      <w:jc w:val="center"/>
    </w:pPr>
    <w:r>
      <w:rPr>
        <w:rFonts w:ascii="Arial" w:cs="Arial" w:eastAsia="Arial" w:hAnsi="Arial"/>
        <w:b w:val="false"/>
        <w:bCs w:val="false"/>
        <w:i w:val="false"/>
        <w:iCs w:val="false"/>
        <w:color w:val="9CA3AF"/>
        <w:sz w:val="16"/>
        <w:szCs w:val="16"/>
      </w:rPr>
      <w:t xml:space="preserve">© 2026 CyberScore Pro    </w:t>
    </w:r>
    <w:r>
      <w:rPr>
        <w:rFonts w:ascii="Arial" w:cs="Arial" w:eastAsia="Arial" w:hAnsi="Arial"/>
        <w:b w:val="false"/>
        <w:bCs w:val="false"/>
        <w:i w:val="false"/>
        <w:iCs w:val="false"/>
        <w:color w:val="9CA3AF"/>
        <w:sz w:val="16"/>
        <w:szCs w:val="16"/>
      </w:rPr>
      <w:t xml:space="preserve">Page </w:t>
    </w:r>
    <w:r>
      <w:rPr>
        <w:rFonts w:ascii="Arial" w:cs="Arial" w:eastAsia="Arial" w:hAnsi="Arial"/>
        <w:color w:val="9CA3AF"/>
        <w:sz w:val="16"/>
        <w:szCs w:val="16"/>
      </w:rPr>
      <w:fldChar w:fldCharType="begin"/>
      <w:instrText xml:space="preserve">PAGE</w:instrText>
      <w:fldChar w:fldCharType="separate"/>
      <w:fldChar w:fldCharType="end"/>
    </w:r>
    <w:r>
      <w:rPr>
        <w:rFonts w:ascii="Arial" w:cs="Arial" w:eastAsia="Arial" w:hAnsi="Arial"/>
        <w:b w:val="false"/>
        <w:bCs w:val="false"/>
        <w:i w:val="false"/>
        <w:iCs w:val="false"/>
        <w:color w:val="9CA3AF"/>
        <w:sz w:val="16"/>
        <w:szCs w:val="16"/>
      </w:rPr>
      <w:t xml:space="preserve"> of </w:t>
    </w:r>
    <w:r>
      <w:rPr>
        <w:rFonts w:ascii="Arial" w:cs="Arial" w:eastAsia="Arial" w:hAnsi="Arial"/>
        <w:color w:val="9CA3AF"/>
        <w:sz w:val="16"/>
        <w:szCs w:val="16"/>
      </w:rPr>
      <w:fldChar w:fldCharType="begin"/>
      <w:instrText xml:space="preserve">NUMPAGES</w:instrText>
      <w:fldChar w:fldCharType="separate"/>
      <w:fldChar w:fldCharType="end"/>
    </w:r>
    <w:r>
      <w:rPr>
        <w:rFonts w:ascii="Arial" w:cs="Arial" w:eastAsia="Arial" w:hAnsi="Arial"/>
        <w:b w:val="false"/>
        <w:bCs w:val="false"/>
        <w:i w:val="false"/>
        <w:iCs w:val="false"/>
        <w:color w:val="9CA3AF"/>
        <w:sz w:val="16"/>
        <w:szCs w:val="16"/>
      </w:rPr>
      <w:t xml:space="preserve">    rags1816.github.io/cyber/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C9FF" w:sz="4" w:space="2"/>
      </w:pBdr>
    </w:pPr>
    <w:r>
      <w:rPr>
        <w:rFonts w:ascii="Arial" w:cs="Arial" w:eastAsia="Arial" w:hAnsi="Arial"/>
        <w:b w:val="false"/>
        <w:bCs w:val="false"/>
        <w:i w:val="false"/>
        <w:iCs w:val="false"/>
        <w:color w:val="9CA3AF"/>
        <w:sz w:val="18"/>
        <w:szCs w:val="18"/>
      </w:rPr>
      <w:t xml:space="preserve">CyberScore Pro  |  </w:t>
    </w:r>
    <w:r>
      <w:rPr>
        <w:rFonts w:ascii="Arial" w:cs="Arial" w:eastAsia="Arial" w:hAnsi="Arial"/>
        <w:b/>
        <w:bCs/>
        <w:i w:val="false"/>
        <w:iCs w:val="false"/>
        <w:color w:val="0B0F1A"/>
        <w:sz w:val="18"/>
        <w:szCs w:val="18"/>
      </w:rPr>
      <w:t xml:space="preserve">Complete User Guide</w:t>
    </w:r>
    <w:r>
      <w:rPr>
        <w:rFonts w:ascii="Arial" w:cs="Arial" w:eastAsia="Arial" w:hAnsi="Arial"/>
        <w:b w:val="false"/>
        <w:bCs w:val="false"/>
        <w:i w:val="false"/>
        <w:iCs w:val="false"/>
        <w:color w:val="9CA3AF"/>
        <w:sz w:val="18"/>
        <w:szCs w:val="18"/>
      </w:rPr>
      <w:t xml:space="preserve">  |  v1.9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B0F1A"/>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0B0F1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2026-06-23T22:49:55.573Z</dcterms:created>
  <dcterms:modified xsi:type="dcterms:W3CDTF">2026-06-23T22:49:55.586Z</dcterms:modified>
</cp:coreProperties>
</file>

<file path=docProps/custom.xml><?xml version="1.0" encoding="utf-8"?>
<Properties xmlns="http://schemas.openxmlformats.org/officeDocument/2006/custom-properties" xmlns:vt="http://schemas.openxmlformats.org/officeDocument/2006/docPropsVTypes"/>
</file>