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80" w:before="0"/>
      </w:pPr>
      <w:r>
        <w:rPr>
          <w:rFonts w:ascii="Arial" w:cs="Arial" w:eastAsia="Arial" w:hAnsi="Arial"/>
          <w:b/>
          <w:bCs/>
          <w:i w:val="false"/>
          <w:iCs w:val="false"/>
          <w:color w:val="0B0F1A"/>
          <w:sz w:val="40"/>
          <w:szCs w:val="40"/>
        </w:rPr>
        <w:t xml:space="preserve">🛡 CyberScore Pro — Step-by-Step Assessment Guide</w:t>
      </w:r>
    </w:p>
    <w:p>
      <w:pPr>
        <w:spacing w:after="200" w:before="0"/>
      </w:pPr>
      <w:r>
        <w:rPr>
          <w:rFonts w:ascii="Arial" w:cs="Arial" w:eastAsia="Arial" w:hAnsi="Arial"/>
          <w:b w:val="false"/>
          <w:bCs w:val="false"/>
          <w:i w:val="false"/>
          <w:iCs w:val="false"/>
          <w:color w:val="6B7280"/>
          <w:sz w:val="20"/>
          <w:szCs w:val="20"/>
        </w:rPr>
        <w:t xml:space="preserve">v1.8  •  June 2026  •  rags1816.github.io/cyber/</w:t>
      </w:r>
    </w:p>
    <w:p>
      <w:pPr>
        <w:pBdr>
          <w:left w:val="single" w:color="00C9FF" w:sz="12" w:space="8"/>
        </w:pBdr>
        <w:shd w:fill="F0F9FF" w:val="clear"/>
        <w:spacing w:after="100" w:before="100"/>
        <w:ind w:left="360"/>
      </w:pPr>
      <w:r>
        <w:rPr>
          <w:rFonts w:ascii="Arial" w:cs="Arial" w:eastAsia="Arial" w:hAnsi="Arial"/>
          <w:b w:val="false"/>
          <w:bCs w:val="false"/>
          <w:i w:val="false"/>
          <w:iCs w:val="false"/>
          <w:color w:val="374151"/>
          <w:sz w:val="20"/>
          <w:szCs w:val="20"/>
        </w:rPr>
        <w:t xml:space="preserve">ℹ  This guide walks you through a complete assessment from opening the tool to interpreting your results. Estimated time: 8–20 minutes depending on assessment mode.</w:t>
      </w:r>
    </w:p>
    <w:p>
      <w:pPr>
        <w:pStyle w:val="Heading1"/>
        <w:pBdr>
          <w:bottom w:val="single" w:color="00C9FF" w:sz="6" w:space="4"/>
        </w:pBdr>
        <w:spacing w:after="160" w:before="400"/>
      </w:pPr>
      <w:r>
        <w:rPr>
          <w:rFonts w:ascii="Arial" w:cs="Arial" w:eastAsia="Arial" w:hAnsi="Arial"/>
          <w:b/>
          <w:bCs/>
          <w:color w:val="0B0F1A"/>
          <w:sz w:val="36"/>
          <w:szCs w:val="36"/>
        </w:rPr>
        <w:t xml:space="preserve">Before You Start</w:t>
      </w:r>
    </w:p>
    <w:p>
      <w:pPr>
        <w:spacing w:after="60" w:before="60"/>
        <w:jc w:val="left"/>
      </w:pPr>
      <w:r>
        <w:rPr>
          <w:rFonts w:ascii="Arial" w:cs="Arial" w:eastAsia="Arial" w:hAnsi="Arial"/>
          <w:b w:val="false"/>
          <w:bCs w:val="false"/>
          <w:i w:val="false"/>
          <w:iCs w:val="false"/>
          <w:color w:val="374151"/>
          <w:sz w:val="22"/>
          <w:szCs w:val="22"/>
        </w:rPr>
        <w:t xml:space="preserve">Have the following to hand:</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Your organisation's approximate annual revenue (used for Cost of Inaction modelling)</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Your approximate security budget for the current year</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A rough sense of which certifications you are targeting (ISO 27001, Cyber Essentials, etc.)</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15 minutes of focused time — answers based on genuine reflection will produce more useful results</w:t>
      </w:r>
    </w:p>
    <w:p>
      <w:pPr>
        <w:pStyle w:val="Heading1"/>
        <w:pBdr>
          <w:bottom w:val="single" w:color="00C9FF" w:sz="6" w:space="4"/>
        </w:pBdr>
        <w:spacing w:after="160" w:before="400"/>
      </w:pPr>
      <w:r>
        <w:rPr>
          <w:rFonts w:ascii="Arial" w:cs="Arial" w:eastAsia="Arial" w:hAnsi="Arial"/>
          <w:b/>
          <w:bCs/>
          <w:color w:val="0B0F1A"/>
          <w:sz w:val="36"/>
          <w:szCs w:val="36"/>
        </w:rPr>
        <w:t xml:space="preserve">Step 1 — Open the Tool</w:t>
      </w:r>
    </w:p>
    <w:p>
      <w:pPr>
        <w:spacing w:after="60" w:before="60"/>
        <w:jc w:val="left"/>
      </w:pPr>
      <w:r>
        <w:rPr>
          <w:rFonts w:ascii="Arial" w:cs="Arial" w:eastAsia="Arial" w:hAnsi="Arial"/>
          <w:b w:val="false"/>
          <w:bCs w:val="false"/>
          <w:i w:val="false"/>
          <w:iCs w:val="false"/>
          <w:color w:val="374151"/>
          <w:sz w:val="22"/>
          <w:szCs w:val="22"/>
        </w:rPr>
        <w:t xml:space="preserve">Navigate to rags1816.github.io/cyber/ in your browser. You will see:</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The welcome screen with the CyberScore Pro logo and two buttons</w:t>
      </w:r>
    </w:p>
    <w:p>
      <w:pPr>
        <w:pStyle w:val="ListParagraph"/>
        <w:numPr>
          <w:ilvl w:val="0"/>
          <w:numId w:val="2"/>
        </w:numPr>
        <w:spacing w:after="40" w:before="40"/>
      </w:pPr>
      <w:r>
        <w:rPr>
          <w:rFonts w:ascii="Arial" w:cs="Arial" w:eastAsia="Arial" w:hAnsi="Arial"/>
          <w:b w:val="false"/>
          <w:bCs w:val="false"/>
          <w:i w:val="false"/>
          <w:iCs w:val="false"/>
          <w:color w:val="374151"/>
          <w:sz w:val="22"/>
          <w:szCs w:val="22"/>
        </w:rPr>
        <w:t xml:space="preserve">No banners, no pop-ups, no demo data — a clean starting state</w:t>
      </w:r>
    </w:p>
    <w:p>
      <w:pPr>
        <w:pBdr>
          <w:left w:val="single" w:color="EF4444" w:sz="12" w:space="8"/>
        </w:pBdr>
        <w:shd w:fill="FEF2F2" w:val="clear"/>
        <w:spacing w:after="100" w:before="100"/>
        <w:ind w:left="360"/>
      </w:pPr>
      <w:r>
        <w:rPr>
          <w:rFonts w:ascii="Arial" w:cs="Arial" w:eastAsia="Arial" w:hAnsi="Arial"/>
          <w:b w:val="false"/>
          <w:bCs w:val="false"/>
          <w:i w:val="false"/>
          <w:iCs w:val="false"/>
          <w:color w:val="7F1D1D"/>
          <w:sz w:val="20"/>
          <w:szCs w:val="20"/>
        </w:rPr>
        <w:t xml:space="preserve">⚠  If you see a yellow "Demo mode" banner on the welcome screen, you may have a browser with a saved csp_adm_mode=demo in localStorage. Open the page in a private/incognito window for a clean start.</w:t>
      </w:r>
    </w:p>
    <w:p>
      <w:pPr>
        <w:pBdr>
          <w:left w:val="single" w:color="10B981" w:sz="12" w:space="8"/>
        </w:pBdr>
        <w:shd w:fill="F0F9FF" w:val="clear"/>
        <w:spacing w:after="100" w:before="100"/>
        <w:ind w:left="360"/>
      </w:pPr>
      <w:r>
        <w:rPr>
          <w:rFonts w:ascii="Arial" w:cs="Arial" w:eastAsia="Arial" w:hAnsi="Arial"/>
          <w:b w:val="false"/>
          <w:bCs w:val="false"/>
          <w:i w:val="false"/>
          <w:iCs w:val="false"/>
          <w:color w:val="374151"/>
          <w:sz w:val="20"/>
          <w:szCs w:val="20"/>
        </w:rPr>
        <w:t xml:space="preserve">✅  v1.8 note: This banner-on-load behaviour was a bug in earlier versions and is now fixed. Fresh loads always start in User mode.</w:t>
      </w:r>
    </w:p>
    <w:p>
      <w:pPr>
        <w:pStyle w:val="Heading1"/>
        <w:pBdr>
          <w:bottom w:val="single" w:color="00C9FF" w:sz="6" w:space="4"/>
        </w:pBdr>
        <w:spacing w:after="160" w:before="400"/>
      </w:pPr>
      <w:r>
        <w:rPr>
          <w:rFonts w:ascii="Arial" w:cs="Arial" w:eastAsia="Arial" w:hAnsi="Arial"/>
          <w:b/>
          <w:bCs/>
          <w:color w:val="0B0F1A"/>
          <w:sz w:val="36"/>
          <w:szCs w:val="36"/>
        </w:rPr>
        <w:t xml:space="preserve">Step 2 — Choose Your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Option</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Button</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Use when</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Your own assessment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"Start my assessment →"</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You want real results for your organisation</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Explore the demo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"See how it works (demo) →"</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You want to see outputs before committing data</w:t>
            </w:r>
          </w:p>
        </w:tc>
      </w:tr>
    </w:tbl>
    <w:p>
      <w:pPr>
        <w:spacing w:after="60" w:before="60"/>
        <w:jc w:val="left"/>
      </w:pPr>
      <w:r>
        <w:rPr>
          <w:rFonts w:ascii="Arial" w:cs="Arial" w:eastAsia="Arial" w:hAnsi="Arial"/>
          <w:b w:val="false"/>
          <w:bCs w:val="false"/>
          <w:i w:val="false"/>
          <w:iCs w:val="false"/>
          <w:color w:val="374151"/>
          <w:sz w:val="22"/>
          <w:szCs w:val="22"/>
        </w:rPr>
        <w:t xml:space="preserve">This guide follows the real assessment path. See the Complete Guide for demo mode details.</w:t>
      </w:r>
    </w:p>
    <w:p>
      <w:pPr>
        <w:pStyle w:val="Heading1"/>
        <w:pBdr>
          <w:bottom w:val="single" w:color="00C9FF" w:sz="6" w:space="4"/>
        </w:pBdr>
        <w:spacing w:after="160" w:before="400"/>
      </w:pPr>
      <w:r>
        <w:rPr>
          <w:rFonts w:ascii="Arial" w:cs="Arial" w:eastAsia="Arial" w:hAnsi="Arial"/>
          <w:b/>
          <w:bCs/>
          <w:color w:val="0B0F1A"/>
          <w:sz w:val="36"/>
          <w:szCs w:val="36"/>
        </w:rPr>
        <w:t xml:space="preserve">Step 3 — Context Form</w:t>
      </w:r>
    </w:p>
    <w:p>
      <w:pPr>
        <w:spacing w:after="60" w:before="60"/>
        <w:jc w:val="left"/>
      </w:pPr>
      <w:r>
        <w:rPr>
          <w:rFonts w:ascii="Arial" w:cs="Arial" w:eastAsia="Arial" w:hAnsi="Arial"/>
          <w:b w:val="false"/>
          <w:bCs w:val="false"/>
          <w:i w:val="false"/>
          <w:iCs w:val="false"/>
          <w:color w:val="374151"/>
          <w:sz w:val="22"/>
          <w:szCs w:val="22"/>
        </w:rPr>
        <w:t xml:space="preserve">Fill in your organisation details. All fields are used in calculations — more accurate inputs produce more relevant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Field</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Tips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Organisation name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Used in the board report and PDF export header</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Contact name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Named in the executive summary</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Sector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Choose the closest match — this sets your sector risk multiplier</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Primary region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Drives regulatory framework selection (UK, EU, USA, AUS, NZ, Global)</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Secondary jurisdictions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Add extras if you operate across borders (e.g. add EU for GDPR if UK-based)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Organisation size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Micro (&lt;10), Small (10–49), SME (50–249), Mid-market (250–999), Enterprise (1000+)</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Annual revenue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Approximate is fine — used only for cost modelling, never transmitted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Security budget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Current year total — used to identify budget gaps in recommendations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Risk appetite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Low / Medium / High — affects how recommendations are prioritised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Target certification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ISO 27001, Cyber Essentials Plus, SOC 2, NIST CSF, or None</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Optimisation mode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Risk-first (highest impact), Cost-first (lowest cost), Quick wins (&lt;1 month)</w:t>
            </w:r>
          </w:p>
        </w:tc>
      </w:tr>
    </w:tbl>
    <w:p>
      <w:pPr>
        <w:spacing w:after="60" w:before="60"/>
        <w:jc w:val="left"/>
      </w:pPr>
      <w:r>
        <w:rPr>
          <w:rFonts w:ascii="Arial" w:cs="Arial" w:eastAsia="Arial" w:hAnsi="Arial"/>
          <w:b w:val="false"/>
          <w:bCs w:val="false"/>
          <w:i w:val="false"/>
          <w:iCs w:val="false"/>
          <w:color w:val="374151"/>
          <w:sz w:val="22"/>
          <w:szCs w:val="22"/>
        </w:rPr>
        <w:t xml:space="preserve">Click "Start Assessment →" when complete.</w:t>
      </w:r>
    </w:p>
    <w:p>
      <w:pPr>
        <w:pStyle w:val="Heading1"/>
        <w:pBdr>
          <w:bottom w:val="single" w:color="00C9FF" w:sz="6" w:space="4"/>
        </w:pBdr>
        <w:spacing w:after="160" w:before="400"/>
      </w:pPr>
      <w:r>
        <w:rPr>
          <w:rFonts w:ascii="Arial" w:cs="Arial" w:eastAsia="Arial" w:hAnsi="Arial"/>
          <w:b/>
          <w:bCs/>
          <w:color w:val="0B0F1A"/>
          <w:sz w:val="36"/>
          <w:szCs w:val="36"/>
        </w:rPr>
        <w:t xml:space="preserve">Step 4 — Choose Assessment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Mode</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Questions</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Time</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Best for</w:t>
            </w:r>
          </w:p>
        </w:tc>
      </w:tr>
      <w:tr>
        <w:trPr>
          <w:tblHeader w:val="false"/>
        </w:trP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Quick Assessment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28 (3–4 per domain)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~8 mins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First-time users, rapid health check, board preparation</w:t>
            </w:r>
          </w:p>
        </w:tc>
      </w:tr>
      <w:tr>
        <w:trPr>
          <w:tblHeader w:val="false"/>
        </w:trP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Deep Assessment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45+ (all domains fully explored)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~20 mins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Detailed gap analysis, certification preparation, annual review</w:t>
            </w:r>
          </w:p>
        </w:tc>
      </w:tr>
    </w:tbl>
    <w:p>
      <w:pPr>
        <w:pBdr>
          <w:left w:val="single" w:color="00C9FF" w:sz="12" w:space="8"/>
        </w:pBdr>
        <w:shd w:fill="F0F9FF" w:val="clear"/>
        <w:spacing w:after="100" w:before="100"/>
        <w:ind w:left="360"/>
      </w:pPr>
      <w:r>
        <w:rPr>
          <w:rFonts w:ascii="Arial" w:cs="Arial" w:eastAsia="Arial" w:hAnsi="Arial"/>
          <w:b w:val="false"/>
          <w:bCs w:val="false"/>
          <w:i w:val="false"/>
          <w:iCs w:val="false"/>
          <w:color w:val="374151"/>
          <w:sz w:val="20"/>
          <w:szCs w:val="20"/>
        </w:rPr>
        <w:t xml:space="preserve">ℹ  We recommend Quick Assessment for your first run. You can return for a Deep Assessment to drill into specific areas once you have seen the output format.</w:t>
      </w:r>
    </w:p>
    <w:p>
      <w:pPr>
        <w:pStyle w:val="Heading1"/>
        <w:pBdr>
          <w:bottom w:val="single" w:color="00C9FF" w:sz="6" w:space="4"/>
        </w:pBdr>
        <w:spacing w:after="160" w:before="400"/>
      </w:pPr>
      <w:r>
        <w:rPr>
          <w:rFonts w:ascii="Arial" w:cs="Arial" w:eastAsia="Arial" w:hAnsi="Arial"/>
          <w:b/>
          <w:bCs/>
          <w:color w:val="0B0F1A"/>
          <w:sz w:val="36"/>
          <w:szCs w:val="36"/>
        </w:rPr>
        <w:t xml:space="preserve">Step 5 — Answer the Domain Questions</w:t>
      </w:r>
    </w:p>
    <w:p>
      <w:pPr>
        <w:spacing w:after="60" w:before="60"/>
        <w:jc w:val="left"/>
      </w:pPr>
      <w:r>
        <w:rPr>
          <w:rFonts w:ascii="Arial" w:cs="Arial" w:eastAsia="Arial" w:hAnsi="Arial"/>
          <w:b w:val="false"/>
          <w:bCs w:val="false"/>
          <w:i w:val="false"/>
          <w:iCs w:val="false"/>
          <w:color w:val="374151"/>
          <w:sz w:val="22"/>
          <w:szCs w:val="22"/>
        </w:rPr>
        <w:t xml:space="preserve">Eight domains are assessed in sequence. For each question, select the score that most honestly reflects your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Score</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Meaning</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1</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Not implemented — we have not addressed this area</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2</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Planned — we have discussed this but not yet implemented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3</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Partially implemented — some controls exist but with significant gaps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4</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Largely implemented — controls in place with minor gaps or inconsistencies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Fully implemented and tested — controls are documented, deployed, and regularly verified</w:t>
            </w:r>
          </w:p>
        </w:tc>
      </w:tr>
    </w:tbl>
    <w:p>
      <w:pPr>
        <w:spacing w:after="60" w:before="60"/>
        <w:jc w:val="left"/>
      </w:pPr>
      <w:r>
        <w:rPr>
          <w:rFonts w:ascii="Arial" w:cs="Arial" w:eastAsia="Arial" w:hAnsi="Arial"/>
          <w:b w:val="false"/>
          <w:bCs w:val="false"/>
          <w:i w:val="false"/>
          <w:iCs w:val="false"/>
          <w:color w:val="374151"/>
          <w:sz w:val="22"/>
          <w:szCs w:val="22"/>
        </w:rPr>
        <w:t xml:space="preserve">Score honestly. Overestimating your maturity will produce an optimistic CyberScore that underestimates your real exposure.</w:t>
      </w:r>
    </w:p>
    <w:p>
      <w:pPr>
        <w:spacing w:after="0" w:before="0"/>
      </w:pPr>
      <w:r>
        <w:t xml:space="preserve"/>
      </w:r>
    </w:p>
    <w:p>
      <w:pPr>
        <w:spacing w:after="60" w:before="60"/>
        <w:jc w:val="left"/>
      </w:pPr>
      <w:r>
        <w:rPr>
          <w:rFonts w:ascii="Arial" w:cs="Arial" w:eastAsia="Arial" w:hAnsi="Arial"/>
          <w:b w:val="false"/>
          <w:bCs w:val="false"/>
          <w:i w:val="false"/>
          <w:iCs w:val="false"/>
          <w:color w:val="374151"/>
          <w:sz w:val="22"/>
          <w:szCs w:val="22"/>
        </w:rPr>
        <w:t xml:space="preserve">Domain sequence:</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 Identity &amp; Access Management — authentication, MFA, privileged access</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 Detection &amp; Response — SIEM, EDR, incident response</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 Network Security — firewalls, segmentation, DNS filtering</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 Cloud &amp; Infrastructure — cloud config, patching, asset inventory</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 Data Protection — encryption, DLP, backup</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 Governance &amp; Risk — policy, board oversight, audit</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 People &amp; Awareness — training, phishing simulation</w:t>
      </w:r>
    </w:p>
    <w:p>
      <w:pPr>
        <w:pStyle w:val="ListParagraph"/>
        <w:numPr>
          <w:ilvl w:val="0"/>
          <w:numId w:val="3"/>
        </w:numPr>
        <w:spacing w:after="40" w:before="40"/>
      </w:pPr>
      <w:r>
        <w:rPr>
          <w:rFonts w:ascii="Arial" w:cs="Arial" w:eastAsia="Arial" w:hAnsi="Arial"/>
          <w:b w:val="false"/>
          <w:bCs w:val="false"/>
          <w:i w:val="false"/>
          <w:iCs w:val="false"/>
          <w:color w:val="374151"/>
          <w:sz w:val="22"/>
          <w:szCs w:val="22"/>
        </w:rPr>
        <w:t xml:space="preserve">🔗 Supply Chain — vendor risk, third-party assurance</w:t>
      </w:r>
    </w:p>
    <w:p>
      <w:pPr>
        <w:spacing w:after="60" w:before="60"/>
        <w:jc w:val="left"/>
      </w:pPr>
      <w:r>
        <w:rPr>
          <w:rFonts w:ascii="Arial" w:cs="Arial" w:eastAsia="Arial" w:hAnsi="Arial"/>
          <w:b w:val="false"/>
          <w:bCs w:val="false"/>
          <w:i w:val="false"/>
          <w:iCs w:val="false"/>
          <w:color w:val="374151"/>
          <w:sz w:val="22"/>
          <w:szCs w:val="22"/>
        </w:rPr>
        <w:t xml:space="preserve">Use the domain navigation bar at the top to jump between domains, or use the Previous / Next Domain buttons at the bottom.</w:t>
      </w:r>
    </w:p>
    <w:p>
      <w:pPr>
        <w:pStyle w:val="Heading1"/>
        <w:pBdr>
          <w:bottom w:val="single" w:color="00C9FF" w:sz="6" w:space="4"/>
        </w:pBdr>
        <w:spacing w:after="160" w:before="400"/>
      </w:pPr>
      <w:r>
        <w:rPr>
          <w:rFonts w:ascii="Arial" w:cs="Arial" w:eastAsia="Arial" w:hAnsi="Arial"/>
          <w:b/>
          <w:bCs/>
          <w:color w:val="0B0F1A"/>
          <w:sz w:val="36"/>
          <w:szCs w:val="36"/>
        </w:rPr>
        <w:t xml:space="preserve">Step 6 — Review Your Results</w:t>
      </w:r>
    </w:p>
    <w:p>
      <w:pPr>
        <w:spacing w:after="60" w:before="60"/>
        <w:jc w:val="left"/>
      </w:pPr>
      <w:r>
        <w:rPr>
          <w:rFonts w:ascii="Arial" w:cs="Arial" w:eastAsia="Arial" w:hAnsi="Arial"/>
          <w:b w:val="false"/>
          <w:bCs w:val="false"/>
          <w:i w:val="false"/>
          <w:iCs w:val="false"/>
          <w:color w:val="374151"/>
          <w:sz w:val="22"/>
          <w:szCs w:val="22"/>
        </w:rPr>
        <w:t xml:space="preserve">After the final domain, the results screen loads automatically. Review each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Tab</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What to look at</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Overview</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Your CyberScore, Risk Score, Cost of Inaction. Compare to your sector peers.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Domains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Which domains are weakest? These are your priority areas.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Risk</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What is driving your risk score? Sector multiplier, domain gaps?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Cost Model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Is your security budget sufficient? What is the gap vs recommended spend?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Compliance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Which specific controls are missing? Sorted by severity.</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Five Eyes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How do you align with the 22 June 2026 joint advisory? Where are the critical gaps?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Roadmap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What should you do first? Sorted by your chosen optimisation mode.</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History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How has your posture changed over time? (Only useful after multiple assessments)</w:t>
            </w:r>
          </w:p>
        </w:tc>
      </w:tr>
    </w:tbl>
    <w:p>
      <w:pPr>
        <w:pStyle w:val="Heading1"/>
        <w:pBdr>
          <w:bottom w:val="single" w:color="00C9FF" w:sz="6" w:space="4"/>
        </w:pBdr>
        <w:spacing w:after="160" w:before="400"/>
      </w:pPr>
      <w:r>
        <w:rPr>
          <w:rFonts w:ascii="Arial" w:cs="Arial" w:eastAsia="Arial" w:hAnsi="Arial"/>
          <w:b/>
          <w:bCs/>
          <w:color w:val="0B0F1A"/>
          <w:sz w:val="36"/>
          <w:szCs w:val="36"/>
        </w:rPr>
        <w:t xml:space="preserve">Step 7 — Act on Your Results</w:t>
      </w:r>
    </w:p>
    <w:p>
      <w:pPr>
        <w:pStyle w:val="Heading2"/>
        <w:spacing w:after="100" w:before="280"/>
      </w:pPr>
      <w:r>
        <w:rPr>
          <w:rFonts w:ascii="Arial" w:cs="Arial" w:eastAsia="Arial" w:hAnsi="Arial"/>
          <w:b/>
          <w:bCs/>
          <w:color w:val="0B0F1A"/>
          <w:sz w:val="28"/>
          <w:szCs w:val="28"/>
        </w:rPr>
        <w:t xml:space="preserve">Interpreting the CyberScore</w:t>
      </w:r>
    </w:p>
    <w:p>
      <w:pPr>
        <w:spacing w:after="60" w:before="60"/>
        <w:jc w:val="left"/>
      </w:pPr>
      <w:r>
        <w:rPr>
          <w:rFonts w:ascii="Arial" w:cs="Arial" w:eastAsia="Arial" w:hAnsi="Arial"/>
          <w:b w:val="false"/>
          <w:bCs w:val="false"/>
          <w:i w:val="false"/>
          <w:iCs w:val="false"/>
          <w:color w:val="374151"/>
          <w:sz w:val="22"/>
          <w:szCs w:val="22"/>
        </w:rPr>
        <w:t xml:space="preserve">Your CyberScore tells you where you sit on the maturity curve. A score of 45 (Developing) does not mean you are insecure — it means you have identifiable, addressable gaps. The roadmap tells you what to address first.</w:t>
      </w:r>
    </w:p>
    <w:p>
      <w:pPr>
        <w:pStyle w:val="Heading2"/>
        <w:spacing w:after="100" w:before="280"/>
      </w:pPr>
      <w:r>
        <w:rPr>
          <w:rFonts w:ascii="Arial" w:cs="Arial" w:eastAsia="Arial" w:hAnsi="Arial"/>
          <w:b/>
          <w:bCs/>
          <w:color w:val="0B0F1A"/>
          <w:sz w:val="28"/>
          <w:szCs w:val="28"/>
        </w:rPr>
        <w:t xml:space="preserve">Interpreting the Cost of Inaction</w:t>
      </w:r>
    </w:p>
    <w:p>
      <w:pPr>
        <w:spacing w:after="60" w:before="60"/>
        <w:jc w:val="left"/>
      </w:pPr>
      <w:r>
        <w:rPr>
          <w:rFonts w:ascii="Arial" w:cs="Arial" w:eastAsia="Arial" w:hAnsi="Arial"/>
          <w:b w:val="false"/>
          <w:bCs w:val="false"/>
          <w:i w:val="false"/>
          <w:iCs w:val="false"/>
          <w:color w:val="374151"/>
          <w:sz w:val="22"/>
          <w:szCs w:val="22"/>
        </w:rPr>
        <w:t xml:space="preserve">The Cost of Inaction is not a prediction — it is an estimate of your expected annual loss given your current risk posture, calibrated against IBM's 2024 breach cost data. It is designed to translate technical gaps into business language for board conversations.</w:t>
      </w:r>
    </w:p>
    <w:p>
      <w:pPr>
        <w:pStyle w:val="Heading2"/>
        <w:spacing w:after="100" w:before="280"/>
      </w:pPr>
      <w:r>
        <w:rPr>
          <w:rFonts w:ascii="Arial" w:cs="Arial" w:eastAsia="Arial" w:hAnsi="Arial"/>
          <w:b/>
          <w:bCs/>
          <w:color w:val="0B0F1A"/>
          <w:sz w:val="28"/>
          <w:szCs w:val="28"/>
        </w:rPr>
        <w:t xml:space="preserve">Sharing Results</w:t>
      </w:r>
    </w:p>
    <w:p>
      <w:pPr>
        <w:spacing w:after="60" w:before="60"/>
        <w:jc w:val="left"/>
      </w:pPr>
      <w:r>
        <w:rPr>
          <w:rFonts w:ascii="Arial" w:cs="Arial" w:eastAsia="Arial" w:hAnsi="Arial"/>
          <w:b w:val="false"/>
          <w:bCs w:val="false"/>
          <w:i w:val="false"/>
          <w:iCs w:val="false"/>
          <w:color w:val="374151"/>
          <w:sz w:val="22"/>
          <w:szCs w:val="22"/>
        </w:rPr>
        <w:t xml:space="preserve">Use "Export PDF" (available in each results tab) to produce a formatted report. The board report tab generates an executive-level narrative — with an AI API key, this is written automatically. Without an API key, a template is provided.</w:t>
      </w:r>
    </w:p>
    <w:p>
      <w:pPr>
        <w:pStyle w:val="Heading1"/>
        <w:pBdr>
          <w:bottom w:val="single" w:color="00C9FF" w:sz="6" w:space="4"/>
        </w:pBdr>
        <w:spacing w:after="160" w:before="400"/>
      </w:pPr>
      <w:r>
        <w:rPr>
          <w:rFonts w:ascii="Arial" w:cs="Arial" w:eastAsia="Arial" w:hAnsi="Arial"/>
          <w:b/>
          <w:bCs/>
          <w:color w:val="0B0F1A"/>
          <w:sz w:val="36"/>
          <w:szCs w:val="36"/>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Question</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Answer</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Is my data sent anywhere?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No. All calculations run locally in your browser. Nothing is transmitted to any server. The only optional network calls are to Gemini or Claude APIs when you enter an API key and request AI features.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Can I save my results?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Yes. Results are automatically saved to your browser's localStorage after each assessment. Export PDF for a permanent record.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Can I re-take the assessment?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Yes. Each re-assessment is saved to history and the History tab shows your trend over time.</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What if I want to clear my data?</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Open browser DevTools → Application → localStorage → delete keys prefixed csp_.</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Do I need an API key?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No. All core features work without an API key. AI narrative generation is optional.</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What does the Five Eyes tab tell me?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It scores you against the 11 principles from the 22 June 2026 joint advisory. A score below 60 indicates meaningful gaps against the framework.</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How often should I reassess?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74151"/>
                <w:sz w:val="20"/>
                <w:szCs w:val="20"/>
              </w:rPr>
              <w:t xml:space="preserve">Quarterly for organisations in high-risk sectors; annually at minimum for others. After any significant infrastructure change.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2"/>
      </w:pBdr>
      <w:jc w:val="center"/>
    </w:pPr>
    <w:r>
      <w:rPr>
        <w:rFonts w:ascii="Arial" w:cs="Arial" w:eastAsia="Arial" w:hAnsi="Arial"/>
        <w:b w:val="false"/>
        <w:bCs w:val="false"/>
        <w:i w:val="false"/>
        <w:iCs w:val="false"/>
        <w:color w:val="9CA3AF"/>
        <w:sz w:val="16"/>
        <w:szCs w:val="16"/>
      </w:rPr>
      <w:t xml:space="preserve">© 2026 CyberScore Pro    </w:t>
    </w:r>
    <w:r>
      <w:rPr>
        <w:rFonts w:ascii="Arial" w:cs="Arial" w:eastAsia="Arial" w:hAnsi="Arial"/>
        <w:b w:val="false"/>
        <w:bCs w:val="false"/>
        <w:i w:val="false"/>
        <w:iCs w:val="false"/>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r>
      <w:rPr>
        <w:rFonts w:ascii="Arial" w:cs="Arial" w:eastAsia="Arial" w:hAnsi="Arial"/>
        <w:b w:val="false"/>
        <w:bCs w:val="false"/>
        <w:i w:val="false"/>
        <w:iCs w:val="false"/>
        <w:color w:val="9CA3AF"/>
        <w:sz w:val="16"/>
        <w:szCs w:val="16"/>
      </w:rPr>
      <w:t xml:space="preserve">    rags1816.github.io/cyber/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FF" w:sz="4" w:space="2"/>
      </w:pBdr>
    </w:pPr>
    <w:r>
      <w:rPr>
        <w:rFonts w:ascii="Arial" w:cs="Arial" w:eastAsia="Arial" w:hAnsi="Arial"/>
        <w:b w:val="false"/>
        <w:bCs w:val="false"/>
        <w:i w:val="false"/>
        <w:iCs w:val="false"/>
        <w:color w:val="9CA3AF"/>
        <w:sz w:val="18"/>
        <w:szCs w:val="18"/>
      </w:rPr>
      <w:t xml:space="preserve">CyberScore Pro  |  </w:t>
    </w:r>
    <w:r>
      <w:rPr>
        <w:rFonts w:ascii="Arial" w:cs="Arial" w:eastAsia="Arial" w:hAnsi="Arial"/>
        <w:b/>
        <w:bCs/>
        <w:i w:val="false"/>
        <w:iCs w:val="false"/>
        <w:color w:val="0B0F1A"/>
        <w:sz w:val="18"/>
        <w:szCs w:val="18"/>
      </w:rPr>
      <w:t xml:space="preserve">Step-by-Step Assessment Guide</w:t>
    </w:r>
    <w:r>
      <w:rPr>
        <w:rFonts w:ascii="Arial" w:cs="Arial" w:eastAsia="Arial" w:hAnsi="Arial"/>
        <w:b w:val="false"/>
        <w:bCs w:val="false"/>
        <w:i w:val="false"/>
        <w:iCs w:val="false"/>
        <w:color w:val="9CA3AF"/>
        <w:sz w:val="18"/>
        <w:szCs w:val="18"/>
      </w:rPr>
      <w:t xml:space="preserve">  |  v1.8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B0F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B0F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2026-06-23T18:16:40.334Z</dcterms:created>
  <dcterms:modified xsi:type="dcterms:W3CDTF">2026-06-23T18:16:40.334Z</dcterms:modified>
</cp:coreProperties>
</file>

<file path=docProps/custom.xml><?xml version="1.0" encoding="utf-8"?>
<Properties xmlns="http://schemas.openxmlformats.org/officeDocument/2006/custom-properties" xmlns:vt="http://schemas.openxmlformats.org/officeDocument/2006/docPropsVTypes"/>
</file>