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Arial" w:cs="Arial" w:eastAsia="Arial" w:hAnsi="Arial"/>
          <w:b/>
          <w:bCs/>
          <w:color w:val="00A8CC"/>
          <w:sz w:val="64"/>
          <w:szCs w:val="64"/>
        </w:rPr>
        <w:t xml:space="preserve">CyberScore Pro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Quick Reference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v1.7  ·  18 June 2026</w:t>
      </w:r>
    </w:p>
    <w:p>
      <w:pPr>
        <w:pBdr>
          <w:top w:val="single" w:color="00A8CC" w:sz="6" w:space="6"/>
        </w:pBdr>
        <w:spacing w:after="80" w:before="4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Keep this handy while running an assessment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At a Glance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707"/>
        <w:gridCol w:w="3159"/>
        <w:gridCol w:w="3159"/>
      </w:tblGrid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Check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 Dive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Questions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16 (2 per domain)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48 (6 per domain)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~15 minutes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~45 minutes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Best for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First-pass, leadership overview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Cert gap analysis, board report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Output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results, all tabs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results, all tabs (more granular)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A8CC" w:sz="12"/>
              <w:left w:val="single" w:color="00A8CC" w:sz="12"/>
              <w:bottom w:val="none" w:color="FFFFFF" w:sz="0"/>
              <w:right w:val="none" w:color="FFFFFF" w:sz="0"/>
            </w:tcBorders>
            <w:shd w:fill="E8F8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Both modes use the same scoring engine and produce identical outputs. Quick Check samples the 2 most diagnostic questions per domain.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Running a Real Assessment — Quick Steps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 Welcome screen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Select ⚡ Quick Check or 🔬 Deep Dive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Check admin bar at bottom — Live AI is active by default (cyan pill)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"Begin Assessment →"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6534" w:sz="12"/>
              <w:left w:val="single" w:color="166534" w:sz="12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No API key needed. Add one in the admin bar only if you want AI-written narratives.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 Context screen (tell us about your business)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Fill in: Organisation name · Sector · Region (tap chips for all regions that apply — multi-select for global companies) · Company size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Enter Annual revenue (optional but improves cost-of-inaction accuracy)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Set Annual security budget (optional) and Risk appetite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"Start Assessment →"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A8CC" w:sz="12"/>
              <w:left w:val="single" w:color="00A8CC" w:sz="12"/>
              <w:bottom w:val="none" w:color="FFFFFF" w:sz="0"/>
              <w:right w:val="none" w:color="FFFFFF" w:sz="0"/>
            </w:tcBorders>
            <w:shd w:fill="E8F8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Frameworks auto-select silently based on your sector/region/size. You'll see them on the results screen — no need to choose them upfront.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 Quiz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Answer each question — Level 1 (least mature) to Level 5 (best practice)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Select the option that describes your current state — not your target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"Next Domain →". Use "← Previous" to go back.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"See Results →" on the last domain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 Results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Check header badges: mode (Quick Check/Deep Dive) and AI status (On/Off)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Review 3 headline scores: CyberScore · Risk Score · Cost of Inaction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Open Optimiser tab — set budget slider and objectives to build your action plan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"⬇ PDF Report" to download. Tap "← Restart" for a new assessment.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Running a Demo — Quick Steps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Fastest route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Demo pill in admin bar (turns purple)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"⚡ Skip to Demo Results →" on welcome screen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Full results appear instantly for Acme Financial Ltd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Walk-through route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Demo pill → Tap "Begin Assessment →"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Context form is pre-filled — walk the client through it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"Start Assessment →" → click through domains → "See Results →"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Admin Bar Cheat Sheet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Fixed to bottom. Tap ⚙ Admin to expand. Auto-collapses on mobile after selection.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Live AI pill (cyan) — default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Active on load. Reveals API key fields in panel.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Demo pill (purple)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Pre-fills context. Shows Skip to Results on welcome screen.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Save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Saves API key, activates AI, collapses on mobile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Clear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Removes saved key from browser storage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Currency £/€/$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Updates all cost figures immediately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Results Screen Reference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Tabs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A8CC"/>
          <w:sz w:val="24"/>
          <w:szCs w:val="24"/>
        </w:rPr>
        <w:t xml:space="preserve">Risk tab — "What's driving your Risk Score?"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The Risk tab now opens with a dedicated breakdown panel showing exactly which domains are pushing your risk score up: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Formula row — fills in your actual numbers: (100 − CyberScore) × sector multiplier × 0.85 = Risk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Top-3 driver callout — names the three domains with the highest weighted gap contribution and their % share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Domain driver cards — all 8 domains ranked by risk contribution (gap × weight), with coloured severity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Sector multiplier pill — shows which industry multiplier applies and whether it is above or below average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Domain Scores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Radar + bar chart vs peer benchmark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Risk Analysis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Formula breakdown + top-3 domain drivers + all 8 domains ranked by risk contribution 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Cost of Inaction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Actuarial annual financial exposure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Frameworks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Auto-selected standards + coverage 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Gap Register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Prioritised control weaknesses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Optimiser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Constraint-aware action plan — interactive sliders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Roadmap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4-phase remediation timeline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History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Previous assessments, trend chart, comparison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CyberScore bands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0–39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🔴 Critical — significant gaps, immediate action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40–59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🟠 Developing — basic controls, inconsistently applied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60–74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🟡 Established — core programme in place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75–89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🟢 Advanced — strong programme, near cert-ready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90–100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⭐ Leading — best-in-class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Optimiser Quick Guide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Prioritises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📉 Reduce risk fastest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Biggest risk reduction first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💰 Best value per spend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Most risk reduction per £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📋 Reach cert soonest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Actions covering your target cert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🚫 Do nothing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Shows cost of inaction — for leadership presentations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Budget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Raise to unlock more expensive controls. Hint names what changes.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 horizon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Extend to include phased complex projects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Team capacity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Raise if you have internal resource for complex projects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Risk appetite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Lower = more gaps in scope. Higher = critical only.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Troubleshooting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Stale Acme Financial data in form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Switch to Live AI mode — form clears automatically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Demo answers panel on real results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Only appears after Skip to Demo Results, not real assessments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Action plan empty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an objective is selected (not Do Nothing)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not generating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✦ AI Off badge. Open admin bar, paste key, Save.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 changes not showing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Hard refresh Ctrl+Shift+R. Check Actions tab green tick.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8CC" w:sz="4" w:space="4"/>
      </w:pBdr>
      <w:spacing w:after="0" w:before="0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Quick Reference  ·  v1.7  ·  18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CC" w:sz="4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B7280"/>
        <w:sz w:val="18"/>
        <w:szCs w:val="18"/>
      </w:rPr>
      <w:t xml:space="preserve">CyberScore Pro — Quick Reference v1.7</w:t>
    </w:r>
    <w:r>
      <w:t xml:space="preserve">	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A8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2026-06-18T21:48:24.233Z</dcterms:created>
  <dcterms:modified xsi:type="dcterms:W3CDTF">2026-06-18T21:48:24.233Z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