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6B3C"/>
          <w:sz w:val="40"/>
          <w:szCs w:val="40"/>
        </w:rPr>
        <w:t xml:space="preserve">ESG Compliance &amp; Carbon Hub</w:t>
      </w:r>
    </w:p>
    <w:p>
      <w:pPr>
        <w:spacing w:after="80"/>
        <w:jc w:val="center"/>
      </w:pPr>
      <w:r>
        <w:rPr>
          <w:color w:val="444444"/>
          <w:sz w:val="28"/>
          <w:szCs w:val="28"/>
        </w:rPr>
        <w:t xml:space="preserve">Version 4 — Feature Provenance Map &amp; Handover</w:t>
      </w:r>
    </w:p>
    <w:p>
      <w:pPr>
        <w:spacing w:after="240"/>
        <w:jc w:val="center"/>
      </w:pPr>
      <w:r>
        <w:rPr>
          <w:i/>
          <w:iCs/>
          <w:color w:val="888888"/>
          <w:sz w:val="20"/>
          <w:szCs w:val="20"/>
        </w:rPr>
        <w:t xml:space="preserve">i-NoCarbon Ltd  |  June 2026  |  Confidential</w:t>
      </w: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1. Final frozen file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4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Frozen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ESG_Hub_V4_FROZEN.html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4,818 lines | MD5: a48ac446bae1d33610a6fdd742712f2c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Previous freeze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1dd99f4aef38f2480c14c7d3b3da8293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Superseded — use latest MD5 above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(V3)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ESG_Hub_V3_FROZEN.html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3,484 lines — never overwrite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 blocks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blocks, all syntax-clean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--check passes on all 4</w:t>
            </w:r>
          </w:p>
        </w:tc>
      </w:tr>
    </w:tbl>
    <w:p>
      <w:pPr>
        <w:spacing w:after="0" w:before="120"/>
      </w:pPr>
    </w:p>
    <w:p>
      <w:pPr>
        <w:pBdr>
          <w:left w:val="single" w:color="1A6B3C" w:sz="12"/>
        </w:pBdr>
        <w:shd w:fill="E8F5E9" w:val="clear"/>
        <w:spacing w:after="120" w:before="120"/>
      </w:pPr>
      <w:r>
        <w:rPr>
          <w:i/>
          <w:iCs/>
          <w:sz w:val="21"/>
          <w:szCs w:val="21"/>
        </w:rPr>
        <w:t xml:space="preserve">IMPORTANT: The frozen file MD5 changed in the final session. The correct MD5 is a48ac446bae1d33610a6fdd742712f2c. Earlier documentation showed 1dd99f4aef38f2480c14c7d3b3da8293.</w:t>
      </w:r>
    </w:p>
    <w:p>
      <w:pPr>
        <w:spacing w:after="0" w:before="24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2. What changed in the final session</w:t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2.1 Diagnostic JSON export/import — now fully wired</w:t>
      </w:r>
    </w:p>
    <w:p>
      <w:pPr>
        <w:spacing w:after="120"/>
      </w:pPr>
      <w:r>
        <w:rPr>
          <w:sz w:val="22"/>
          <w:szCs w:val="22"/>
        </w:rPr>
        <w:t xml:space="preserve">Both exportDiagnosticJSON() and importDiagnosticJSON() were already written in the previous session but had no UI. This was resolved: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Questions step: a "↓ JSON" export button added alongside the existing Save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step (after all 21 answers, before submit): "↓ Export JSON" and "↑ Import JSON" buttons added alongside 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 restores diagAnswers array from a previously exported file — user can then review and 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 includes: version, date, organisation, sector, score, answers array, dims object.</w:t>
      </w:r>
    </w:p>
    <w:p>
      <w:pPr>
        <w:spacing w:after="0" w:before="120"/>
      </w:pP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2.2 Input-aware recommendation suppression — already built in V3 pattern</w:t>
      </w:r>
    </w:p>
    <w:p>
      <w:pPr>
        <w:spacing w:after="120"/>
      </w:pPr>
      <w:r>
        <w:rPr>
          <w:sz w:val="22"/>
          <w:szCs w:val="22"/>
        </w:rPr>
        <w:t xml:space="preserve">Investigation revealed the suppression was already fully implemented in the recommendation engine. All 9 carbon recommendations are wrapped in if() guards that check their source input before pushing to allRecos[]: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Energy Efficiency: if(energyCost&gt;0||s2&gt;0)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Renewable Electricity: if(num("c-renew-pct")&lt;80&amp;&amp;totalElec&gt;0)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Business Travel Policy: if(s3cats["Cat 6: Business travel"]&gt;0)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Waste &amp; Circular Economy: if(s3cats["Cat 5: Waste &amp; water"]&gt;0)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Sustainable Procurement: if(num("c-it-equip")&gt;0||num("c-purchased-goods")&gt;0)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 Fleet: if(num("c-fleet")&gt;0||(s1_diesel+s1_petrol)&gt;0)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Flexible Working: if(s3cats["Cat 7: Employee commuting"]&gt;0)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Solar PV: if(energyCost&gt;0)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Water Programme: if(num("c-water")&gt;0)</w:t>
      </w:r>
    </w:p>
    <w:p>
      <w:pPr>
        <w:spacing w:after="120"/>
      </w:pPr>
      <w:r>
        <w:rPr>
          <w:sz w:val="22"/>
          <w:szCs w:val="22"/>
        </w:rPr>
        <w:t xml:space="preserve">The isInputActive() function added in the previous session was therefore redundant. It remains in the code but is not called anywhere — it may be removed in V5 cleanup.</w:t>
      </w:r>
    </w:p>
    <w:p>
      <w:pPr>
        <w:spacing w:after="0" w:before="24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3. Complete feature status — final V4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34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Diagnostic JSON export button (questions step)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exportDiagnosticJSON() wired to ↓ JSON button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Diagnostic JSON export button (review step)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 Export JSON + ↑ Import JSON buttons on review nav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Diagnostic JSON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importDiagnosticJSON() wired to file picker on review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Input-aware carbon 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 (V3)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built via if() guards in allRecos 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3 carbon scenario modes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renderCarbonScenarios() wired, c-scenarios-panel-card shown post-calc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Session timeout (30 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activity listeners wired on load, session-warn-banner at 28 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28-question BIA intake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186 pts max, live panel, AI gap analysis, JSON export/import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User management (4 roles, SHA-256)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sysadmin &gt; bizadmin &gt; editor &gt; viewer, multi-tenant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Dual AI provider (Anthropic + Gemini)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callAI() routes by AI_PROVIDER. Cost shown.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Sector benchmarking (8 sectors)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DONE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SECTOR_BENCH_MULT, below-avg badge, priority sorting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isInputActive()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45309"/>
                <w:sz w:val="20"/>
                <w:szCs w:val="20"/>
              </w:rPr>
              <w:t xml:space="preserve">REDUNDANT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Written but not called — input guards already in allRecos engine. Remove in V5.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attemptLoginV4() full 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45309"/>
                <w:sz w:val="20"/>
                <w:szCs w:val="20"/>
              </w:rPr>
              <w:t xml:space="preserve">PARALLEL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 alongside legacy attemptLogin(). Both coexist. Activate in V5 by replacing login button onclick handlers.</w:t>
            </w:r>
          </w:p>
        </w:tc>
      </w:tr>
    </w:tbl>
    <w:p>
      <w:pPr>
        <w:spacing w:after="0" w:before="24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4. Known items for V5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isInputActive() — redundant, never called.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Replace attemptLogin() onclick handlers with attemptLoginV4() to fully activate SHA-256 user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Krystal PHP proxy for API key (~1.5p/call) — store key server-side, remove need for admin to enter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 Pages deployment — push frozen file to rags1816/ESGdiagnostic (index.html with placeholder keys).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Freemium calculator improvements — see Section 5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ESG Diagnostic Toolkit V4 next levels — see Section 6 below.</w:t>
      </w:r>
    </w:p>
    <w:p>
      <w:pPr>
        <w:spacing w:after="0" w:before="24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5. Freemium Carbon Calculator — what it is and what comes next</w:t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5.1 What the Freemium app is</w:t>
      </w:r>
    </w:p>
    <w:p>
      <w:pPr>
        <w:spacing w:after="120"/>
      </w:pPr>
      <w:r>
        <w:rPr>
          <w:sz w:val="22"/>
          <w:szCs w:val="22"/>
        </w:rPr>
        <w:t xml:space="preserve">The Freemium calculator (index_freemium.html, 5,169 lines) is a household and personal carbon footprint tool with a lightweight business mode toggle. It is NOT a corporate Scope 1/2/3 calculator. Key characteristics: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Single-region selector — sets one electricity emission factor for the entire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Inputs: electricity kWh, gas kWh, transport, food, flights, hotel nights, waste.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Business mode adds headcount, office area, commuting — but still single-region.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AI-powered recommendations via Anthropic Claude Haiku or Gemini Flash.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PDF report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Gauge animation for carbon level visualisation.</w:t>
      </w:r>
    </w:p>
    <w:p>
      <w:pPr>
        <w:pBdr>
          <w:left w:val="single" w:color="E65100" w:sz="12"/>
        </w:pBdr>
        <w:shd w:fill="FFF3E0" w:val="clear"/>
        <w:spacing w:after="120" w:before="120"/>
      </w:pPr>
      <w:r>
        <w:rPr>
          <w:i/>
          <w:iCs/>
          <w:sz w:val="21"/>
          <w:szCs w:val="21"/>
        </w:rPr>
        <w:t xml:space="preserve">CRITICAL: The Freemium app must NEVER be merged into the ESG Hub as a carbon API. It is a personal tool. Corporate multi-site, multi-region, Scope 3 calculation requires the Hub's dedicated 15-category calculator.</w:t>
      </w:r>
    </w:p>
    <w:p>
      <w:pPr>
        <w:spacing w:after="0" w:before="120"/>
      </w:pP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5.2 What to improve in the Freemium app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Emit factor source citations per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High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input field should show its emission factor and source (DESNZ 2025, DEFRA 2024, etc.) like the Hub does. Currently the source is only shown at the region level.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Multi-region electricity for business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High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mode currently uses one region. Add UK + one other region fields (e.g. UK office + India office) so SMEs with two locations can calculate accurately.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Scope 1 / Scope 2 / Scope 3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mode should show S1/S2/S3 split. Currently shows total only. This aligns output with GHG Protocol and makes the tool more credible for business users.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Input-aware suppression for business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mode already does this for some fields — extend to all. No fleet recommendation if fleet input is zero.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Methodology note in PDF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Sources &amp; Methodology section to the PDF download listing all emission factors and their published sources.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Save/restore progress (localStorage)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Currently data is lost on refresh. Add auto-save and restore like the Hub diagnostic.</w:t>
            </w:r>
          </w:p>
        </w:tc>
      </w:tr>
    </w:tbl>
    <w:p>
      <w:pPr>
        <w:spacing w:after="0" w:before="24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6. ESG Diagnostic Toolkit V4 — what it is and what comes next</w:t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6.1 What the Toolkit is</w:t>
      </w:r>
    </w:p>
    <w:p>
      <w:pPr>
        <w:spacing w:after="120"/>
      </w:pPr>
      <w:r>
        <w:rPr>
          <w:sz w:val="22"/>
          <w:szCs w:val="22"/>
        </w:rPr>
        <w:t xml:space="preserve">The ESG Diagnostic Toolkit V4 (esg_diagnostic_toolkit_v4.html, 2,840 lines) is a lead generation and self-assessment tool. It is NOT the Hub — it is a lighter, standalone, 4-screen product designed for prospects to assess themselves before engaging i-NoCarbon for a full Hub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 screens: Welcome → Quiz (21q) → Lead Capture →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Level 1 — Self-reported maturity model (what V4 is today).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Leads captured via Web3Forms → info@i-nocarbon.com.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executive summary, carbon analysis, sector insights, framework steps, chat advisor.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Dual AI provider (Anthropic + Gemini). Per-user key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 save/restore, satisfaction gate, white-label branding.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Sector benchmarking (8 sectors, EcoVadis 2024 / GRI 2023).</w:t>
      </w:r>
    </w:p>
    <w:p>
      <w:pPr>
        <w:spacing w:after="0" w:before="120"/>
      </w:pP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6.2 The four-level progression (planned V4 next phases)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74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requires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Level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Maturity model (current)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Self-reported answers. Instant score. Existing Toolkit V4.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Quantitative assessment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 kWh, tCO2e, TRIR, gender pay %, board %, CEO pay ratio, supplier audit scores. Planned for Toolkit V5.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review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 and procedure documents reviewed against GRI, TCFD, CSRD, B Corp BIA criteria. With i-NoCarbon consultant.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Third-party verification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 assurance by ICAEW/ACCA, ISO 14001, GRI-certified, CDP-accredited body. Full CSRD readiness.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6.3 Specific improvements for Toolkit V5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Sector-specific question variants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High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Manufacturing gets different Carbon &amp; Energy questions than Financial Services. B Lab uses this approach — so should the Toolkit for credibility.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Level 2 quantitative input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High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Level 1 maturity score, offer "go deeper" — actual kWh, TRIR rate, gender pay gap %, board diversity %, supplier audit coverage. Unlocks a more precise score.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 mode (vs last assessment)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previous score in localStorage. Show delta on results: "Your Carbon &amp; Energy score improved by +8 since Jan 2026."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Multi-user / team scoring with role-based questions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CFO answers financial governance questions; HR answers workers questions. Results combined into one score. Requires localStorage or JSON-pass approach.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PDF email on completion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Web3Forms with PDF attachment (generate via jsPDF then base64-encode). Delivers results report to user email automatically.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dashboard — all submissions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view showing all submitted assessments by company, date, score, band. Stored in Splitforms / Web3Forms data or aggregated locally if multi-user.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 scoring for sales prioritisation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 high-potential leads automatically: score &lt; 50 + size &gt; 200 FTE + sector = Manufacturing → high-value Hub prospect. Surface in admin dashboard.</w:t>
            </w:r>
          </w:p>
        </w:tc>
      </w:tr>
    </w:tbl>
    <w:p>
      <w:pPr>
        <w:spacing w:after="0" w:before="24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7. Three-product roadmap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14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ESG Hub V4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Frozen. 4,818 lines.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V5: Activate SHA-256 login fully. Remove isInputActive() dead code. Krystal PHP proxy for API 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Diagnostic Toolkit V4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Frozen. 2,840 lines.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V5: Sector-specific question variants. Level 2 quantitative inputs. Comparison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Freemium Calculator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Active. 5,169 lines.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Next: Emission factor source citations per field. Multi-region electricity for business mode. S1/S2/S3 split display.</w:t>
            </w:r>
          </w:p>
        </w:tc>
      </w:tr>
    </w:tbl>
    <w:p>
      <w:pPr>
        <w:spacing w:after="0" w:before="120"/>
      </w:pPr>
    </w:p>
    <w:p>
      <w:pPr>
        <w:pBdr>
          <w:left w:val="single" w:color="1A6B3C" w:sz="12"/>
        </w:pBdr>
        <w:shd w:fill="E8F5E9" w:val="clear"/>
        <w:spacing w:after="120" w:before="120"/>
      </w:pPr>
      <w:r>
        <w:rPr>
          <w:i/>
          <w:iCs/>
          <w:sz w:val="21"/>
          <w:szCs w:val="21"/>
        </w:rPr>
        <w:t xml:space="preserve">When starting any new session: always confirm which product and which version. Always freeze before building. Always syntax-check before delivery.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2026-06-26T08:03:35.842Z</dcterms:created>
  <dcterms:modified xsi:type="dcterms:W3CDTF">2026-06-26T08:03:35.855Z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