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6B3C"/>
          <w:sz w:val="40"/>
          <w:szCs w:val="40"/>
        </w:rPr>
        <w:t xml:space="preserve">ESG Hub V4</w:t>
      </w:r>
    </w:p>
    <w:p>
      <w:pPr>
        <w:spacing w:after="80"/>
        <w:jc w:val="center"/>
      </w:pPr>
      <w:r>
        <w:rPr>
          <w:color w:val="1F497D"/>
          <w:sz w:val="32"/>
          <w:szCs w:val="32"/>
        </w:rPr>
        <w:t xml:space="preserve">User Guide</w:t>
      </w:r>
    </w:p>
    <w:p>
      <w:pPr>
        <w:spacing w:after="240"/>
        <w:jc w:val="center"/>
      </w:pPr>
      <w:r>
        <w:rPr>
          <w:i/>
          <w:iCs/>
          <w:color w:val="888888"/>
          <w:sz w:val="20"/>
          <w:szCs w:val="20"/>
        </w:rPr>
        <w:t xml:space="preserve">For Business Admins, Editors and Viewers | June 2026</w:t>
      </w:r>
    </w:p>
    <w:p>
      <w:pPr>
        <w:pStyle w:val="Heading1"/>
      </w:pPr>
      <w:r>
        <w:rPr>
          <w:b/>
          <w:bCs/>
          <w:color w:val="1A6B3C"/>
          <w:sz w:val="32"/>
          <w:szCs w:val="32"/>
        </w:rPr>
        <w:t xml:space="preserve">1. Getting started</w:t>
      </w:r>
    </w:p>
    <w:p>
      <w:pPr>
        <w:pStyle w:val="Heading2"/>
      </w:pPr>
      <w:r>
        <w:rPr>
          <w:b/>
          <w:bCs/>
          <w:color w:val="1F497D"/>
          <w:sz w:val="26"/>
          <w:szCs w:val="26"/>
        </w:rPr>
        <w:t xml:space="preserve">1.1 Logging in</w:t>
      </w:r>
    </w:p>
    <w:p>
      <w:pPr>
        <w:pStyle w:val="ListParagraph"/>
        <w:numPr>
          <w:ilvl w:val="0"/>
          <w:numId w:val="2"/>
        </w:numPr>
        <w:spacing w:after="80"/>
      </w:pPr>
      <w:r>
        <w:rPr>
          <w:sz w:val="22"/>
          <w:szCs w:val="22"/>
        </w:rPr>
        <w:t xml:space="preserve">Go to the platform URL provided by your administrator.</w:t>
      </w:r>
    </w:p>
    <w:p>
      <w:pPr>
        <w:pStyle w:val="ListParagraph"/>
        <w:numPr>
          <w:ilvl w:val="0"/>
          <w:numId w:val="2"/>
        </w:numPr>
        <w:spacing w:after="80"/>
      </w:pPr>
      <w:r>
        <w:rPr>
          <w:sz w:val="22"/>
          <w:szCs w:val="22"/>
        </w:rPr>
        <w:t xml:space="preserve">Use the Admin Access card with your username and password.</w:t>
      </w:r>
    </w:p>
    <w:p>
      <w:pPr>
        <w:pStyle w:val="ListParagraph"/>
        <w:numPr>
          <w:ilvl w:val="0"/>
          <w:numId w:val="2"/>
        </w:numPr>
        <w:spacing w:after="80"/>
      </w:pPr>
      <w:r>
        <w:rPr>
          <w:sz w:val="22"/>
          <w:szCs w:val="22"/>
        </w:rPr>
        <w:t xml:space="preserve">Demo access: username "demo", no password (unless set by your admin).</w:t>
      </w:r>
    </w:p>
    <w:p>
      <w:pPr>
        <w:pStyle w:val="ListParagraph"/>
        <w:numPr>
          <w:ilvl w:val="0"/>
          <w:numId w:val="2"/>
        </w:numPr>
        <w:spacing w:after="80"/>
      </w:pPr>
      <w:r>
        <w:rPr>
          <w:sz w:val="22"/>
          <w:szCs w:val="22"/>
        </w:rPr>
        <w:t xml:space="preserve">Forgotten password: contact your Business Admin or i-NoCarbon.</w:t>
      </w:r>
    </w:p>
    <w:p>
      <w:pPr>
        <w:spacing w:after="0" w:before="120"/>
      </w:pPr>
    </w:p>
    <w:p>
      <w:pPr>
        <w:pBdr>
          <w:left w:val="single" w:color="1A6B3C" w:sz="12"/>
        </w:pBdr>
        <w:shd w:fill="E8F5E9" w:val="clear"/>
        <w:spacing w:after="120" w:before="120"/>
      </w:pPr>
      <w:r>
        <w:rPr>
          <w:i/>
          <w:iCs/>
          <w:sz w:val="21"/>
          <w:szCs w:val="21"/>
        </w:rPr>
        <w:t xml:space="preserve">Your session expires automatically after 30 minutes of inactivity. A warning banner appears at 28 minutes. Click "Stay logged in" to continue. All your work is saved automatically.</w:t>
      </w:r>
    </w:p>
    <w:p>
      <w:pPr>
        <w:spacing w:after="0" w:before="120"/>
      </w:pPr>
    </w:p>
    <w:p>
      <w:pPr>
        <w:pStyle w:val="Heading2"/>
      </w:pPr>
      <w:r>
        <w:rPr>
          <w:b/>
          <w:bCs/>
          <w:color w:val="1F497D"/>
          <w:sz w:val="26"/>
          <w:szCs w:val="26"/>
        </w:rPr>
        <w:t xml:space="preserve">1.2 Changing your password</w:t>
      </w:r>
    </w:p>
    <w:p>
      <w:pPr>
        <w:pStyle w:val="ListParagraph"/>
        <w:numPr>
          <w:ilvl w:val="0"/>
          <w:numId w:val="3"/>
        </w:numPr>
        <w:spacing w:after="80"/>
      </w:pPr>
      <w:r>
        <w:rPr>
          <w:sz w:val="22"/>
          <w:szCs w:val="22"/>
        </w:rPr>
        <w:t xml:space="preserve">Click the gear icon in the top bar to open the Admin Panel.</w:t>
      </w:r>
    </w:p>
    <w:p>
      <w:pPr>
        <w:pStyle w:val="ListParagraph"/>
        <w:numPr>
          <w:ilvl w:val="0"/>
          <w:numId w:val="3"/>
        </w:numPr>
        <w:spacing w:after="80"/>
      </w:pPr>
      <w:r>
        <w:rPr>
          <w:sz w:val="22"/>
          <w:szCs w:val="22"/>
        </w:rPr>
        <w:t xml:space="preserve">Click the Users tab.</w:t>
      </w:r>
    </w:p>
    <w:p>
      <w:pPr>
        <w:pStyle w:val="ListParagraph"/>
        <w:numPr>
          <w:ilvl w:val="0"/>
          <w:numId w:val="3"/>
        </w:numPr>
        <w:spacing w:after="80"/>
      </w:pPr>
      <w:r>
        <w:rPr>
          <w:sz w:val="22"/>
          <w:szCs w:val="22"/>
        </w:rPr>
        <w:t xml:space="preserve">Scroll to "Change your password".</w:t>
      </w:r>
    </w:p>
    <w:p>
      <w:pPr>
        <w:pStyle w:val="ListParagraph"/>
        <w:numPr>
          <w:ilvl w:val="0"/>
          <w:numId w:val="3"/>
        </w:numPr>
        <w:spacing w:after="80"/>
      </w:pPr>
      <w:r>
        <w:rPr>
          <w:sz w:val="22"/>
          <w:szCs w:val="22"/>
        </w:rPr>
        <w:t xml:space="preserve">Enter your current password, then your new password (minimum 12 characters) twice.</w:t>
      </w:r>
    </w:p>
    <w:p>
      <w:pPr>
        <w:pStyle w:val="ListParagraph"/>
        <w:numPr>
          <w:ilvl w:val="0"/>
          <w:numId w:val="3"/>
        </w:numPr>
        <w:spacing w:after="80"/>
      </w:pPr>
      <w:r>
        <w:rPr>
          <w:sz w:val="22"/>
          <w:szCs w:val="22"/>
        </w:rPr>
        <w:t xml:space="preserve">Click Update password.</w:t>
      </w:r>
    </w:p>
    <w:p>
      <w:pPr>
        <w:spacing w:after="0" w:before="240"/>
      </w:pPr>
    </w:p>
    <w:p>
      <w:pPr>
        <w:pStyle w:val="Heading1"/>
      </w:pPr>
      <w:r>
        <w:rPr>
          <w:b/>
          <w:bCs/>
          <w:color w:val="1A6B3C"/>
          <w:sz w:val="32"/>
          <w:szCs w:val="32"/>
        </w:rPr>
        <w:t xml:space="preserve">2. Running an ESG assessment — step by step</w:t>
      </w:r>
    </w:p>
    <w:p>
      <w:pPr>
        <w:pStyle w:val="Heading2"/>
      </w:pPr>
      <w:r>
        <w:rPr>
          <w:b/>
          <w:bCs/>
          <w:color w:val="1F497D"/>
          <w:sz w:val="26"/>
          <w:szCs w:val="26"/>
        </w:rPr>
        <w:t xml:space="preserve">Step 1 — Intake &amp; Context (~5 minutes)</w:t>
      </w:r>
    </w:p>
    <w:p>
      <w:pPr>
        <w:pStyle w:val="ListParagraph"/>
        <w:numPr>
          <w:ilvl w:val="0"/>
          <w:numId w:val="2"/>
        </w:numPr>
        <w:spacing w:after="80"/>
      </w:pPr>
      <w:r>
        <w:rPr>
          <w:sz w:val="22"/>
          <w:szCs w:val="22"/>
        </w:rPr>
        <w:t xml:space="preserve">Click "Intake &amp; Context" in the top navigation.</w:t>
      </w:r>
    </w:p>
    <w:p>
      <w:pPr>
        <w:pStyle w:val="ListParagraph"/>
        <w:numPr>
          <w:ilvl w:val="0"/>
          <w:numId w:val="2"/>
        </w:numPr>
        <w:spacing w:after="80"/>
      </w:pPr>
      <w:r>
        <w:rPr>
          <w:sz w:val="22"/>
          <w:szCs w:val="22"/>
        </w:rPr>
        <w:t xml:space="preserve">Enter company name, sector, size, revenue, legal form, reporting year.</w:t>
      </w:r>
    </w:p>
    <w:p>
      <w:pPr>
        <w:pStyle w:val="ListParagraph"/>
        <w:numPr>
          <w:ilvl w:val="0"/>
          <w:numId w:val="2"/>
        </w:numPr>
        <w:spacing w:after="80"/>
      </w:pPr>
      <w:r>
        <w:rPr>
          <w:sz w:val="22"/>
          <w:szCs w:val="22"/>
        </w:rPr>
        <w:t xml:space="preserve">Select operating jurisdictions and target reporting frameworks.</w:t>
      </w:r>
    </w:p>
    <w:p>
      <w:pPr>
        <w:pStyle w:val="ListParagraph"/>
        <w:numPr>
          <w:ilvl w:val="0"/>
          <w:numId w:val="2"/>
        </w:numPr>
        <w:spacing w:after="80"/>
      </w:pPr>
      <w:r>
        <w:rPr>
          <w:sz w:val="22"/>
          <w:szCs w:val="22"/>
        </w:rPr>
        <w:t xml:space="preserve">Click Save &amp; Go to Diagnostic. This configures all other modules.</w:t>
      </w:r>
    </w:p>
    <w:p>
      <w:pPr>
        <w:spacing w:after="0" w:before="120"/>
      </w:pPr>
    </w:p>
    <w:p>
      <w:pPr>
        <w:pStyle w:val="Heading2"/>
      </w:pPr>
      <w:r>
        <w:rPr>
          <w:b/>
          <w:bCs/>
          <w:color w:val="1F497D"/>
          <w:sz w:val="26"/>
          <w:szCs w:val="26"/>
        </w:rPr>
        <w:t xml:space="preserve">Step 2 — ESG Diagnostic (~8 minutes)</w:t>
      </w:r>
    </w:p>
    <w:p>
      <w:pPr>
        <w:pStyle w:val="ListParagraph"/>
        <w:numPr>
          <w:ilvl w:val="0"/>
          <w:numId w:val="2"/>
        </w:numPr>
        <w:spacing w:after="80"/>
      </w:pPr>
      <w:r>
        <w:rPr>
          <w:sz w:val="22"/>
          <w:szCs w:val="22"/>
        </w:rPr>
        <w:t xml:space="preserve">21 questions across 6 dimensions.</w:t>
      </w:r>
    </w:p>
    <w:p>
      <w:pPr>
        <w:pStyle w:val="ListParagraph"/>
        <w:numPr>
          <w:ilvl w:val="0"/>
          <w:numId w:val="2"/>
        </w:numPr>
        <w:spacing w:after="80"/>
      </w:pPr>
      <w:r>
        <w:rPr>
          <w:sz w:val="22"/>
          <w:szCs w:val="22"/>
        </w:rPr>
        <w:t xml:space="preserve">Each answer has a bold label and a plain-English description — read both carefully.</w:t>
      </w:r>
    </w:p>
    <w:p>
      <w:pPr>
        <w:pStyle w:val="ListParagraph"/>
        <w:numPr>
          <w:ilvl w:val="0"/>
          <w:numId w:val="2"/>
        </w:numPr>
        <w:spacing w:after="80"/>
      </w:pPr>
      <w:r>
        <w:rPr>
          <w:sz w:val="22"/>
          <w:szCs w:val="22"/>
        </w:rPr>
        <w:t xml:space="preserve">Progress saves automatically after every answer.</w:t>
      </w:r>
    </w:p>
    <w:p>
      <w:pPr>
        <w:pStyle w:val="ListParagraph"/>
        <w:numPr>
          <w:ilvl w:val="0"/>
          <w:numId w:val="2"/>
        </w:numPr>
        <w:spacing w:after="80"/>
      </w:pPr>
      <w:r>
        <w:rPr>
          <w:sz w:val="22"/>
          <w:szCs w:val="22"/>
        </w:rPr>
        <w:t xml:space="preserve">Export your answers at any point: click "↓ JSON" next to the Save button. Use this to resume on another device or share with an auditor.</w:t>
      </w:r>
    </w:p>
    <w:p>
      <w:pPr>
        <w:pStyle w:val="ListParagraph"/>
        <w:numPr>
          <w:ilvl w:val="0"/>
          <w:numId w:val="2"/>
        </w:numPr>
        <w:spacing w:after="80"/>
      </w:pPr>
      <w:r>
        <w:rPr>
          <w:sz w:val="22"/>
          <w:szCs w:val="22"/>
        </w:rPr>
        <w:t xml:space="preserve">To import previously saved answers: on the Review screen, click "↑ Import JSON" and select your file.</w:t>
      </w:r>
    </w:p>
    <w:p>
      <w:pPr>
        <w:pStyle w:val="ListParagraph"/>
        <w:numPr>
          <w:ilvl w:val="0"/>
          <w:numId w:val="2"/>
        </w:numPr>
        <w:spacing w:after="80"/>
      </w:pPr>
      <w:r>
        <w:rPr>
          <w:sz w:val="22"/>
          <w:szCs w:val="22"/>
        </w:rPr>
        <w:t xml:space="preserve">After the last question you are asked to confirm before seeing results. Use this to review any answers.</w:t>
      </w:r>
    </w:p>
    <w:p>
      <w:pPr>
        <w:spacing w:after="0" w:before="120"/>
      </w:pPr>
    </w:p>
    <w:p>
      <w:pPr>
        <w:pStyle w:val="Heading2"/>
      </w:pPr>
      <w:r>
        <w:rPr>
          <w:b/>
          <w:bCs/>
          <w:color w:val="1F497D"/>
          <w:sz w:val="26"/>
          <w:szCs w:val="26"/>
        </w:rPr>
        <w:t xml:space="preserve">Step 3 — ESG Dashboard</w:t>
      </w:r>
    </w:p>
    <w:p>
      <w:pPr>
        <w:pStyle w:val="ListParagraph"/>
        <w:numPr>
          <w:ilvl w:val="0"/>
          <w:numId w:val="2"/>
        </w:numPr>
        <w:spacing w:after="80"/>
      </w:pPr>
      <w:r>
        <w:rPr>
          <w:sz w:val="22"/>
          <w:szCs w:val="22"/>
        </w:rPr>
        <w:t xml:space="preserve">Your ESG score, radar chart, and E/S/G pillar breakdown appear automatically.</w:t>
      </w:r>
    </w:p>
    <w:p>
      <w:pPr>
        <w:pStyle w:val="ListParagraph"/>
        <w:numPr>
          <w:ilvl w:val="0"/>
          <w:numId w:val="2"/>
        </w:numPr>
        <w:spacing w:after="80"/>
      </w:pPr>
      <w:r>
        <w:rPr>
          <w:sz w:val="22"/>
          <w:szCs w:val="22"/>
        </w:rPr>
        <w:t xml:space="preserve">Recommendation cards show your top gaps — sorted by those most below your sector average first.</w:t>
      </w:r>
    </w:p>
    <w:p>
      <w:pPr>
        <w:pStyle w:val="ListParagraph"/>
        <w:numPr>
          <w:ilvl w:val="0"/>
          <w:numId w:val="2"/>
        </w:numPr>
        <w:spacing w:after="80"/>
      </w:pPr>
      <w:r>
        <w:rPr>
          <w:sz w:val="22"/>
          <w:szCs w:val="22"/>
        </w:rPr>
        <w:t xml:space="preserve">Each card shows the estimated cost to move up one level and which BIA pillar it affects.</w:t>
      </w:r>
    </w:p>
    <w:p>
      <w:pPr>
        <w:pStyle w:val="ListParagraph"/>
        <w:numPr>
          <w:ilvl w:val="0"/>
          <w:numId w:val="2"/>
        </w:numPr>
        <w:spacing w:after="80"/>
      </w:pPr>
      <w:r>
        <w:rPr>
          <w:sz w:val="22"/>
          <w:szCs w:val="22"/>
        </w:rPr>
        <w:t xml:space="preserve">Click "Get AI action plan" on any card for a specific cost-optimal action plan (AI must be enabled).</w:t>
      </w:r>
    </w:p>
    <w:p>
      <w:pPr>
        <w:pStyle w:val="ListParagraph"/>
        <w:numPr>
          <w:ilvl w:val="0"/>
          <w:numId w:val="2"/>
        </w:numPr>
        <w:spacing w:after="80"/>
      </w:pPr>
      <w:r>
        <w:rPr>
          <w:sz w:val="22"/>
          <w:szCs w:val="22"/>
        </w:rPr>
        <w:t xml:space="preserve">Adjust the target reduction slider (5–50%) to see which actions close your gap.</w:t>
      </w:r>
    </w:p>
    <w:p>
      <w:pPr>
        <w:spacing w:after="0" w:before="120"/>
      </w:pPr>
    </w:p>
    <w:p>
      <w:pPr>
        <w:pStyle w:val="Heading2"/>
      </w:pPr>
      <w:r>
        <w:rPr>
          <w:b/>
          <w:bCs/>
          <w:color w:val="1F497D"/>
          <w:sz w:val="26"/>
          <w:szCs w:val="26"/>
        </w:rPr>
        <w:t xml:space="preserve">Step 4 — Carbon Calculator (~15 minutes)</w:t>
      </w:r>
    </w:p>
    <w:p>
      <w:pPr>
        <w:pStyle w:val="ListParagraph"/>
        <w:numPr>
          <w:ilvl w:val="0"/>
          <w:numId w:val="2"/>
        </w:numPr>
        <w:spacing w:after="80"/>
      </w:pPr>
      <w:r>
        <w:rPr>
          <w:sz w:val="22"/>
          <w:szCs w:val="22"/>
        </w:rPr>
        <w:t xml:space="preserve">Step 0: select your primary operating region (sets electricity emission factors).</w:t>
      </w:r>
    </w:p>
    <w:p>
      <w:pPr>
        <w:pStyle w:val="ListParagraph"/>
        <w:numPr>
          <w:ilvl w:val="0"/>
          <w:numId w:val="2"/>
        </w:numPr>
        <w:spacing w:after="80"/>
      </w:pPr>
      <w:r>
        <w:rPr>
          <w:sz w:val="22"/>
          <w:szCs w:val="22"/>
        </w:rPr>
        <w:t xml:space="preserve">Step 1 — Scope 1: gas, LPG, oil, diesel, petrol, refrigerant, process emissions.</w:t>
      </w:r>
    </w:p>
    <w:p>
      <w:pPr>
        <w:pStyle w:val="ListParagraph"/>
        <w:numPr>
          <w:ilvl w:val="0"/>
          <w:numId w:val="2"/>
        </w:numPr>
        <w:spacing w:after="80"/>
      </w:pPr>
      <w:r>
        <w:rPr>
          <w:sz w:val="22"/>
          <w:szCs w:val="22"/>
        </w:rPr>
        <w:t xml:space="preserve">Step 2 — Scope 2: electricity by region (UK, EU, US, India, Global — enter each separately) and renewable %.</w:t>
      </w:r>
    </w:p>
    <w:p>
      <w:pPr>
        <w:pStyle w:val="ListParagraph"/>
        <w:numPr>
          <w:ilvl w:val="0"/>
          <w:numId w:val="2"/>
        </w:numPr>
        <w:spacing w:after="80"/>
      </w:pPr>
      <w:r>
        <w:rPr>
          <w:sz w:val="22"/>
          <w:szCs w:val="22"/>
        </w:rPr>
        <w:t xml:space="preserve">Step 3 — Scope 3: all 15 GHG Protocol categories. Priority: Cat 1 (goods), Cat 6 (flights), Cat 7 (commuting).</w:t>
      </w:r>
    </w:p>
    <w:p>
      <w:pPr>
        <w:pStyle w:val="ListParagraph"/>
        <w:numPr>
          <w:ilvl w:val="0"/>
          <w:numId w:val="2"/>
        </w:numPr>
        <w:spacing w:after="80"/>
      </w:pPr>
      <w:r>
        <w:rPr>
          <w:sz w:val="22"/>
          <w:szCs w:val="22"/>
        </w:rPr>
        <w:t xml:space="preserve">Step 4: review then Calculate. Only categories with data entered will generate recommendations.</w:t>
      </w:r>
    </w:p>
    <w:p>
      <w:pPr>
        <w:pBdr>
          <w:left w:val="single" w:color="1A6B3C" w:sz="12"/>
        </w:pBdr>
        <w:shd w:fill="E8F5E9" w:val="clear"/>
        <w:spacing w:after="120" w:before="120"/>
      </w:pPr>
      <w:r>
        <w:rPr>
          <w:i/>
          <w:iCs/>
          <w:sz w:val="21"/>
          <w:szCs w:val="21"/>
        </w:rPr>
        <w:t xml:space="preserve">All emission factors are from DESNZ 2025 (UK electricity) and DEFRA 2024 (all other fuels). Every factor is cited with its published source in the Sources &amp; Methodology panel.</w:t>
      </w:r>
    </w:p>
    <w:p>
      <w:pPr>
        <w:spacing w:after="0" w:before="120"/>
      </w:pPr>
    </w:p>
    <w:p>
      <w:pPr>
        <w:pStyle w:val="Heading2"/>
      </w:pPr>
      <w:r>
        <w:rPr>
          <w:b/>
          <w:bCs/>
          <w:color w:val="1F497D"/>
          <w:sz w:val="26"/>
          <w:szCs w:val="26"/>
        </w:rPr>
        <w:t xml:space="preserve">Step 5 — Carbon Dashboard</w:t>
      </w:r>
    </w:p>
    <w:p>
      <w:pPr>
        <w:pStyle w:val="ListParagraph"/>
        <w:numPr>
          <w:ilvl w:val="0"/>
          <w:numId w:val="2"/>
        </w:numPr>
        <w:spacing w:after="80"/>
      </w:pPr>
      <w:r>
        <w:rPr>
          <w:sz w:val="22"/>
          <w:szCs w:val="22"/>
        </w:rPr>
        <w:t xml:space="preserve">Scope 1, 2, and 3 totals, carbon intensity, and cost savings available.</w:t>
      </w:r>
    </w:p>
    <w:p>
      <w:pPr>
        <w:pStyle w:val="ListParagraph"/>
        <w:numPr>
          <w:ilvl w:val="0"/>
          <w:numId w:val="2"/>
        </w:numPr>
        <w:spacing w:after="80"/>
      </w:pPr>
      <w:r>
        <w:rPr>
          <w:sz w:val="22"/>
          <w:szCs w:val="22"/>
        </w:rPr>
        <w:t xml:space="preserve">Optimisation engine: 9 actions ranked by MAC, Cost, or Carbon — only actions relevant to your data appear.</w:t>
      </w:r>
    </w:p>
    <w:p>
      <w:pPr>
        <w:pStyle w:val="ListParagraph"/>
        <w:numPr>
          <w:ilvl w:val="0"/>
          <w:numId w:val="2"/>
        </w:numPr>
        <w:spacing w:after="80"/>
      </w:pPr>
      <w:r>
        <w:rPr>
          <w:sz w:val="22"/>
          <w:szCs w:val="22"/>
        </w:rPr>
        <w:t xml:space="preserve">Three scenario modes show projected emissions in 5 and 10 years: Business as Usual, Moderate Action, and Ambitious Transition.</w:t>
      </w:r>
    </w:p>
    <w:p>
      <w:pPr>
        <w:pStyle w:val="ListParagraph"/>
        <w:numPr>
          <w:ilvl w:val="0"/>
          <w:numId w:val="2"/>
        </w:numPr>
        <w:spacing w:after="80"/>
      </w:pPr>
      <w:r>
        <w:rPr>
          <w:sz w:val="22"/>
          <w:szCs w:val="22"/>
        </w:rPr>
        <w:t xml:space="preserve">Each scenario shows the BIA Environment pillar impact and which frameworks it satisfies.</w:t>
      </w:r>
    </w:p>
    <w:p>
      <w:pPr>
        <w:spacing w:after="0" w:before="120"/>
      </w:pPr>
    </w:p>
    <w:p>
      <w:pPr>
        <w:pStyle w:val="Heading2"/>
      </w:pPr>
      <w:r>
        <w:rPr>
          <w:b/>
          <w:bCs/>
          <w:color w:val="1F497D"/>
          <w:sz w:val="26"/>
          <w:szCs w:val="26"/>
        </w:rPr>
        <w:t xml:space="preserve">Step 6 — B Corp Readiness (~20 minutes)</w:t>
      </w:r>
    </w:p>
    <w:p>
      <w:pPr>
        <w:pStyle w:val="ListParagraph"/>
        <w:numPr>
          <w:ilvl w:val="0"/>
          <w:numId w:val="2"/>
        </w:numPr>
        <w:spacing w:after="80"/>
      </w:pPr>
      <w:r>
        <w:rPr>
          <w:sz w:val="22"/>
          <w:szCs w:val="22"/>
        </w:rPr>
        <w:t xml:space="preserve">28 questions across 5 pillars: Governance, Workers, Community, Environment, Customers.</w:t>
      </w:r>
    </w:p>
    <w:p>
      <w:pPr>
        <w:pStyle w:val="ListParagraph"/>
        <w:numPr>
          <w:ilvl w:val="0"/>
          <w:numId w:val="2"/>
        </w:numPr>
        <w:spacing w:after="80"/>
      </w:pPr>
      <w:r>
        <w:rPr>
          <w:sz w:val="22"/>
          <w:szCs w:val="22"/>
        </w:rPr>
        <w:t xml:space="preserve">Each question shows its B Lab reference code, why it matters, and estimated cost to improve.</w:t>
      </w:r>
    </w:p>
    <w:p>
      <w:pPr>
        <w:pStyle w:val="ListParagraph"/>
        <w:numPr>
          <w:ilvl w:val="0"/>
          <w:numId w:val="2"/>
        </w:numPr>
        <w:spacing w:after="80"/>
      </w:pPr>
      <w:r>
        <w:rPr>
          <w:sz w:val="22"/>
          <w:szCs w:val="22"/>
        </w:rPr>
        <w:t xml:space="preserve">Score updates live — aim for 80 points (certification threshold).</w:t>
      </w:r>
    </w:p>
    <w:p>
      <w:pPr>
        <w:pStyle w:val="ListParagraph"/>
        <w:numPr>
          <w:ilvl w:val="0"/>
          <w:numId w:val="2"/>
        </w:numPr>
        <w:spacing w:after="80"/>
      </w:pPr>
      <w:r>
        <w:rPr>
          <w:sz w:val="22"/>
          <w:szCs w:val="22"/>
        </w:rPr>
        <w:t xml:space="preserve">Click "AI B Corp Analysis" for a cost-optimal action plan (AI must be enabled).</w:t>
      </w:r>
    </w:p>
    <w:p>
      <w:pPr>
        <w:pStyle w:val="ListParagraph"/>
        <w:numPr>
          <w:ilvl w:val="0"/>
          <w:numId w:val="2"/>
        </w:numPr>
        <w:spacing w:after="80"/>
      </w:pPr>
      <w:r>
        <w:rPr>
          <w:sz w:val="22"/>
          <w:szCs w:val="22"/>
        </w:rPr>
        <w:t xml:space="preserve">Export answers as JSON for auditor handoff or to resume later.</w:t>
      </w:r>
    </w:p>
    <w:p>
      <w:pPr>
        <w:pBdr>
          <w:left w:val="single" w:color="1A6B3C" w:sz="12"/>
        </w:pBdr>
        <w:shd w:fill="E8F5E9" w:val="clear"/>
        <w:spacing w:after="120" w:before="120"/>
      </w:pPr>
      <w:r>
        <w:rPr>
          <w:i/>
          <w:iCs/>
          <w:sz w:val="21"/>
          <w:szCs w:val="21"/>
        </w:rPr>
        <w:t xml:space="preserve">This tool covers 28 core BIA questions (max 186 pts). The official BIA at bcorporation.net has 200+ questions, generated dynamically by sector. Score 85+ here before starting the official BIA.</w:t>
      </w:r>
    </w:p>
    <w:p>
      <w:pPr>
        <w:spacing w:after="0" w:before="120"/>
      </w:pPr>
    </w:p>
    <w:p>
      <w:pPr>
        <w:pStyle w:val="Heading2"/>
      </w:pPr>
      <w:r>
        <w:rPr>
          <w:b/>
          <w:bCs/>
          <w:color w:val="1F497D"/>
          <w:sz w:val="26"/>
          <w:szCs w:val="26"/>
        </w:rPr>
        <w:t xml:space="preserve">Step 7 — ESG Report</w:t>
      </w:r>
    </w:p>
    <w:p>
      <w:pPr>
        <w:pStyle w:val="ListParagraph"/>
        <w:numPr>
          <w:ilvl w:val="0"/>
          <w:numId w:val="2"/>
        </w:numPr>
        <w:spacing w:after="80"/>
      </w:pPr>
      <w:r>
        <w:rPr>
          <w:sz w:val="22"/>
          <w:szCs w:val="22"/>
        </w:rPr>
        <w:t xml:space="preserve">Draft Report: click "Generate Draft Report" for an AI-written disclosure (~30 seconds, AI must be enabled).</w:t>
      </w:r>
    </w:p>
    <w:p>
      <w:pPr>
        <w:pStyle w:val="ListParagraph"/>
        <w:numPr>
          <w:ilvl w:val="0"/>
          <w:numId w:val="2"/>
        </w:numPr>
        <w:spacing w:after="80"/>
      </w:pPr>
      <w:r>
        <w:rPr>
          <w:sz w:val="22"/>
          <w:szCs w:val="22"/>
        </w:rPr>
        <w:t xml:space="preserve">Audit-Ready Report: complete 21 qualitative questions from your evidence. Use AI Draft buttons per question.</w:t>
      </w:r>
    </w:p>
    <w:p>
      <w:pPr>
        <w:pStyle w:val="ListParagraph"/>
        <w:numPr>
          <w:ilvl w:val="0"/>
          <w:numId w:val="2"/>
        </w:numPr>
        <w:spacing w:after="80"/>
      </w:pPr>
      <w:r>
        <w:rPr>
          <w:sz w:val="22"/>
          <w:szCs w:val="22"/>
        </w:rPr>
        <w:t xml:space="preserve">Select your frameworks (GRI, CSRD, TCFD etc.) using the chip selectors.</w:t>
      </w:r>
    </w:p>
    <w:p>
      <w:pPr>
        <w:spacing w:after="0" w:before="240"/>
      </w:pPr>
    </w:p>
    <w:p>
      <w:pPr>
        <w:pStyle w:val="Heading1"/>
      </w:pPr>
      <w:r>
        <w:rPr>
          <w:b/>
          <w:bCs/>
          <w:color w:val="1A6B3C"/>
          <w:sz w:val="32"/>
          <w:szCs w:val="32"/>
        </w:rPr>
        <w:t xml:space="preserve">3. Saving, exporting and resuming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Data type</w:t>
            </w:r>
          </w:p>
        </w:tc>
        <w:tc>
          <w:tcPr>
            <w:tcW w:type="dxa" w:w="674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20"/>
                <w:szCs w:val="20"/>
              </w:rPr>
              <w:t xml:space="preserve">How it saves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Diagnostic answers</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Auto-saved after every answer. Resume banner on return. Export/import JSON via buttons on quiz and review screens.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BIA answers</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Auto-saved after every answer. Export/import JSON via buttons on B Corp screen.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Carbon data</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Saved after calculation. Edit any time via "Edit inputs" button.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Session</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30-minute inactivity timeout. Warning at 28 minutes. Click Stay logged in to extend.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PDF report</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Downloads screen &gt; Download ESG Report PDF.</w:t>
            </w:r>
          </w:p>
        </w:tc>
      </w:tr>
    </w:tbl>
    <w:p>
      <w:pPr>
        <w:spacing w:after="0" w:before="240"/>
      </w:pPr>
    </w:p>
    <w:p>
      <w:pPr>
        <w:pStyle w:val="Heading1"/>
      </w:pPr>
      <w:r>
        <w:rPr>
          <w:b/>
          <w:bCs/>
          <w:color w:val="1A6B3C"/>
          <w:sz w:val="32"/>
          <w:szCs w:val="32"/>
        </w:rPr>
        <w:t xml:space="preserve">4. Frequently asked questions</w:t>
      </w:r>
    </w:p>
    <w:p>
      <w:pPr>
        <w:pStyle w:val="Heading3"/>
      </w:pPr>
      <w:r>
        <w:rPr>
          <w:b/>
          <w:bCs/>
          <w:color w:val="2E7D32"/>
          <w:sz w:val="24"/>
          <w:szCs w:val="24"/>
        </w:rPr>
        <w:t xml:space="preserve">Can I use my own AI key?</w:t>
      </w:r>
    </w:p>
    <w:p>
      <w:pPr>
        <w:spacing w:after="120"/>
      </w:pPr>
      <w:r>
        <w:rPr>
          <w:sz w:val="22"/>
          <w:szCs w:val="22"/>
        </w:rPr>
        <w:t xml:space="preserve">Yes. Admin Panel &gt; AI tab &gt; Per-User Key Entry. Enter your Anthropic or Gemini key. Stored in your browser only.</w:t>
      </w:r>
    </w:p>
    <w:p>
      <w:pPr>
        <w:pStyle w:val="Heading3"/>
      </w:pPr>
      <w:r>
        <w:rPr>
          <w:b/>
          <w:bCs/>
          <w:color w:val="2E7D32"/>
          <w:sz w:val="24"/>
          <w:szCs w:val="24"/>
        </w:rPr>
        <w:t xml:space="preserve">Is my data private?</w:t>
      </w:r>
    </w:p>
    <w:p>
      <w:pPr>
        <w:spacing w:after="120"/>
      </w:pPr>
      <w:r>
        <w:rPr>
          <w:sz w:val="22"/>
          <w:szCs w:val="22"/>
        </w:rPr>
        <w:t xml:space="preserve">All data is stored in your browser's localStorage — it never leaves your device unless you export a JSON file or generate a report using the AI API. AI API calls send anonymised ESG data to Anthropic or Google, subject to their privacy policies.</w:t>
      </w:r>
    </w:p>
    <w:p>
      <w:pPr>
        <w:pStyle w:val="Heading3"/>
      </w:pPr>
      <w:r>
        <w:rPr>
          <w:b/>
          <w:bCs/>
          <w:color w:val="2E7D32"/>
          <w:sz w:val="24"/>
          <w:szCs w:val="24"/>
        </w:rPr>
        <w:t xml:space="preserve">What is the difference between this B Corp tool and the official BIA?</w:t>
      </w:r>
    </w:p>
    <w:p>
      <w:pPr>
        <w:spacing w:after="120"/>
      </w:pPr>
      <w:r>
        <w:rPr>
          <w:sz w:val="22"/>
          <w:szCs w:val="22"/>
        </w:rPr>
        <w:t xml:space="preserve">This tool covers 28 core BIA questions (max 186 pts). The official BIA at bcorporation.net has up to 200+ questions that are dynamically generated by sector and context. Score 85+ here before starting the official process.</w:t>
      </w:r>
    </w:p>
    <w:p>
      <w:pPr>
        <w:pStyle w:val="Heading3"/>
      </w:pPr>
      <w:r>
        <w:rPr>
          <w:b/>
          <w:bCs/>
          <w:color w:val="2E7D32"/>
          <w:sz w:val="24"/>
          <w:szCs w:val="24"/>
        </w:rPr>
        <w:t xml:space="preserve">My session expired — did I lose my work?</w:t>
      </w:r>
    </w:p>
    <w:p>
      <w:pPr>
        <w:spacing w:after="120"/>
      </w:pPr>
      <w:r>
        <w:rPr>
          <w:sz w:val="22"/>
          <w:szCs w:val="22"/>
        </w:rPr>
        <w:t xml:space="preserve">No. Diagnostic progress and BIA answers save automatically. Log back in — your data will be there. If you exported a JSON backup, you can also import it on the relevant screen.</w:t>
      </w:r>
    </w:p>
    <w:p>
      <w:pPr>
        <w:pStyle w:val="Heading3"/>
      </w:pPr>
      <w:r>
        <w:rPr>
          <w:b/>
          <w:bCs/>
          <w:color w:val="2E7D32"/>
          <w:sz w:val="24"/>
          <w:szCs w:val="24"/>
        </w:rPr>
        <w:t xml:space="preserve">Only some carbon recommendations are showing — is that correct?</w:t>
      </w:r>
    </w:p>
    <w:p>
      <w:pPr>
        <w:spacing w:after="120"/>
      </w:pPr>
      <w:r>
        <w:rPr>
          <w:sz w:val="22"/>
          <w:szCs w:val="22"/>
        </w:rPr>
        <w:t xml:space="preserve">Yes. This is intentional. Recommendations only appear for categories where you have entered data. If you entered no fleet mileage, there is no EV fleet recommendation. This prevents misleading advice on areas not applicable to your business.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2026-06-26T08:03:36.198Z</dcterms:created>
  <dcterms:modified xsi:type="dcterms:W3CDTF">2026-06-26T08:03:36.198Z</dcterms:modified>
</cp:coreProperties>
</file>

<file path=docProps/custom.xml><?xml version="1.0" encoding="utf-8"?>
<Properties xmlns="http://schemas.openxmlformats.org/officeDocument/2006/custom-properties" xmlns:vt="http://schemas.openxmlformats.org/officeDocument/2006/docPropsVTypes"/>
</file>