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6B3C"/>
          <w:sz w:val="56"/>
        </w:rPr>
        <w:t>ESG Health Check</w:t>
      </w:r>
    </w:p>
    <w:p>
      <w:pPr>
        <w:jc w:val="center"/>
      </w:pPr>
      <w:r>
        <w:rPr>
          <w:color w:val="6B8A75"/>
          <w:sz w:val="28"/>
        </w:rPr>
        <w:t>User Guide  —  Version 4.1</w:t>
      </w:r>
    </w:p>
    <w:p>
      <w:pPr>
        <w:jc w:val="center"/>
      </w:pPr>
      <w:r>
        <w:rPr>
          <w:color w:val="6B8A75"/>
          <w:sz w:val="20"/>
        </w:rPr>
        <w:t>i-nocarbon  |  June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6EDDF"/>
          </w:tcPr>
          <w:p>
            <w:r>
              <w:rPr>
                <w:b/>
                <w:color w:val="1A6B3C"/>
                <w:sz w:val="20"/>
              </w:rPr>
              <w:t>Who this guide is for</w:t>
            </w:r>
          </w:p>
          <w:p>
            <w:r>
              <w:rPr>
                <w:sz w:val="19"/>
              </w:rPr>
              <w:t>This guide is written for business users completing the ESG Health Check assessment.</w:t>
            </w:r>
          </w:p>
          <w:p>
            <w:r>
              <w:rPr>
                <w:sz w:val="19"/>
              </w:rPr>
              <w:t>For administrator setup (API keys, branding, passwords), see the Handover Guide.</w:t>
            </w:r>
          </w:p>
          <w:p>
            <w:r>
              <w:rPr>
                <w:sz w:val="19"/>
              </w:rPr>
              <w:t>No technical knowledge is required to use this tool.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1.  What Is the ESG Health Check?</w:t>
      </w:r>
    </w:p>
    <w:p>
      <w:pPr>
        <w:spacing w:after="120"/>
      </w:pPr>
      <w:r>
        <w:rPr>
          <w:b w:val="0"/>
          <w:i w:val="0"/>
          <w:sz w:val="20"/>
        </w:rPr>
        <w:t>The ESG Health Check is a free, browser-based self-assessment tool that measures your organisation's Environmental, Social, and Governance (ESG) maturity across 21 targeted questions in approximately 8 minutes. No data is sent to any server — everything stays in your browser.</w:t>
      </w:r>
    </w:p>
    <w:p>
      <w:pPr>
        <w:pStyle w:val="ListBullet"/>
        <w:spacing w:after="60"/>
      </w:pPr>
      <w:r>
        <w:rPr>
          <w:sz w:val="20"/>
        </w:rPr>
        <w:t>21 questions across 6 ESG dimensions</w:t>
      </w:r>
    </w:p>
    <w:p>
      <w:pPr>
        <w:pStyle w:val="ListBullet"/>
        <w:spacing w:after="60"/>
      </w:pPr>
      <w:r>
        <w:rPr>
          <w:sz w:val="20"/>
        </w:rPr>
        <w:t>Sector benchmark comparison (EcoVadis 2024 data)</w:t>
      </w:r>
    </w:p>
    <w:p>
      <w:pPr>
        <w:pStyle w:val="ListBullet"/>
        <w:spacing w:after="60"/>
      </w:pPr>
      <w:r>
        <w:rPr>
          <w:sz w:val="20"/>
        </w:rPr>
        <w:t>Personalised action roadmap with framework recommendations</w:t>
      </w:r>
    </w:p>
    <w:p>
      <w:pPr>
        <w:pStyle w:val="ListBullet"/>
        <w:spacing w:after="60"/>
      </w:pPr>
      <w:r>
        <w:rPr>
          <w:sz w:val="20"/>
        </w:rPr>
        <w:t>Optional AI-powered executive summary and chat advisor</w:t>
      </w:r>
    </w:p>
    <w:p>
      <w:pPr>
        <w:pStyle w:val="ListBullet"/>
        <w:spacing w:after="60"/>
      </w:pPr>
      <w:r>
        <w:rPr>
          <w:sz w:val="20"/>
        </w:rPr>
        <w:t>PDF export and data backup functionality</w:t>
      </w:r>
    </w:p>
    <w:p>
      <w:pPr>
        <w:pStyle w:val="ListBullet"/>
        <w:spacing w:after="60"/>
      </w:pPr>
      <w:r>
        <w:rPr>
          <w:sz w:val="20"/>
        </w:rPr>
        <w:t>Works on desktop and mobile browsers — no installation needed</w:t>
      </w:r>
    </w:p>
    <w:p>
      <w:pPr>
        <w:pStyle w:val="Heading1"/>
        <w:spacing w:before="280" w:after="80"/>
      </w:pPr>
      <w:r>
        <w:rPr>
          <w:color w:val="1A6B3C"/>
        </w:rPr>
        <w:t>2.  Getting Started</w:t>
      </w:r>
    </w:p>
    <w:p>
      <w:pPr>
        <w:spacing w:after="120"/>
      </w:pPr>
      <w:r>
        <w:rPr>
          <w:b w:val="0"/>
          <w:i w:val="0"/>
          <w:sz w:val="20"/>
        </w:rPr>
        <w:t>Open the tool in your browser. You will see the welcome screen with your organisation's branding (if configured by an administrator).</w:t>
      </w:r>
    </w:p>
    <w:p>
      <w:pPr>
        <w:pStyle w:val="Heading2"/>
        <w:spacing w:before="160" w:after="80"/>
      </w:pPr>
      <w:r>
        <w:rPr>
          <w:color w:val="0D6B6B"/>
        </w:rPr>
        <w:t>2.1  Choosing Your Assessment Mode</w:t>
      </w:r>
    </w:p>
    <w:p>
      <w:pPr>
        <w:spacing w:after="120"/>
      </w:pPr>
      <w:r>
        <w:rPr>
          <w:b w:val="0"/>
          <w:i w:val="0"/>
          <w:sz w:val="20"/>
        </w:rPr>
        <w:t>Click '🚀 Start Assessment' in the bar at the bottom of the screen, or scroll down to the mode selector. Both modes ask the same 21 questions and produce identical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Grouped by Theme (Recommended)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All questions for one ESG theme appear on the same page. 6 short sections — faster to complete.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One at a Time (Classic)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Each question on its own page. More focused, step-by-step experience.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8E6F5"/>
          </w:tcPr>
          <w:p>
            <w:r>
              <w:rPr>
                <w:b/>
                <w:color w:val="0D6B6B"/>
                <w:sz w:val="20"/>
              </w:rPr>
              <w:t>Tip — Start Assessment Button</w:t>
            </w:r>
          </w:p>
          <w:p>
            <w:r>
              <w:rPr>
                <w:sz w:val="19"/>
              </w:rPr>
              <w:t>When you click 'Start Assessment' from the welcome screen, the two mode cards will pulse green and a hint arrow appears to guide you to choose your preferred mode.</w:t>
            </w:r>
          </w:p>
        </w:tc>
      </w:tr>
    </w:tbl>
    <w:p/>
    <w:p>
      <w:pPr>
        <w:pStyle w:val="Heading2"/>
        <w:spacing w:before="160" w:after="80"/>
      </w:pPr>
      <w:r>
        <w:rPr>
          <w:color w:val="0D6B6B"/>
        </w:rPr>
        <w:t>2.2  Saving Your Progress</w:t>
      </w:r>
    </w:p>
    <w:p>
      <w:pPr>
        <w:spacing w:after="120"/>
      </w:pPr>
      <w:r>
        <w:rPr>
          <w:b w:val="0"/>
          <w:i w:val="0"/>
          <w:sz w:val="20"/>
        </w:rPr>
        <w:t>Your answers are automatically saved to your browser as you go. If you close the browser or navigate away:</w:t>
      </w:r>
    </w:p>
    <w:p>
      <w:pPr>
        <w:pStyle w:val="ListBullet"/>
        <w:spacing w:after="60"/>
      </w:pPr>
      <w:r>
        <w:rPr>
          <w:sz w:val="20"/>
        </w:rPr>
        <w:t>Your progress is preserved in your browser's local storage</w:t>
      </w:r>
    </w:p>
    <w:p>
      <w:pPr>
        <w:pStyle w:val="ListBullet"/>
        <w:spacing w:after="60"/>
      </w:pPr>
      <w:r>
        <w:rPr>
          <w:sz w:val="20"/>
        </w:rPr>
        <w:t>When you return, you will see a 'Saved Progress Found' banner with the option to continue or start fresh</w:t>
      </w:r>
    </w:p>
    <w:p>
      <w:pPr>
        <w:pStyle w:val="ListBullet"/>
        <w:spacing w:after="60"/>
      </w:pPr>
      <w:r>
        <w:rPr>
          <w:sz w:val="20"/>
        </w:rPr>
        <w:t>A warning message appears if you try to close the browser with unsaved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AEBD4"/>
          </w:tcPr>
          <w:p>
            <w:r>
              <w:rPr>
                <w:b/>
                <w:color w:val="C97B22"/>
                <w:sz w:val="20"/>
              </w:rPr>
              <w:t>Important — Data Storage</w:t>
            </w:r>
          </w:p>
          <w:p>
            <w:r>
              <w:rPr>
                <w:sz w:val="19"/>
              </w:rPr>
              <w:t>Your answers and API keys are stored only in your own browser (localStorage).</w:t>
            </w:r>
          </w:p>
          <w:p>
            <w:r>
              <w:rPr>
                <w:sz w:val="19"/>
              </w:rPr>
              <w:t>Clearing your browser history or cache will delete saved progress.</w:t>
            </w:r>
          </w:p>
          <w:p>
            <w:r>
              <w:rPr>
                <w:sz w:val="19"/>
              </w:rPr>
              <w:t>Use 'Download Backup' on the results screen to save a permanent copy.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3.  Completing the Assessment</w:t>
      </w:r>
    </w:p>
    <w:p>
      <w:pPr>
        <w:pStyle w:val="Heading2"/>
        <w:spacing w:before="160" w:after="80"/>
      </w:pPr>
      <w:r>
        <w:rPr>
          <w:color w:val="0D6B6B"/>
        </w:rPr>
        <w:t>3.1  Answering Questions</w:t>
      </w:r>
    </w:p>
    <w:p>
      <w:pPr>
        <w:spacing w:after="120"/>
      </w:pPr>
      <w:r>
        <w:rPr>
          <w:b w:val="0"/>
          <w:i w:val="0"/>
          <w:sz w:val="20"/>
        </w:rPr>
        <w:t>Each question has 4 answer options scored 0–4. Select the answer that best reflects your organisation's current position. There are no right or wrong answers — honest responses produce the most useful results.</w:t>
      </w:r>
    </w:p>
    <w:p>
      <w:pPr>
        <w:spacing w:after="120"/>
      </w:pPr>
      <w:r>
        <w:rPr>
          <w:b w:val="0"/>
          <w:i w:val="0"/>
          <w:sz w:val="20"/>
        </w:rPr>
        <w:t>Progress is tracked in the header bar showing your current section (e.g. 'Section 2 of 6').</w:t>
      </w:r>
    </w:p>
    <w:p>
      <w:pPr>
        <w:pStyle w:val="Heading2"/>
        <w:spacing w:before="160" w:after="80"/>
      </w:pPr>
      <w:r>
        <w:rPr>
          <w:color w:val="0D6B6B"/>
        </w:rPr>
        <w:t>3.2  Satisfaction Gate — Reviewing Before Your Report</w:t>
      </w:r>
    </w:p>
    <w:p>
      <w:pPr>
        <w:spacing w:after="120"/>
      </w:pPr>
      <w:r>
        <w:rPr>
          <w:b w:val="0"/>
          <w:i w:val="0"/>
          <w:sz w:val="20"/>
        </w:rPr>
        <w:t>When you click 'See My ESG Score →' after entering your details, a confirmation screen appears: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6EDDF"/>
          </w:tcPr>
          <w:p>
            <w:r>
              <w:rPr>
                <w:b/>
                <w:color w:val="1A6B3C"/>
                <w:sz w:val="20"/>
              </w:rPr>
              <w:t>🎯  Ready to see your results?</w:t>
            </w:r>
          </w:p>
          <w:p>
            <w:r>
              <w:rPr>
                <w:sz w:val="19"/>
              </w:rPr>
              <w:t>You will be asked: 'Are you happy with your answers, or would you like to review and edit them first?'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  <w:t xml:space="preserve">  ✏️  Edit My Answers  →  Returns you to Section 1 of the quiz with all your existing answers pre-filled</w:t>
            </w:r>
          </w:p>
          <w:p>
            <w:r>
              <w:rPr>
                <w:sz w:val="19"/>
              </w:rPr>
              <w:t xml:space="preserve">  ✓  Yes, Show My Report  →  Proceeds directly to your personalised results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You can also click 'Skip — just show me the results' to bypass this confirmation.</w:t>
      </w:r>
    </w:p>
    <w:p>
      <w:pPr>
        <w:pStyle w:val="Heading2"/>
        <w:spacing w:before="160" w:after="80"/>
      </w:pPr>
      <w:r>
        <w:rPr>
          <w:color w:val="0D6B6B"/>
        </w:rPr>
        <w:t>3.3  Your Details Screen</w:t>
      </w:r>
    </w:p>
    <w:p>
      <w:pPr>
        <w:spacing w:after="120"/>
      </w:pPr>
      <w:r>
        <w:rPr>
          <w:b w:val="0"/>
          <w:i w:val="0"/>
          <w:sz w:val="20"/>
        </w:rPr>
        <w:t>After completing all 21 questions, you are asked to enter your details to personalise your report:</w:t>
      </w:r>
    </w:p>
    <w:p>
      <w:pPr>
        <w:pStyle w:val="ListBullet"/>
        <w:spacing w:after="60"/>
      </w:pPr>
      <w:r>
        <w:rPr>
          <w:sz w:val="20"/>
        </w:rPr>
        <w:t>Your name and organisation name</w:t>
      </w:r>
    </w:p>
    <w:p>
      <w:pPr>
        <w:pStyle w:val="ListBullet"/>
        <w:spacing w:after="60"/>
      </w:pPr>
      <w:r>
        <w:rPr>
          <w:sz w:val="20"/>
        </w:rPr>
        <w:t>Sector (e.g. Manufacturing, Financial Services)</w:t>
      </w:r>
    </w:p>
    <w:p>
      <w:pPr>
        <w:pStyle w:val="ListBullet"/>
        <w:spacing w:after="60"/>
      </w:pPr>
      <w:r>
        <w:rPr>
          <w:sz w:val="20"/>
        </w:rPr>
        <w:t>Region (UK, EU, US, etc.)</w:t>
      </w:r>
    </w:p>
    <w:p>
      <w:pPr>
        <w:pStyle w:val="ListBullet"/>
        <w:spacing w:after="60"/>
      </w:pPr>
      <w:r>
        <w:rPr>
          <w:sz w:val="20"/>
        </w:rPr>
        <w:t>Company size and email address (optional)</w:t>
      </w:r>
    </w:p>
    <w:p>
      <w:pPr>
        <w:spacing w:after="120"/>
      </w:pPr>
      <w:r>
        <w:rPr>
          <w:b w:val="0"/>
          <w:i w:val="0"/>
          <w:sz w:val="20"/>
        </w:rPr>
        <w:t>All fields are optional — you can click 'Skip' to go straight to the results.</w:t>
      </w:r>
    </w:p>
    <w:p>
      <w:pPr>
        <w:pStyle w:val="Heading2"/>
        <w:spacing w:before="160" w:after="80"/>
      </w:pPr>
      <w:r>
        <w:rPr>
          <w:color w:val="0D6B6B"/>
        </w:rPr>
        <w:t>3.4  Editing Your Answers</w:t>
      </w:r>
    </w:p>
    <w:p>
      <w:pPr>
        <w:spacing w:after="120"/>
      </w:pPr>
      <w:r>
        <w:rPr>
          <w:b w:val="0"/>
          <w:i w:val="0"/>
          <w:sz w:val="20"/>
        </w:rPr>
        <w:t>Once your results are showing, you can go back and edit any of your answers without losing your data:</w:t>
      </w:r>
    </w:p>
    <w:p>
      <w:pPr>
        <w:pStyle w:val="ListBullet"/>
        <w:spacing w:after="60"/>
      </w:pPr>
      <w:r>
        <w:rPr>
          <w:sz w:val="20"/>
        </w:rPr>
        <w:t>Click the '✏️ Edit Answers' button in the top-right of the results screen</w:t>
      </w:r>
    </w:p>
    <w:p>
      <w:pPr>
        <w:pStyle w:val="ListBullet"/>
        <w:spacing w:after="60"/>
      </w:pPr>
      <w:r>
        <w:rPr>
          <w:sz w:val="20"/>
        </w:rPr>
        <w:t>This returns you to Section 1 of the assessment with all existing answers pre-filled</w:t>
      </w:r>
    </w:p>
    <w:p>
      <w:pPr>
        <w:pStyle w:val="ListBullet"/>
        <w:spacing w:after="60"/>
      </w:pPr>
      <w:r>
        <w:rPr>
          <w:sz w:val="20"/>
        </w:rPr>
        <w:t>Change any answers you wish, then click through to update your report</w:t>
      </w:r>
    </w:p>
    <w:p>
      <w:pPr>
        <w:pStyle w:val="ListBullet"/>
        <w:spacing w:after="60"/>
      </w:pPr>
      <w:r>
        <w:rPr>
          <w:sz w:val="20"/>
        </w:rPr>
        <w:t>Your updated scores and recommendations will recalculate automatically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0F4F0"/>
          </w:tcPr>
          <w:p>
            <w:r>
              <w:rPr>
                <w:b/>
                <w:color w:val="6B8A75"/>
                <w:sz w:val="20"/>
              </w:rPr>
              <w:t>Note</w:t>
            </w:r>
          </w:p>
          <w:p>
            <w:r>
              <w:rPr>
                <w:sz w:val="19"/>
              </w:rPr>
              <w:t>'✏️ Edit Answers' preserves your existing answers for review.</w:t>
            </w:r>
          </w:p>
          <w:p>
            <w:r>
              <w:rPr>
                <w:sz w:val="19"/>
              </w:rPr>
              <w:t>'🔄 Retake' starts a completely fresh assessment and clears all answers.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4.  Understanding Your Results</w:t>
      </w:r>
    </w:p>
    <w:p>
      <w:pPr>
        <w:pStyle w:val="Heading2"/>
        <w:spacing w:before="160" w:after="80"/>
      </w:pPr>
      <w:r>
        <w:rPr>
          <w:color w:val="0D6B6B"/>
        </w:rPr>
        <w:t>4.1  Overall ESG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Band &amp; Meaning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0 – 24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Early Stage — ESG activity is informal or absent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25 – 44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Developing — Some ESG initiatives, mostly reactive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45 – 64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Progressing — Active ESG programme with some structure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65 – 79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Maturing — Credible programme with structure and intent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80 – 100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Leading — Exemplary ESG practice, third-party validated</w:t>
            </w:r>
          </w:p>
        </w:tc>
      </w:tr>
    </w:tbl>
    <w:p/>
    <w:p>
      <w:pPr>
        <w:pStyle w:val="Heading2"/>
        <w:spacing w:before="160" w:after="80"/>
      </w:pPr>
      <w:r>
        <w:rPr>
          <w:color w:val="0D6B6B"/>
        </w:rPr>
        <w:t>4.2  Dimension Scores &amp; Charts</w:t>
      </w:r>
    </w:p>
    <w:p>
      <w:pPr>
        <w:spacing w:after="120"/>
      </w:pPr>
      <w:r>
        <w:rPr>
          <w:b w:val="0"/>
          <w:i w:val="0"/>
          <w:sz w:val="20"/>
        </w:rPr>
        <w:t>Your score is broken down across 6 ESG dimensions, each compared to your sector benchmark:</w:t>
      </w:r>
    </w:p>
    <w:p>
      <w:pPr>
        <w:pStyle w:val="ListBullet"/>
        <w:spacing w:after="60"/>
      </w:pPr>
      <w:r>
        <w:rPr>
          <w:sz w:val="20"/>
        </w:rPr>
        <w:t>Climate &amp; Energy</w:t>
      </w:r>
    </w:p>
    <w:p>
      <w:pPr>
        <w:pStyle w:val="ListBullet"/>
        <w:spacing w:after="60"/>
      </w:pPr>
      <w:r>
        <w:rPr>
          <w:sz w:val="20"/>
        </w:rPr>
        <w:t>Waste &amp; Circularity</w:t>
      </w:r>
    </w:p>
    <w:p>
      <w:pPr>
        <w:pStyle w:val="ListBullet"/>
        <w:spacing w:after="60"/>
      </w:pPr>
      <w:r>
        <w:rPr>
          <w:sz w:val="20"/>
        </w:rPr>
        <w:t>People &amp; Wellbeing</w:t>
      </w:r>
    </w:p>
    <w:p>
      <w:pPr>
        <w:pStyle w:val="ListBullet"/>
        <w:spacing w:after="60"/>
      </w:pPr>
      <w:r>
        <w:rPr>
          <w:sz w:val="20"/>
        </w:rPr>
        <w:t>Community &amp; Supply Chain</w:t>
      </w:r>
    </w:p>
    <w:p>
      <w:pPr>
        <w:pStyle w:val="ListBullet"/>
        <w:spacing w:after="60"/>
      </w:pPr>
      <w:r>
        <w:rPr>
          <w:sz w:val="20"/>
        </w:rPr>
        <w:t>Leadership &amp; Governance</w:t>
      </w:r>
    </w:p>
    <w:p>
      <w:pPr>
        <w:pStyle w:val="ListBullet"/>
        <w:spacing w:after="60"/>
      </w:pPr>
      <w:r>
        <w:rPr>
          <w:sz w:val="20"/>
        </w:rPr>
        <w:t>Reporting &amp; Transparency</w:t>
      </w:r>
    </w:p>
    <w:p>
      <w:pPr>
        <w:pStyle w:val="Heading2"/>
        <w:spacing w:before="160" w:after="80"/>
      </w:pPr>
      <w:r>
        <w:rPr>
          <w:color w:val="0D6B6B"/>
        </w:rPr>
        <w:t>4.3  AI Executive Summary</w:t>
      </w:r>
    </w:p>
    <w:p>
      <w:pPr>
        <w:spacing w:after="120"/>
      </w:pPr>
      <w:r>
        <w:rPr>
          <w:b w:val="0"/>
          <w:i w:val="0"/>
          <w:sz w:val="20"/>
        </w:rPr>
        <w:t>If AI is enabled, a personalised executive summary appears at the top of your results. This is generated by the AI advisor based on your specific scores, sector, and region.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AEBD4"/>
          </w:tcPr>
          <w:p>
            <w:r>
              <w:rPr>
                <w:b/>
                <w:color w:val="C97B22"/>
                <w:sz w:val="20"/>
              </w:rPr>
              <w:t>AI is Off — What You See</w:t>
            </w:r>
          </w:p>
          <w:p>
            <w:r>
              <w:rPr>
                <w:sz w:val="19"/>
              </w:rPr>
              <w:t>When AI is not enabled, each AI-powered section shows a dashed prompt box explaining what would appear with AI enabled.</w:t>
            </w:r>
          </w:p>
          <w:p>
            <w:r>
              <w:rPr>
                <w:sz w:val="19"/>
              </w:rPr>
              <w:t>You or your administrator can enable AI in Admin Settings or via 'My AI Settings' on the welcome screen.</w:t>
            </w:r>
          </w:p>
        </w:tc>
      </w:tr>
    </w:tbl>
    <w:p/>
    <w:p>
      <w:pPr>
        <w:pStyle w:val="Heading2"/>
        <w:spacing w:before="160" w:after="80"/>
      </w:pPr>
      <w:r>
        <w:rPr>
          <w:color w:val="0D6B6B"/>
        </w:rPr>
        <w:t>4.4  Recommended Actions</w:t>
      </w:r>
    </w:p>
    <w:p>
      <w:pPr>
        <w:spacing w:after="120"/>
      </w:pPr>
      <w:r>
        <w:rPr>
          <w:b w:val="0"/>
          <w:i w:val="0"/>
          <w:sz w:val="20"/>
        </w:rPr>
        <w:t>Your 4 lowest-scoring dimensions are shown with specific, prioritised action cards including:</w:t>
      </w:r>
    </w:p>
    <w:p>
      <w:pPr>
        <w:pStyle w:val="ListBullet"/>
        <w:spacing w:after="60"/>
      </w:pPr>
      <w:r>
        <w:rPr>
          <w:sz w:val="20"/>
        </w:rPr>
        <w:t>Current score and projected improvement range</w:t>
      </w:r>
    </w:p>
    <w:p>
      <w:pPr>
        <w:pStyle w:val="ListBullet"/>
        <w:spacing w:after="60"/>
      </w:pPr>
      <w:r>
        <w:rPr>
          <w:sz w:val="20"/>
        </w:rPr>
        <w:t>Timeline estimate</w:t>
      </w:r>
    </w:p>
    <w:p>
      <w:pPr>
        <w:pStyle w:val="ListBullet"/>
        <w:spacing w:after="60"/>
      </w:pPr>
      <w:r>
        <w:rPr>
          <w:sz w:val="20"/>
        </w:rPr>
        <w:t>3 specific first steps tailored to your sector</w:t>
      </w:r>
    </w:p>
    <w:p>
      <w:pPr>
        <w:pStyle w:val="ListBullet"/>
        <w:spacing w:after="60"/>
      </w:pPr>
      <w:r>
        <w:rPr>
          <w:sz w:val="20"/>
        </w:rPr>
        <w:t>Relevant reporting frameworks</w:t>
      </w:r>
    </w:p>
    <w:p>
      <w:pPr>
        <w:pStyle w:val="Heading2"/>
        <w:spacing w:before="160" w:after="80"/>
      </w:pPr>
      <w:r>
        <w:rPr>
          <w:color w:val="0D6B6B"/>
        </w:rPr>
        <w:t>4.5  Framework Recommendations</w:t>
      </w:r>
    </w:p>
    <w:p>
      <w:pPr>
        <w:spacing w:after="120"/>
      </w:pPr>
      <w:r>
        <w:rPr>
          <w:b w:val="0"/>
          <w:i w:val="0"/>
          <w:sz w:val="20"/>
        </w:rPr>
        <w:t>Based on your sector, region, and company size, the tool recommends relevant ESG reporting frameworks such as GRI, CSRD, TCFD, SBTi, and UK SECR.</w:t>
      </w:r>
    </w:p>
    <w:p>
      <w:pPr>
        <w:pStyle w:val="Heading1"/>
        <w:spacing w:before="280" w:after="80"/>
      </w:pPr>
      <w:r>
        <w:rPr>
          <w:color w:val="1A6B3C"/>
        </w:rPr>
        <w:t>5.  AI Features</w:t>
      </w:r>
    </w:p>
    <w:p>
      <w:pPr>
        <w:pStyle w:val="Heading2"/>
        <w:spacing w:before="160" w:after="80"/>
      </w:pPr>
      <w:r>
        <w:rPr>
          <w:color w:val="0D6B6B"/>
        </w:rPr>
        <w:t>5.1  Two Ways to Enable AI</w:t>
      </w:r>
    </w:p>
    <w:p>
      <w:pPr>
        <w:spacing w:after="120"/>
      </w:pPr>
      <w:r>
        <w:rPr>
          <w:b w:val="0"/>
          <w:i w:val="0"/>
          <w:sz w:val="20"/>
        </w:rPr>
        <w:t>The ESG Health Check supports two independent ways to use AI — you do not need an admin to set it up for you: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AI Source</w:t>
            </w:r>
          </w:p>
        </w:tc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Admin AI Key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Set by your administrator in Admin Settings. Applies to all users of this installation. Takes priority over your personal key.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My AI Settings (Personal Key)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Set by you on the welcome screen. Your own Anthropic or Gemini API key stored only in your browser. Used when no admin key is active.</w:t>
            </w:r>
          </w:p>
        </w:tc>
      </w:tr>
    </w:tbl>
    <w:p/>
    <w:p>
      <w:pPr>
        <w:pStyle w:val="Heading2"/>
        <w:spacing w:before="160" w:after="80"/>
      </w:pPr>
      <w:r>
        <w:rPr>
          <w:color w:val="0D6B6B"/>
        </w:rPr>
        <w:t>5.2  Setting Up Your Own AI Key (My AI Settings)</w:t>
      </w:r>
    </w:p>
    <w:p>
      <w:pPr>
        <w:spacing w:after="120"/>
      </w:pPr>
      <w:r>
        <w:rPr>
          <w:b w:val="0"/>
          <w:i w:val="0"/>
          <w:sz w:val="20"/>
        </w:rPr>
        <w:t>On the welcome screen, scroll down below the mode cards to find the '⚡ My AI Settings' panel:</w:t>
      </w:r>
    </w:p>
    <w:p>
      <w:pPr>
        <w:pStyle w:val="ListBullet"/>
        <w:spacing w:after="60"/>
      </w:pPr>
      <w:r>
        <w:rPr>
          <w:sz w:val="20"/>
        </w:rPr>
        <w:t>Click the panel header to expand it</w:t>
      </w:r>
    </w:p>
    <w:p>
      <w:pPr>
        <w:pStyle w:val="ListBullet"/>
        <w:spacing w:after="60"/>
      </w:pPr>
      <w:r>
        <w:rPr>
          <w:sz w:val="20"/>
        </w:rPr>
        <w:t>Choose your preferred AI provider: Anthropic (Claude) or Google Gemini</w:t>
      </w:r>
    </w:p>
    <w:p>
      <w:pPr>
        <w:pStyle w:val="ListBullet"/>
        <w:spacing w:after="60"/>
      </w:pPr>
      <w:r>
        <w:rPr>
          <w:sz w:val="20"/>
        </w:rPr>
        <w:t>Paste your API key and click 'Save &amp; Enable'</w:t>
      </w:r>
    </w:p>
    <w:p>
      <w:pPr>
        <w:pStyle w:val="ListBullet"/>
        <w:spacing w:after="60"/>
      </w:pPr>
      <w:r>
        <w:rPr>
          <w:sz w:val="20"/>
        </w:rPr>
        <w:t>The cost estimate is shown (approx. £0.004/session for Anthropic, £0.002/session for Gemini)</w:t>
      </w:r>
    </w:p>
    <w:p>
      <w:pPr>
        <w:pStyle w:val="ListBullet"/>
        <w:spacing w:after="60"/>
      </w:pPr>
      <w:r>
        <w:rPr>
          <w:sz w:val="20"/>
        </w:rPr>
        <w:t>Your key is stored only in your browser — it is never sent to i-nocarbon or any server other than your chosen AI 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8E6F5"/>
          </w:tcPr>
          <w:p>
            <w:r>
              <w:rPr>
                <w:b/>
                <w:color w:val="3B5F8A"/>
                <w:sz w:val="20"/>
              </w:rPr>
              <w:t>How to Get an API Key</w:t>
            </w:r>
          </w:p>
          <w:p>
            <w:r>
              <w:rPr>
                <w:sz w:val="19"/>
              </w:rPr>
              <w:t>Anthropic (Claude):  console.anthropic.com  →  API Keys</w:t>
            </w:r>
          </w:p>
          <w:p>
            <w:r>
              <w:rPr>
                <w:sz w:val="19"/>
              </w:rPr>
              <w:t>Google Gemini:  aistudio.google.com  →  Get API Key</w:t>
            </w:r>
          </w:p>
          <w:p>
            <w:r>
              <w:rPr>
                <w:sz w:val="19"/>
              </w:rPr>
              <w:t>Free tiers are available on both platforms.</w:t>
            </w:r>
          </w:p>
        </w:tc>
      </w:tr>
    </w:tbl>
    <w:p/>
    <w:p>
      <w:pPr>
        <w:pStyle w:val="Heading2"/>
        <w:spacing w:before="160" w:after="80"/>
      </w:pPr>
      <w:r>
        <w:rPr>
          <w:color w:val="0D6B6B"/>
        </w:rPr>
        <w:t>5.3  AI Chat Advisor</w:t>
      </w:r>
    </w:p>
    <w:p>
      <w:pPr>
        <w:spacing w:after="120"/>
      </w:pPr>
      <w:r>
        <w:rPr>
          <w:b w:val="0"/>
          <w:i w:val="0"/>
          <w:sz w:val="20"/>
        </w:rPr>
        <w:t>When AI is enabled, the chat section at the bottom of your results provides contextual answers based on your specific scores, sector, and region. Quick-reply chips suggest common questions to get you started.</w:t>
      </w:r>
    </w:p>
    <w:p>
      <w:pPr>
        <w:pStyle w:val="Heading2"/>
        <w:spacing w:before="160" w:after="80"/>
      </w:pPr>
      <w:r>
        <w:rPr>
          <w:color w:val="0D6B6B"/>
        </w:rPr>
        <w:t>5.4  AI in Your PDF Report</w:t>
      </w:r>
    </w:p>
    <w:p>
      <w:pPr>
        <w:spacing w:after="120"/>
      </w:pPr>
      <w:r>
        <w:rPr>
          <w:b w:val="0"/>
          <w:i w:val="0"/>
          <w:sz w:val="20"/>
        </w:rPr>
        <w:t>The PDF export reflects your AI status:</w:t>
      </w:r>
    </w:p>
    <w:p>
      <w:pPr>
        <w:pStyle w:val="ListBullet"/>
        <w:spacing w:after="60"/>
      </w:pPr>
      <w:r>
        <w:rPr>
          <w:sz w:val="20"/>
        </w:rPr>
        <w:t>AI On: A green '✨ AI-ENHANCED REPORT' banner appears at the top, and a personalised executive summary is included</w:t>
      </w:r>
    </w:p>
    <w:p>
      <w:pPr>
        <w:pStyle w:val="ListBullet"/>
        <w:spacing w:after="60"/>
      </w:pPr>
      <w:r>
        <w:rPr>
          <w:sz w:val="20"/>
        </w:rPr>
        <w:t>AI Off: A grey 'AI ADVISOR STATUS: DEACTIVATED' box explains what additional content would appear with AI enabled</w:t>
      </w:r>
    </w:p>
    <w:p>
      <w:pPr>
        <w:pStyle w:val="ListBullet"/>
        <w:spacing w:after="60"/>
      </w:pPr>
      <w:r>
        <w:rPr>
          <w:sz w:val="20"/>
        </w:rPr>
        <w:t>The footer shows which AI provider (if any) was used to generate the report</w:t>
      </w:r>
    </w:p>
    <w:p>
      <w:pPr>
        <w:pStyle w:val="Heading1"/>
        <w:spacing w:before="280" w:after="80"/>
      </w:pPr>
      <w:r>
        <w:rPr>
          <w:color w:val="1A6B3C"/>
        </w:rPr>
        <w:t>6.  Exporting &amp; Saving Your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Button</w:t>
            </w:r>
          </w:p>
        </w:tc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⬇ Export PDF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Generates a full PDF report including scores, charts, recommendations, frameworks, and AI content (if enabled). Saved to your Downloads folder.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💾 Download Backup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Saves all your answers and profile data as a JSON file. Use this to restore your assessment later or share with an administrator.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✏️ Edit Answers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Returns to the quiz at Section 1 with all answers pre-filled for review and editing.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🔄 Retake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Clears all answers and starts a completely fresh assessment.</w:t>
            </w:r>
          </w:p>
        </w:tc>
      </w:tr>
    </w:tbl>
    <w:p/>
    <w:p>
      <w:pPr>
        <w:pStyle w:val="Heading2"/>
        <w:spacing w:before="160" w:after="80"/>
      </w:pPr>
      <w:r>
        <w:rPr>
          <w:color w:val="0D6B6B"/>
        </w:rPr>
        <w:t>6.1  Receiving Results by Email</w:t>
      </w:r>
    </w:p>
    <w:p>
      <w:pPr>
        <w:spacing w:after="120"/>
      </w:pPr>
      <w:r>
        <w:rPr>
          <w:b w:val="0"/>
          <w:i w:val="0"/>
          <w:sz w:val="20"/>
        </w:rPr>
        <w:t>Enter your email address in the 'Receive these results by email' bar at the top of the results screen to have a copy sent to you.</w:t>
      </w:r>
    </w:p>
    <w:p>
      <w:pPr>
        <w:pStyle w:val="Heading1"/>
        <w:spacing w:before="280" w:after="80"/>
      </w:pPr>
      <w:r>
        <w:rPr>
          <w:color w:val="1A6B3C"/>
        </w:rPr>
        <w:t>7.  Demo Mode</w:t>
      </w:r>
    </w:p>
    <w:p>
      <w:pPr>
        <w:spacing w:after="120"/>
      </w:pPr>
      <w:r>
        <w:rPr>
          <w:b w:val="0"/>
          <w:i w:val="0"/>
          <w:sz w:val="20"/>
        </w:rPr>
        <w:t>Click '▶ Run Demo — See Sample Results' on the welcome screen to view a pre-filled demonstration using 'Greenfield Manufacturing Ltd', a sample UK mid-market manufacturing company with a score of 50/100. This shows what a full results page looks like without completing the assessment yourself.</w:t>
      </w:r>
    </w:p>
    <w:p>
      <w:pPr>
        <w:pStyle w:val="Heading1"/>
        <w:spacing w:before="280" w:after="80"/>
      </w:pPr>
      <w:r>
        <w:rPr>
          <w:color w:val="1A6B3C"/>
        </w:rPr>
        <w:t>8.  Frequently Asked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3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My answers have disappeared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Your browser cache may have been cleared. Always use 'Download Backup' after completing an assessment to save a permanent copy.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AI features are not working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Check that a valid API key has been saved in 'My AI Settings' (personal) or ask your administrator to enable the Admin AI key.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The PDF is missing AI content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AI must be enabled before clicking 'Export PDF'. The PDF captures the current state of the results screen.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 want to change my answers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Click '✏️ Edit Answers' on the results screen to return to Section 1 with all existing answers preserved.</w:t>
            </w:r>
          </w:p>
        </w:tc>
      </w:tr>
      <w:tr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The tool asks me to confirm before showing results</w:t>
            </w:r>
          </w:p>
        </w:tc>
        <w:tc>
          <w:tcPr>
            <w:tcW w:type="dxa" w:w="4703"/>
            <w:shd w:val="clear" w:color="auto" w:fill="F6F9F7"/>
          </w:tcPr>
          <w:p>
            <w:r>
              <w:rPr>
                <w:sz w:val="18"/>
              </w:rPr>
              <w:t>This is the Satisfaction Gate — a brief check to ensure you are happy with your answers. Click 'Edit My Answers' to review or 'Yes, Show My Report' to proceed.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Can I use this on my phone?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Yes — the tool is fully responsive and works on mobile browsers. The admin bar at the bottom adapts to smaller screens.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6EDDF"/>
          </w:tcPr>
          <w:p>
            <w:r>
              <w:rPr>
                <w:b/>
                <w:color w:val="0F4226"/>
                <w:sz w:val="20"/>
              </w:rPr>
              <w:t>Security &amp; Privacy</w:t>
            </w:r>
          </w:p>
          <w:p>
            <w:r>
              <w:rPr>
                <w:sz w:val="19"/>
              </w:rPr>
              <w:t>No answers, names, or API keys are ever stored on i-nocarbon servers.</w:t>
            </w:r>
          </w:p>
          <w:p>
            <w:r>
              <w:rPr>
                <w:sz w:val="19"/>
              </w:rPr>
              <w:t>All data stays in your browser's localStorage unless you explicitly export it.</w:t>
            </w:r>
          </w:p>
          <w:p>
            <w:r>
              <w:rPr>
                <w:sz w:val="19"/>
              </w:rPr>
              <w:t>API keys are stored locally and deleted when you clear your browser storage.</w:t>
            </w:r>
          </w:p>
          <w:p>
            <w:r>
              <w:rPr>
                <w:sz w:val="19"/>
              </w:rPr>
              <w:t>ESG Health Check V4.1  |  i-nocarbon  |  info@i-nocarbon.com  |  June 2026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