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A6B3C"/>
          <w:sz w:val="16"/>
        </w:rPr>
        <w:t>OFFICIAL HANDOUT // ESG HEALTH CHECK TOOLKIT V4.0</w:t>
      </w:r>
    </w:p>
    <w:p>
      <w:pPr>
        <w:spacing w:after="360"/>
      </w:pPr>
      <w:r>
        <w:rPr>
          <w:b/>
          <w:color w:val="1A6B3C"/>
          <w:sz w:val="44"/>
        </w:rPr>
        <w:t>ESG Health Check Tool — Quick Reference Guide</w:t>
      </w:r>
    </w:p>
    <w:p>
      <w:pPr>
        <w:pStyle w:val="Heading1"/>
      </w:pPr>
      <w:r>
        <w:t>ESG Compliance &amp; Carbon Hub — Quick Reference Guide</w:t>
      </w:r>
    </w:p>
    <w:p>
      <w:r>
        <w:t>This reference guide provides a quick lookup for tooltips, emission factor coefficients, pricing rates, and B-Corp fees.</w:t>
      </w:r>
    </w:p>
    <w:p>
      <w:pPr>
        <w:pStyle w:val="Heading1"/>
      </w:pPr>
      <w:r>
        <w:t>1. Tab &amp; Screen Quick Map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EDDF"/>
          <w:left w:val="single" w:sz="4" w:space="0" w:color="D6EDDF"/>
          <w:bottom w:val="single" w:sz="4" w:space="0" w:color="D6EDDF"/>
          <w:right w:val="single" w:sz="4" w:space="0" w:color="D6EDDF"/>
          <w:insideH w:val="single" w:sz="4" w:space="0" w:color="D6EDDF"/>
          <w:insideV w:val="single" w:sz="4" w:space="0" w:color="D6EDDF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Tab ID</w:t>
            </w:r>
          </w:p>
        </w:tc>
        <w:tc>
          <w:tcPr>
            <w:tcW w:type="dxa" w:w="312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Nav Label</w:t>
            </w:r>
          </w:p>
        </w:tc>
        <w:tc>
          <w:tcPr>
            <w:tcW w:type="dxa" w:w="312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Primary Objective</w:t>
            </w:r>
          </w:p>
        </w:tc>
      </w:tr>
      <w:tr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diagnostic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ESG Diagnostic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21-Question qualitative check to score ESG maturity (0-100 pts) and identify gaps.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intake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Setup &amp; Intake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Establish company boundary, material topics, and active disclosure frameworks.</w:t>
            </w:r>
          </w:p>
        </w:tc>
      </w:tr>
      <w:tr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questionnaire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Audit Questionnaire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Draft compliance disclosures for active frameworks (supports AI drafts).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carbon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Carbon Calculator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Input physical consumption metrics to compute Scope 1, 2, and 3 footprint.</w:t>
            </w:r>
          </w:p>
        </w:tc>
      </w:tr>
      <w:tr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carbon-dashboard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Carbon Dashboard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Interactive charts, recalculation warning banners, and top 3 project recommendations.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bcorp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B-Corp Pathway</w:t>
            </w:r>
            <w:r/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eligibility checks, BIA progress checklist, and fee projection models.</w:t>
            </w:r>
          </w:p>
        </w:tc>
      </w:tr>
      <w:tr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report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Consolidated Report</w:t>
            </w:r>
            <w:r/>
          </w:p>
        </w:tc>
        <w:tc>
          <w:tcPr>
            <w:tcW w:type="dxa" w:w="312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Compiles all audit scopes and qualitative answers into printable assurance layout.</w:t>
            </w:r>
          </w:p>
        </w:tc>
      </w:tr>
    </w:tbl>
    <w:p>
      <w:pPr>
        <w:pStyle w:val="Heading1"/>
      </w:pPr>
      <w:r>
        <w:t>2. Tooltip Dictionary (14 Core Fields)</w:t>
      </w:r>
    </w:p>
    <w:p>
      <w:r>
        <w:t xml:space="preserve">Hovering over the </w:t>
      </w:r>
      <w:r>
        <w:rPr>
          <w:rFonts w:ascii="Consolas" w:hAnsi="Consolas"/>
          <w:color w:val="C0392B"/>
          <w:sz w:val="19"/>
        </w:rPr>
        <w:t>[?]</w:t>
      </w:r>
      <w:r>
        <w:t xml:space="preserve"> icons on fields displays the following definitions:</w:t>
      </w:r>
    </w:p>
    <w:p>
      <w:pPr>
        <w:pStyle w:val="ListBullet"/>
      </w:pPr>
      <w:r/>
      <w:r>
        <w:rPr>
          <w:b/>
        </w:rPr>
        <w:t>Company Name (Setup &amp; Calculator):</w:t>
      </w:r>
      <w:r>
        <w:t xml:space="preserve"> "Specify the primary operating legal entity name as registered for carbon reporting."</w:t>
      </w:r>
    </w:p>
    <w:p>
      <w:pPr>
        <w:pStyle w:val="ListBullet"/>
      </w:pPr>
      <w:r>
        <w:t xml:space="preserve"> </w:t>
      </w:r>
      <w:r>
        <w:rPr>
          <w:b/>
        </w:rPr>
        <w:t>Scope Boundaries:</w:t>
      </w:r>
      <w:r>
        <w:t xml:space="preserve"> "Check Scopes to define your operational control boundary (Scope 1=Direct, Scope 2=Grid, Scope 3=Value Chain)."</w:t>
      </w:r>
    </w:p>
    <w:p>
      <w:pPr>
        <w:pStyle w:val="ListBullet"/>
      </w:pPr>
      <w:r>
        <w:t xml:space="preserve"> </w:t>
      </w:r>
      <w:r>
        <w:rPr>
          <w:b/>
        </w:rPr>
        <w:t>Subsidiaries &amp; Joint Ventures:</w:t>
      </w:r>
      <w:r>
        <w:t xml:space="preserve"> "Check JVs to apply financial control boundaries to subsidiary operations."</w:t>
      </w:r>
    </w:p>
    <w:p>
      <w:pPr>
        <w:pStyle w:val="ListBullet"/>
      </w:pPr>
      <w:r>
        <w:t xml:space="preserve"> </w:t>
      </w:r>
      <w:r>
        <w:rPr>
          <w:b/>
        </w:rPr>
        <w:t>Data Readiness Scale:</w:t>
      </w:r>
      <w:r>
        <w:t xml:space="preserve"> "Select Level 1 for basic spreadsheets, or up to Level 5 for real-time automated API integration."</w:t>
      </w:r>
    </w:p>
    <w:p>
      <w:pPr>
        <w:pStyle w:val="ListBullet"/>
      </w:pPr>
      <w:r>
        <w:t xml:space="preserve"> </w:t>
      </w:r>
      <w:r>
        <w:rPr>
          <w:b/>
        </w:rPr>
        <w:t>Assurance Scope:</w:t>
      </w:r>
      <w:r>
        <w:t xml:space="preserve"> "Target level of verification required: Limited (sample-based check) or Reasonable (deep audit check)."</w:t>
      </w:r>
    </w:p>
    <w:p>
      <w:pPr>
        <w:pStyle w:val="ListBullet"/>
      </w:pPr>
      <w:r>
        <w:t xml:space="preserve"> </w:t>
      </w:r>
      <w:r>
        <w:rPr>
          <w:b/>
        </w:rPr>
        <w:t>Region standard selector:</w:t>
      </w:r>
      <w:r>
        <w:t xml:space="preserve"> "Select Region Standard (UK DEFRA, US EPA, EU AIB) to load correct emission factor coefficients."</w:t>
      </w:r>
    </w:p>
    <w:p>
      <w:pPr>
        <w:pStyle w:val="ListBullet"/>
      </w:pPr>
      <w:r>
        <w:t xml:space="preserve"> </w:t>
      </w:r>
      <w:r>
        <w:rPr>
          <w:b/>
        </w:rPr>
        <w:t>Fuel Gas (Scope 1):</w:t>
      </w:r>
      <w:r>
        <w:t xml:space="preserve"> "Natural gas consumed by central heating systems or industrial boilers (kWh)."</w:t>
      </w:r>
    </w:p>
    <w:p>
      <w:pPr>
        <w:pStyle w:val="ListBullet"/>
      </w:pPr>
      <w:r>
        <w:t xml:space="preserve"> </w:t>
      </w:r>
      <w:r>
        <w:rPr>
          <w:b/>
        </w:rPr>
        <w:t>Fleet Diesel (Scope 1):</w:t>
      </w:r>
      <w:r>
        <w:t xml:space="preserve"> "Total diesel consumed by company-owned or leased delivery vans and company cars (Litres)."</w:t>
      </w:r>
    </w:p>
    <w:p>
      <w:pPr>
        <w:pStyle w:val="ListBullet"/>
      </w:pPr>
      <w:r>
        <w:t xml:space="preserve"> </w:t>
      </w:r>
      <w:r>
        <w:rPr>
          <w:b/>
        </w:rPr>
        <w:t>Fleet Petrol (Scope 1):</w:t>
      </w:r>
      <w:r>
        <w:t xml:space="preserve"> "Total petrol fuel consumed by sales fleet and corporate passenger vehicles (Litres)."</w:t>
      </w:r>
    </w:p>
    <w:p>
      <w:pPr>
        <w:pStyle w:val="ListBullet"/>
      </w:pPr>
      <w:r/>
      <w:r>
        <w:rPr>
          <w:b/>
        </w:rPr>
        <w:t>Refrigerant F-Gas (Scope 1):</w:t>
      </w:r>
      <w:r>
        <w:t xml:space="preserve"> "Chemical top-ups for HVAC, chiller systems, and warehouse cold-storage cooling units (kg)."</w:t>
      </w:r>
    </w:p>
    <w:p>
      <w:pPr>
        <w:pStyle w:val="ListBullet"/>
      </w:pPr>
      <w:r/>
      <w:r>
        <w:rPr>
          <w:b/>
        </w:rPr>
        <w:t>Grid Electricity (Scope 2):</w:t>
      </w:r>
      <w:r>
        <w:t xml:space="preserve"> "Grid electricity purchased for corporate offices and production plants (kWh)."</w:t>
      </w:r>
    </w:p>
    <w:p>
      <w:pPr>
        <w:pStyle w:val="ListBullet"/>
      </w:pPr>
      <w:r/>
      <w:r>
        <w:rPr>
          <w:b/>
        </w:rPr>
        <w:t>Business Travel (Scope 3):</w:t>
      </w:r>
      <w:r>
        <w:t xml:space="preserve"> "Employee commuting miles and corporate flights/rail travel (passenger-km)."</w:t>
      </w:r>
    </w:p>
    <w:p>
      <w:pPr>
        <w:pStyle w:val="ListBullet"/>
      </w:pPr>
      <w:r/>
      <w:r>
        <w:rPr>
          <w:b/>
        </w:rPr>
        <w:t>Waste &amp; Water (Scope 3):</w:t>
      </w:r>
      <w:r>
        <w:t xml:space="preserve"> "Solid waste sent to municipal disposal landfills (tonnes) and clean water withdrawn (m³)."</w:t>
      </w:r>
    </w:p>
    <w:p>
      <w:pPr>
        <w:pStyle w:val="ListBullet"/>
      </w:pPr>
      <w:r/>
      <w:r>
        <w:rPr>
          <w:b/>
        </w:rPr>
        <w:t>BIA Checklist (B-Corp):</w:t>
      </w:r>
      <w:r>
        <w:t xml:space="preserve"> "Check off criteria items from the BIA framework to calculate your estimated certification entry score."</w:t>
      </w:r>
    </w:p>
    <w:p>
      <w:pPr>
        <w:pStyle w:val="Heading1"/>
      </w:pPr>
      <w:r>
        <w:t>3. Regional Emission Coefficients &amp; Price Rates</w:t>
      </w:r>
    </w:p>
    <w:p>
      <w:r>
        <w:t>The Calculator automatically swaps these values depending on the selected Region:</w:t>
      </w:r>
    </w:p>
    <w:p>
      <w:pPr>
        <w:pStyle w:val="Heading2"/>
      </w:pPr>
      <w:r>
        <w:t>Carbon Emission Mappings (tCO2e per unit)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EDDF"/>
          <w:left w:val="single" w:sz="4" w:space="0" w:color="D6EDDF"/>
          <w:bottom w:val="single" w:sz="4" w:space="0" w:color="D6EDDF"/>
          <w:right w:val="single" w:sz="4" w:space="0" w:color="D6EDDF"/>
          <w:insideH w:val="single" w:sz="4" w:space="0" w:color="D6EDDF"/>
          <w:insideV w:val="single" w:sz="4" w:space="0" w:color="D6EDD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Factor ID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UK Standard (DEFRA)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US Standard (EPA)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EU Standard (AIB)</w:t>
            </w:r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Natural Gas</w:t>
            </w:r>
            <w:r>
              <w:t xml:space="preserve"> (per kWh)</w:t>
            </w:r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0.18293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0.18120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0.20100</w:t>
            </w:r>
            <w:r/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Diesel Fuel</w:t>
            </w:r>
            <w:r>
              <w:t xml:space="preserve"> (per Litre)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2.51233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2.68000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2.65000</w:t>
            </w:r>
            <w:r/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Petrol Fuel</w:t>
            </w:r>
            <w:r>
              <w:t xml:space="preserve"> (per Litre)</w:t>
            </w:r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2.10444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2.31000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2.30000</w:t>
            </w:r>
            <w:r/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Refrigerants</w:t>
            </w:r>
            <w:r>
              <w:t xml:space="preserve"> (per kg)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2088.00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2088.00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2088.00</w:t>
            </w:r>
            <w:r/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Electricity</w:t>
            </w:r>
            <w:r>
              <w:t xml:space="preserve"> (per kWh)</w:t>
            </w:r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0.20707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0.37100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0.27500</w:t>
            </w:r>
            <w:r/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Flight Travel</w:t>
            </w:r>
            <w:r>
              <w:t xml:space="preserve"> (per pass-km)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0.15600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0.13300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0.14500</w:t>
            </w:r>
            <w:r/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Solid Waste</w:t>
            </w:r>
            <w:r>
              <w:t xml:space="preserve"> (per Tonne)</w:t>
            </w:r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467.000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467.000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467.000</w:t>
            </w:r>
            <w:r/>
          </w:p>
        </w:tc>
      </w:tr>
    </w:tbl>
    <w:p>
      <w:pPr>
        <w:pStyle w:val="Heading2"/>
      </w:pPr>
      <w:r>
        <w:t>Utility Price Rates (Price per unit)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EDDF"/>
          <w:left w:val="single" w:sz="4" w:space="0" w:color="D6EDDF"/>
          <w:bottom w:val="single" w:sz="4" w:space="0" w:color="D6EDDF"/>
          <w:right w:val="single" w:sz="4" w:space="0" w:color="D6EDDF"/>
          <w:insideH w:val="single" w:sz="4" w:space="0" w:color="D6EDDF"/>
          <w:insideV w:val="single" w:sz="4" w:space="0" w:color="D6EDD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Region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Electricity Price (per kWh)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Gas Price (per kWh)</w:t>
            </w:r>
          </w:p>
        </w:tc>
        <w:tc>
          <w:tcPr>
            <w:tcW w:type="dxa" w:w="2340"/>
            <w:shd w:fill="0F231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Currency Symbol</w:t>
            </w:r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UK (DEFRA)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£0.28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£0.07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£</w:t>
            </w:r>
            <w:r/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US (EPA)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$0.16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$0.04</w:t>
            </w:r>
            <w:r/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$</w:t>
            </w:r>
            <w:r/>
          </w:p>
        </w:tc>
      </w:tr>
      <w:tr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</w:rPr>
              <w:t>Europe (AIB)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€0.25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€0.09</w:t>
            </w:r>
            <w:r/>
          </w:p>
        </w:tc>
        <w:tc>
          <w:tcPr>
            <w:tcW w:type="dxa" w:w="2340"/>
            <w:shd w:fill="F6F9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rFonts w:ascii="Consolas" w:hAnsi="Consolas"/>
                <w:color w:val="C0392B"/>
                <w:sz w:val="17"/>
              </w:rPr>
              <w:t>€</w:t>
            </w:r>
            <w:r/>
          </w:p>
        </w:tc>
      </w:tr>
    </w:tbl>
    <w:p>
      <w:pPr>
        <w:pStyle w:val="Heading1"/>
      </w:pPr>
      <w:r>
        <w:t>4. B-Corp Eligibility &amp; Fee Model</w:t>
      </w:r>
    </w:p>
    <w:p>
      <w:pPr>
        <w:pStyle w:val="Heading2"/>
      </w:pPr>
      <w:r>
        <w:t>Eligibility Tracks</w:t>
      </w:r>
    </w:p>
    <w:p>
      <w:pPr>
        <w:pStyle w:val="ListBullet"/>
      </w:pPr>
      <w:r/>
      <w:r>
        <w:rPr>
          <w:b/>
        </w:rPr>
        <w:t>Full Certification Track:</w:t>
      </w:r>
      <w:r>
        <w:t xml:space="preserve"> Operating history is 12+ months and entity is for-profit.</w:t>
      </w:r>
    </w:p>
    <w:p>
      <w:pPr>
        <w:pStyle w:val="ListBullet"/>
      </w:pPr>
      <w:r/>
      <w:r>
        <w:rPr>
          <w:b/>
        </w:rPr>
        <w:t>Pending B Corp Track:</w:t>
      </w:r>
      <w:r>
        <w:t xml:space="preserve"> Operating history is under 12 months. Requires adopting stakeholder bylaws early.</w:t>
      </w:r>
    </w:p>
    <w:p>
      <w:pPr>
        <w:pStyle w:val="ListBullet"/>
      </w:pPr>
      <w:r/>
      <w:r>
        <w:rPr>
          <w:b/>
        </w:rPr>
        <w:t>NGO / Charity Disqualification:</w:t>
      </w:r>
      <w:r>
        <w:t xml:space="preserve"> Non-profits cannot certify as B-Corps.</w:t>
      </w:r>
    </w:p>
    <w:p>
      <w:pPr>
        <w:pStyle w:val="Heading2"/>
      </w:pPr>
      <w:r>
        <w:t>Projected Annual Fees</w:t>
      </w:r>
    </w:p>
    <w:p>
      <w:r>
        <w:t>The projected annual fees are updated based on your revenue range:</w:t>
      </w:r>
    </w:p>
    <w:p>
      <w:pPr>
        <w:pStyle w:val="ListBullet"/>
      </w:pPr>
      <w:r/>
      <w:r>
        <w:rPr>
          <w:b/>
        </w:rPr>
        <w:t>Under $150k:</w:t>
      </w:r>
      <w:r>
        <w:t xml:space="preserve"> </w:t>
      </w:r>
      <w:r>
        <w:rPr>
          <w:rFonts w:ascii="Consolas" w:hAnsi="Consolas"/>
          <w:color w:val="C0392B"/>
          <w:sz w:val="19"/>
        </w:rPr>
        <w:t>$1,000 / year</w:t>
      </w:r>
      <w:r/>
    </w:p>
    <w:p>
      <w:pPr>
        <w:pStyle w:val="ListBullet"/>
      </w:pPr>
      <w:r/>
      <w:r>
        <w:rPr>
          <w:b/>
        </w:rPr>
        <w:t>Under $1m:</w:t>
      </w:r>
      <w:r>
        <w:t xml:space="preserve"> </w:t>
      </w:r>
      <w:r>
        <w:rPr>
          <w:rFonts w:ascii="Consolas" w:hAnsi="Consolas"/>
          <w:color w:val="C0392B"/>
          <w:sz w:val="19"/>
        </w:rPr>
        <w:t>$2,000 / year</w:t>
      </w:r>
      <w:r/>
    </w:p>
    <w:p>
      <w:pPr>
        <w:pStyle w:val="ListBullet"/>
      </w:pPr>
      <w:r/>
      <w:r>
        <w:rPr>
          <w:b/>
        </w:rPr>
        <w:t>Under $5m:</w:t>
      </w:r>
      <w:r>
        <w:t xml:space="preserve"> </w:t>
      </w:r>
      <w:r>
        <w:rPr>
          <w:rFonts w:ascii="Consolas" w:hAnsi="Consolas"/>
          <w:color w:val="C0392B"/>
          <w:sz w:val="19"/>
        </w:rPr>
        <w:t>$3,500 / year</w:t>
      </w:r>
      <w:r/>
    </w:p>
    <w:p>
      <w:pPr>
        <w:pStyle w:val="ListBullet"/>
      </w:pPr>
      <w:r/>
      <w:r>
        <w:rPr>
          <w:b/>
        </w:rPr>
        <w:t>Under $10m:</w:t>
      </w:r>
      <w:r>
        <w:t xml:space="preserve"> </w:t>
      </w:r>
      <w:r>
        <w:rPr>
          <w:rFonts w:ascii="Consolas" w:hAnsi="Consolas"/>
          <w:color w:val="C0392B"/>
          <w:sz w:val="19"/>
        </w:rPr>
        <w:t>$5,000 / year</w:t>
      </w:r>
      <w:r/>
    </w:p>
    <w:p>
      <w:pPr>
        <w:pStyle w:val="ListBullet"/>
      </w:pPr>
      <w:r/>
      <w:r>
        <w:rPr>
          <w:b/>
        </w:rPr>
        <w:t>Under $50m:</w:t>
      </w:r>
      <w:r>
        <w:t xml:space="preserve"> </w:t>
      </w:r>
      <w:r>
        <w:rPr>
          <w:rFonts w:ascii="Consolas" w:hAnsi="Consolas"/>
          <w:color w:val="C0392B"/>
          <w:sz w:val="19"/>
        </w:rPr>
        <w:t>$10,000 / year</w:t>
      </w:r>
      <w:r/>
    </w:p>
    <w:p>
      <w:pPr>
        <w:pStyle w:val="ListBullet"/>
      </w:pPr>
      <w:r/>
      <w:r>
        <w:rPr>
          <w:b/>
        </w:rPr>
        <w:t>Above $50m:</w:t>
      </w:r>
      <w:r>
        <w:t xml:space="preserve"> </w:t>
      </w:r>
      <w:r>
        <w:rPr>
          <w:rFonts w:ascii="Consolas" w:hAnsi="Consolas"/>
          <w:color w:val="C0392B"/>
          <w:sz w:val="19"/>
        </w:rPr>
        <w:t>$15,000+ / year</w:t>
      </w: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4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6B3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6B3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4A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