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A6B3C"/>
          <w:sz w:val="16"/>
        </w:rPr>
        <w:t>OFFICIAL HANDOUT // ESG HEALTH CHECK TOOLKIT V4.0</w:t>
      </w:r>
    </w:p>
    <w:p>
      <w:pPr>
        <w:spacing w:after="360"/>
      </w:pPr>
      <w:r>
        <w:rPr>
          <w:b/>
          <w:color w:val="1A6B3C"/>
          <w:sz w:val="44"/>
        </w:rPr>
        <w:t>ESG Health Check Tool — User Workflow Guide</w:t>
      </w:r>
    </w:p>
    <w:p>
      <w:pPr>
        <w:pStyle w:val="Heading1"/>
      </w:pPr>
      <w:r>
        <w:t>ESG Compliance &amp; Carbon Hub — User Guide</w:t>
      </w:r>
    </w:p>
    <w:p>
      <w:r>
        <w:t xml:space="preserve">This guide provides operational workflows and step-by-step instructions for business users, sustainability leads, and compliance managers using the </w:t>
      </w:r>
      <w:r>
        <w:rPr>
          <w:b/>
        </w:rPr>
        <w:t>ESG Compliance &amp; Carbon Hub</w:t>
      </w:r>
      <w:r>
        <w:t>.</w:t>
      </w:r>
    </w:p>
    <w:p>
      <w:pPr>
        <w:pStyle w:val="Heading1"/>
      </w:pPr>
      <w:r>
        <w:t>1. Executive Workflow Overview</w:t>
      </w:r>
    </w:p>
    <w:p>
      <w:r>
        <w:t>The ESG Hub operates as an interconnected, single-page application. Inputs entered in one tab (such as company name, size, jurisdiction, or carbon outputs) automatically update diagnostic metrics, regulatory requirements, B-Corp fee schedules, and the compiled Consolidated Report.</w:t>
      </w:r>
    </w:p>
    <w:p>
      <w:r>
        <w:t>We recommend following this standard diagnostic-to-report workflow: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graph TD</w:t>
              <w:br/>
            </w:r>
            <w:r>
              <w:rPr>
                <w:color w:val="2D4A38"/>
                <w:sz w:val="19"/>
              </w:rPr>
              <w:t xml:space="preserve">    A[1. ESG Maturity Diagnostic] --&gt; B[2. Setup &amp; Regulatory Intake]</w:t>
              <w:br/>
            </w:r>
            <w:r>
              <w:rPr>
                <w:color w:val="2D4A38"/>
                <w:sz w:val="19"/>
              </w:rPr>
              <w:t xml:space="preserve">    B --&gt; C[3. Qualitative Questionnaire]</w:t>
              <w:br/>
            </w:r>
            <w:r>
              <w:rPr>
                <w:color w:val="2D4A38"/>
                <w:sz w:val="19"/>
              </w:rPr>
              <w:t xml:space="preserve">    B --&gt; D[4. Carbon Calculator]</w:t>
              <w:br/>
            </w:r>
            <w:r>
              <w:rPr>
                <w:color w:val="2D4A38"/>
                <w:sz w:val="19"/>
              </w:rPr>
              <w:t xml:space="preserve">    D --&gt; E[5. Carbon Dashboard]</w:t>
              <w:br/>
            </w:r>
            <w:r>
              <w:rPr>
                <w:color w:val="2D4A38"/>
                <w:sz w:val="19"/>
              </w:rPr>
              <w:t xml:space="preserve">    C --&gt; F[6. B-Corp Assessment]</w:t>
              <w:br/>
            </w:r>
            <w:r>
              <w:rPr>
                <w:color w:val="2D4A38"/>
                <w:sz w:val="19"/>
              </w:rPr>
              <w:t xml:space="preserve">    E --&gt; F</w:t>
              <w:br/>
            </w:r>
            <w:r>
              <w:rPr>
                <w:color w:val="2D4A38"/>
                <w:sz w:val="19"/>
              </w:rPr>
              <w:t xml:space="preserve">    F --&gt; G[7. Consolidated Report]</w:t>
              <w:br/>
            </w:r>
            <w:r>
              <w:rPr>
                <w:color w:val="2D4A38"/>
                <w:sz w:val="19"/>
              </w:rPr>
              <w:t xml:space="preserve">    G --&gt; H[Print / PDF Sign-Off]</w:t>
              <w:br/>
            </w:r>
          </w:p>
        </w:tc>
      </w:tr>
    </w:tbl>
    <w:p>
      <w:pPr>
        <w:pStyle w:val="Heading1"/>
      </w:pPr>
      <w:r>
        <w:t>2. Detailed Tab Workflows</w:t>
      </w:r>
    </w:p>
    <w:p>
      <w:pPr>
        <w:pStyle w:val="Heading2"/>
      </w:pPr>
      <w:r>
        <w:t>Tab 1: ESG Maturity Diagnostic</w:t>
      </w:r>
    </w:p>
    <w:p>
      <w:r>
        <w:t>Conduct a high-level sustainability check across Environmental, Social, and Governance pillars.</w:t>
      </w:r>
    </w:p>
    <w:p>
      <w:pPr>
        <w:pStyle w:val="ListBullet"/>
      </w:pPr>
      <w:r>
        <w:t xml:space="preserve">Click </w:t>
      </w:r>
      <w:r>
        <w:rPr>
          <w:b/>
        </w:rPr>
        <w:t>Begin Your ESG Health Check</w:t>
      </w:r>
      <w:r>
        <w:t xml:space="preserve"> to open the wizard.</w:t>
      </w:r>
    </w:p>
    <w:p>
      <w:pPr>
        <w:pStyle w:val="ListBullet"/>
      </w:pPr>
      <w:r>
        <w:t xml:space="preserve"> Answer all </w:t>
      </w:r>
      <w:r>
        <w:rPr>
          <w:b/>
        </w:rPr>
        <w:t>21 questions</w:t>
      </w:r>
      <w:r>
        <w:t xml:space="preserve"> (7 per pillar). Hover over the </w:t>
      </w:r>
      <w:r>
        <w:rPr>
          <w:rFonts w:ascii="Consolas" w:hAnsi="Consolas"/>
          <w:color w:val="C0392B"/>
          <w:sz w:val="19"/>
        </w:rPr>
        <w:t>[?]</w:t>
      </w:r>
      <w:r>
        <w:t xml:space="preserve"> tooltips for guidance on specific terms.</w:t>
      </w:r>
    </w:p>
    <w:p>
      <w:pPr>
        <w:pStyle w:val="ListBullet"/>
      </w:pPr>
      <w:r>
        <w:t xml:space="preserve"> Click </w:t>
      </w:r>
      <w:r>
        <w:rPr>
          <w:b/>
        </w:rPr>
        <w:t>See Results</w:t>
      </w:r>
      <w:r>
        <w:t xml:space="preserve"> at the end. The system will calculate:</w:t>
      </w:r>
    </w:p>
    <w:p>
      <w:pPr>
        <w:pStyle w:val="ListBullet"/>
      </w:pPr>
      <w:r>
        <w:t xml:space="preserve">Your overall </w:t>
      </w:r>
      <w:r>
        <w:rPr>
          <w:b/>
        </w:rPr>
        <w:t>Maturity Score</w:t>
      </w:r>
      <w:r>
        <w:t xml:space="preserve"> (0–100).</w:t>
      </w:r>
    </w:p>
    <w:p>
      <w:pPr>
        <w:pStyle w:val="ListBullet"/>
      </w:pPr>
      <w:r/>
      <w:r>
        <w:rPr>
          <w:b/>
        </w:rPr>
        <w:t>Pillar Sub-scores</w:t>
      </w:r>
      <w:r>
        <w:t xml:space="preserve"> (Environmental, Social, and Governance percentages).</w:t>
      </w:r>
    </w:p>
    <w:p>
      <w:pPr>
        <w:pStyle w:val="ListBullet"/>
      </w:pPr>
      <w:r>
        <w:t xml:space="preserve"> </w:t>
      </w:r>
      <w:r>
        <w:rPr>
          <w:b/>
        </w:rPr>
        <w:t>Target Slider:</w:t>
      </w:r>
      <w:r>
        <w:t xml:space="preserve"> Adjust the *Maturity Target Goal* slider to see your score gap.</w:t>
      </w:r>
    </w:p>
    <w:p>
      <w:pPr>
        <w:pStyle w:val="ListBullet"/>
      </w:pPr>
      <w:r>
        <w:t xml:space="preserve"> </w:t>
      </w:r>
      <w:r>
        <w:rPr>
          <w:b/>
        </w:rPr>
        <w:t>Drill Down:</w:t>
      </w:r>
      <w:r>
        <w:t xml:space="preserve"> Click the </w:t>
      </w:r>
      <w:r>
        <w:rPr>
          <w:b/>
        </w:rPr>
        <w:t>Environmental</w:t>
      </w:r>
      <w:r>
        <w:t xml:space="preserve">, </w:t>
      </w:r>
      <w:r>
        <w:rPr>
          <w:b/>
        </w:rPr>
        <w:t>Social</w:t>
      </w:r>
      <w:r>
        <w:t xml:space="preserve">, or </w:t>
      </w:r>
      <w:r>
        <w:rPr>
          <w:b/>
        </w:rPr>
        <w:t>Governance</w:t>
      </w:r>
      <w:r>
        <w:t xml:space="preserve"> buttons to view individual response cards.</w:t>
      </w:r>
    </w:p>
    <w:p>
      <w:pPr>
        <w:pStyle w:val="ListBullet"/>
      </w:pPr>
      <w:r>
        <w:t xml:space="preserve"> </w:t>
      </w:r>
      <w:r>
        <w:rPr>
          <w:b/>
        </w:rPr>
        <w:t>Recommendations:</w:t>
      </w:r>
      <w:r>
        <w:t xml:space="preserve"> Review the dynamic, prioritized compliance tasks generated for your lowest-scoring answers.</w:t>
      </w:r>
    </w:p>
    <w:p>
      <w:pPr>
        <w:pStyle w:val="Heading2"/>
      </w:pPr>
      <w:r>
        <w:t>Tab 2: Setup &amp; Regulatory Intake</w:t>
      </w:r>
    </w:p>
    <w:p>
      <w:r>
        <w:t>Establish your corporate profile, determine compliance mandates, and map materiality.</w:t>
      </w:r>
    </w:p>
    <w:p>
      <w:pPr>
        <w:pStyle w:val="ListBullet"/>
      </w:pPr>
      <w:r/>
      <w:r>
        <w:rPr>
          <w:b/>
        </w:rPr>
        <w:t>Step 1 (Jurisdiction &amp; Boundary):</w:t>
      </w:r>
      <w:r>
        <w:t xml:space="preserve"> Select your primary operating region (UK, Europe, America) and company parameters.</w:t>
      </w:r>
    </w:p>
    <w:p>
      <w:pPr>
        <w:pStyle w:val="ListBullet"/>
      </w:pPr>
      <w:r>
        <w:t xml:space="preserve"> </w:t>
      </w:r>
      <w:r>
        <w:rPr>
          <w:b/>
        </w:rPr>
        <w:t>Step 2 (Framework Recommender):</w:t>
      </w:r>
      <w:r>
        <w:t xml:space="preserve"> Review recommended reporting frameworks (e.g. *CSRD* for large EU companies, *SEC Rules* for US listed entities).</w:t>
      </w:r>
    </w:p>
    <w:p>
      <w:pPr>
        <w:pStyle w:val="ListBullet"/>
      </w:pPr>
      <w:r>
        <w:t xml:space="preserve"> </w:t>
      </w:r>
      <w:r>
        <w:rPr>
          <w:b/>
        </w:rPr>
        <w:t>Step 3 (Materiality Toggles):</w:t>
      </w:r>
      <w:r>
        <w:t xml:space="preserve"> Toggle material topics (e.g., Climate Change, Circular Economy, Workforce). Active topics directly update the qualitative questionnaire questions.</w:t>
      </w:r>
    </w:p>
    <w:p>
      <w:pPr>
        <w:pStyle w:val="ListBullet"/>
      </w:pPr>
      <w:r>
        <w:t xml:space="preserve"> </w:t>
      </w:r>
      <w:r>
        <w:rPr>
          <w:b/>
        </w:rPr>
        <w:t>Step 4 (Readiness Profile):</w:t>
      </w:r>
      <w:r>
        <w:t xml:space="preserve"> Rank your company's data readiness from Level 1 (ad-hoc spreadsheet tracking) to Level 5 (continuous automated API integration).</w:t>
      </w:r>
    </w:p>
    <w:p>
      <w:pPr>
        <w:pStyle w:val="Heading2"/>
      </w:pPr>
      <w:r>
        <w:t>Tab 3: Qualitative Questionnaire</w:t>
      </w:r>
    </w:p>
    <w:p>
      <w:r>
        <w:t>Draft compliance disclosures based on your active reporting frameworks.</w:t>
      </w:r>
    </w:p>
    <w:p>
      <w:pPr>
        <w:pStyle w:val="ListBullet"/>
      </w:pPr>
      <w:r>
        <w:t>Review the generated list of disclosure requirements (filtered dynamically by your materiality choices).</w:t>
      </w:r>
    </w:p>
    <w:p>
      <w:pPr>
        <w:pStyle w:val="ListBullet"/>
      </w:pPr>
      <w:r>
        <w:t xml:space="preserve"> Filter the questions list by clicking </w:t>
      </w:r>
      <w:r>
        <w:rPr>
          <w:b/>
        </w:rPr>
        <w:t>Environmental</w:t>
      </w:r>
      <w:r>
        <w:t xml:space="preserve">, </w:t>
      </w:r>
      <w:r>
        <w:rPr>
          <w:b/>
        </w:rPr>
        <w:t>Social</w:t>
      </w:r>
      <w:r>
        <w:t xml:space="preserve">, or </w:t>
      </w:r>
      <w:r>
        <w:rPr>
          <w:b/>
        </w:rPr>
        <w:t>Governance</w:t>
      </w:r>
      <w:r>
        <w:t xml:space="preserve"> quick-tabs.</w:t>
      </w:r>
    </w:p>
    <w:p>
      <w:pPr>
        <w:pStyle w:val="ListBullet"/>
      </w:pPr>
      <w:r>
        <w:t xml:space="preserve"> </w:t>
      </w:r>
      <w:r>
        <w:rPr>
          <w:b/>
        </w:rPr>
        <w:t>Drafting Answers:</w:t>
      </w:r>
      <w:r>
        <w:t xml:space="preserve"> Type your disclosure notes directly into the provided text areas. Your progress is saved as a draft.</w:t>
      </w:r>
    </w:p>
    <w:p>
      <w:pPr>
        <w:pStyle w:val="ListBullet"/>
      </w:pPr>
      <w:r>
        <w:t xml:space="preserve"> </w:t>
      </w:r>
      <w:r>
        <w:rPr>
          <w:b/>
        </w:rPr>
        <w:t>AI Draft Generator:</w:t>
      </w:r>
      <w:r>
        <w:t xml:space="preserve"> Click </w:t>
      </w:r>
      <w:r>
        <w:rPr>
          <w:b/>
        </w:rPr>
        <w:t>Generate AI Draft</w:t>
      </w:r>
      <w:r>
        <w:t xml:space="preserve"> on any field to populate it with industry-standard disclosure templates.</w:t>
      </w:r>
    </w:p>
    <w:p>
      <w:pPr>
        <w:pStyle w:val="Heading2"/>
      </w:pPr>
      <w:r>
        <w:t>Tab 4: Carbon Calculator</w:t>
      </w:r>
    </w:p>
    <w:p>
      <w:r>
        <w:t>Measure corporate Greenhouse Gas (GHG) emissions entirely through physical consumption metrics.</w:t>
      </w:r>
    </w:p>
    <w:p>
      <w:pPr>
        <w:pStyle w:val="ListBullet"/>
      </w:pPr>
      <w:r/>
      <w:r>
        <w:rPr>
          <w:b/>
        </w:rPr>
        <w:t>Jurisdiction &amp; Factors:</w:t>
      </w:r>
      <w:r>
        <w:t xml:space="preserve"> The Calculator automatically applies the emission factors and utility price rates for your chosen region (e.g. UK DEFRA, US EPA, EU AIB).</w:t>
      </w:r>
    </w:p>
    <w:p>
      <w:pPr>
        <w:pStyle w:val="ListBullet"/>
      </w:pPr>
      <w:r>
        <w:t xml:space="preserve"> </w:t>
      </w:r>
      <w:r>
        <w:rPr>
          <w:b/>
        </w:rPr>
        <w:t>Step 1 (Fuel Combustion - Scope 1):</w:t>
      </w:r>
      <w:r>
        <w:t xml:space="preserve"> Enter fuel volumes (Gas, Diesel, Petrol) and refrigerants.</w:t>
      </w:r>
    </w:p>
    <w:p>
      <w:pPr>
        <w:pStyle w:val="ListBullet"/>
      </w:pPr>
      <w:r>
        <w:t xml:space="preserve"> </w:t>
      </w:r>
      <w:r>
        <w:rPr>
          <w:b/>
        </w:rPr>
        <w:t>Step 2 (Grid Electricity - Scope 2):</w:t>
      </w:r>
      <w:r>
        <w:t xml:space="preserve"> Input regional grid electricity consumption (kWh).</w:t>
      </w:r>
    </w:p>
    <w:p>
      <w:pPr>
        <w:pStyle w:val="ListBullet"/>
      </w:pPr>
      <w:r>
        <w:t xml:space="preserve"> </w:t>
      </w:r>
      <w:r>
        <w:rPr>
          <w:b/>
        </w:rPr>
        <w:t>Step 3 (Value Chain - Scope 3):</w:t>
      </w:r>
      <w:r>
        <w:t xml:space="preserve"> Enter business travel (commutes, flight/rail km), waste, water, paper, IT assets, and freight logistics.</w:t>
      </w:r>
    </w:p>
    <w:p>
      <w:pPr>
        <w:pStyle w:val="ListBullet"/>
      </w:pPr>
      <w:r>
        <w:t xml:space="preserve"> </w:t>
      </w:r>
      <w:r>
        <w:rPr>
          <w:b/>
        </w:rPr>
        <w:t>Manual Overrides:</w:t>
      </w:r>
      <w:r>
        <w:t xml:space="preserve"> Check </w:t>
      </w:r>
      <w:r>
        <w:rPr>
          <w:b/>
        </w:rPr>
        <w:t>Enable custom overrides</w:t>
      </w:r>
      <w:r>
        <w:t xml:space="preserve"> to manually input specific emission coefficients for absolute transparency.</w:t>
      </w:r>
    </w:p>
    <w:p>
      <w:pPr>
        <w:pStyle w:val="Heading2"/>
      </w:pPr>
      <w:r>
        <w:t>Tab 5: Carbon Dashboard</w:t>
      </w:r>
    </w:p>
    <w:p>
      <w:r>
        <w:t>Analyze carbon footprints, project savings, and review cost optimization.</w:t>
      </w:r>
    </w:p>
    <w:p>
      <w:pPr>
        <w:pStyle w:val="ListBullet"/>
      </w:pPr>
      <w:r/>
      <w:r>
        <w:rPr>
          <w:b/>
        </w:rPr>
        <w:t>Recalculation Alert:</w:t>
      </w:r>
      <w:r>
        <w:t xml:space="preserve"> If you change inputs in the calculator *after* calculating, a </w:t>
      </w:r>
      <w:r>
        <w:rPr>
          <w:b/>
        </w:rPr>
        <w:t>Recalculation Required</w:t>
      </w:r>
      <w:r>
        <w:t xml:space="preserve"> banner will appear. Click </w:t>
      </w:r>
      <w:r>
        <w:rPr>
          <w:b/>
        </w:rPr>
        <w:t>Recalculate Footprint</w:t>
      </w:r>
      <w:r>
        <w:t xml:space="preserve"> to update the dashboard.</w:t>
      </w:r>
    </w:p>
    <w:p>
      <w:pPr>
        <w:pStyle w:val="ListBullet"/>
      </w:pPr>
      <w:r>
        <w:t xml:space="preserve"> </w:t>
      </w:r>
      <w:r>
        <w:rPr>
          <w:b/>
        </w:rPr>
        <w:t>Override Badge:</w:t>
      </w:r>
      <w:r>
        <w:t xml:space="preserve"> A prominent banner highlights if custom factors are active, ensuring compliance transparency.</w:t>
      </w:r>
    </w:p>
    <w:p>
      <w:pPr>
        <w:pStyle w:val="ListBullet"/>
      </w:pPr>
      <w:r>
        <w:t xml:space="preserve"> </w:t>
      </w:r>
      <w:r>
        <w:rPr>
          <w:b/>
        </w:rPr>
        <w:t>Decarbonization Recommendations:</w:t>
      </w:r>
      <w:r>
        <w:t xml:space="preserve"> Review the </w:t>
      </w:r>
      <w:r>
        <w:rPr>
          <w:b/>
        </w:rPr>
        <w:t>Top 3</w:t>
      </w:r>
      <w:r>
        <w:t xml:space="preserve"> highest-ROI project ideas.</w:t>
      </w:r>
    </w:p>
    <w:p>
      <w:pPr>
        <w:pStyle w:val="ListBullet"/>
      </w:pPr>
      <w:r>
        <w:t xml:space="preserve"> </w:t>
      </w:r>
      <w:r>
        <w:rPr>
          <w:b/>
        </w:rPr>
        <w:t>Optimization Select:</w:t>
      </w:r>
      <w:r>
        <w:t xml:space="preserve"> Toggle the optimization dropdown to prioritize projects by </w:t>
      </w:r>
      <w:r>
        <w:rPr>
          <w:b/>
        </w:rPr>
        <w:t>Cost Savings (£)</w:t>
      </w:r>
      <w:r>
        <w:t xml:space="preserve">, </w:t>
      </w:r>
      <w:r>
        <w:rPr>
          <w:b/>
        </w:rPr>
        <w:t>Emissions Reduction (tCO2e)</w:t>
      </w:r>
      <w:r>
        <w:t xml:space="preserve">, or </w:t>
      </w:r>
      <w:r>
        <w:rPr>
          <w:b/>
        </w:rPr>
        <w:t>Combined MAC (Marginal Abatement Cost)</w:t>
      </w:r>
      <w:r>
        <w:t>.</w:t>
      </w:r>
    </w:p>
    <w:p>
      <w:pPr>
        <w:pStyle w:val="Heading2"/>
      </w:pPr>
      <w:r>
        <w:t>Tab 6: B-Corp Pathway</w:t>
      </w:r>
    </w:p>
    <w:p>
      <w:r>
        <w:t>Verify your readiness for B Lab's certification track.</w:t>
      </w:r>
    </w:p>
    <w:p>
      <w:pPr>
        <w:pStyle w:val="ListBullet"/>
      </w:pPr>
      <w:r/>
      <w:r>
        <w:rPr>
          <w:b/>
        </w:rPr>
        <w:t>Eligibility Check:</w:t>
      </w:r>
      <w:r>
        <w:t xml:space="preserve"> Enter profit status, operating history, and controversy indicators. The system will flag if you are eligible for the Full Track or the Pending Startup Track.</w:t>
      </w:r>
    </w:p>
    <w:p>
      <w:pPr>
        <w:pStyle w:val="ListBullet"/>
      </w:pPr>
      <w:r>
        <w:t xml:space="preserve"> </w:t>
      </w:r>
      <w:r>
        <w:rPr>
          <w:b/>
        </w:rPr>
        <w:t>BIA Checklist:</w:t>
      </w:r>
      <w:r>
        <w:t xml:space="preserve"> Check off active indicators across Governance, Workers, Community, Environment, and Customers.</w:t>
      </w:r>
    </w:p>
    <w:p>
      <w:pPr>
        <w:pStyle w:val="ListBullet"/>
      </w:pPr>
      <w:r>
        <w:t xml:space="preserve"> </w:t>
      </w:r>
      <w:r>
        <w:rPr>
          <w:b/>
        </w:rPr>
        <w:t>B Lab Fees:</w:t>
      </w:r>
      <w:r>
        <w:t xml:space="preserve"> Review your projected annual certification fees, which scale automatically based on your selected revenue range.</w:t>
      </w:r>
    </w:p>
    <w:p>
      <w:pPr>
        <w:pStyle w:val="ListBullet"/>
      </w:pPr>
      <w:r>
        <w:t xml:space="preserve"> </w:t>
      </w:r>
      <w:r>
        <w:rPr>
          <w:b/>
        </w:rPr>
        <w:t>State Syncing:</w:t>
      </w:r>
      <w:r>
        <w:t xml:space="preserve"> Note that B-Corp maturity indicators sync with your ESG Diagnostic inputs, granting completion bonuses for carbon footprints.</w:t>
      </w:r>
    </w:p>
    <w:p>
      <w:pPr>
        <w:pStyle w:val="Heading2"/>
      </w:pPr>
      <w:r>
        <w:t>Tab 7: Consolidated Report</w:t>
      </w:r>
    </w:p>
    <w:p>
      <w:r>
        <w:t>Compile all structured assessments, calculations, and qualitative disclosures into a single audit-ready file.</w:t>
      </w:r>
    </w:p>
    <w:p>
      <w:pPr>
        <w:pStyle w:val="ListBullet"/>
      </w:pPr>
      <w:r>
        <w:t xml:space="preserve">Enter the </w:t>
      </w:r>
      <w:r>
        <w:rPr>
          <w:b/>
        </w:rPr>
        <w:t>Reporting Period</w:t>
      </w:r>
      <w:r>
        <w:t xml:space="preserve"> (e.g., FY2026/27) and the </w:t>
      </w:r>
      <w:r>
        <w:rPr>
          <w:b/>
        </w:rPr>
        <w:t>Target Assurance Level</w:t>
      </w:r>
      <w:r>
        <w:t xml:space="preserve"> (e.g., Limited Assurance).</w:t>
      </w:r>
    </w:p>
    <w:p>
      <w:pPr>
        <w:pStyle w:val="ListBullet"/>
      </w:pPr>
      <w:r>
        <w:t xml:space="preserve"> Click </w:t>
      </w:r>
      <w:r>
        <w:rPr>
          <w:b/>
        </w:rPr>
        <w:t>Generate Audit-Ready Report</w:t>
      </w:r>
      <w:r>
        <w:t xml:space="preserve"> to construct the report.</w:t>
      </w:r>
    </w:p>
    <w:p>
      <w:pPr>
        <w:pStyle w:val="ListBullet"/>
      </w:pPr>
      <w:r>
        <w:t xml:space="preserve"> </w:t>
      </w:r>
      <w:r>
        <w:rPr>
          <w:b/>
        </w:rPr>
        <w:t>Print / PDF Export:</w:t>
      </w:r>
      <w:r>
        <w:t xml:space="preserve"> Press </w:t>
      </w:r>
      <w:r>
        <w:rPr>
          <w:rFonts w:ascii="Consolas" w:hAnsi="Consolas"/>
          <w:color w:val="C0392B"/>
          <w:sz w:val="19"/>
        </w:rPr>
        <w:t>Ctrl + P</w:t>
      </w:r>
      <w:r>
        <w:t xml:space="preserve"> (or click your browser's Print option). The layout automatically applies print media rules, hiding navigation tabs and dashboard options to print a clean corporate PDF document.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4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6B3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6B3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4A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