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jc w:val="center"/>
      </w:pPr>
      <w:r>
        <w:rPr>
          <w:rFonts w:ascii="Calibri" w:cs="Calibri" w:eastAsia="Calibri" w:hAnsi="Calibri"/>
          <w:b/>
          <w:bCs/>
          <w:color w:val="0F172A"/>
          <w:sz w:val="48"/>
          <w:szCs w:val="48"/>
        </w:rPr>
        <w:t xml:space="preserve">MarketAI™ — B2BMarket AI Strategy Suite</w:t>
      </w:r>
    </w:p>
    <w:p>
      <w:pPr>
        <w:spacing w:after="300"/>
        <w:jc w:val="center"/>
      </w:pPr>
      <w:r>
        <w:rPr>
          <w:rFonts w:ascii="Calibri" w:cs="Calibri" w:eastAsia="Calibri" w:hAnsi="Calibri"/>
          <w:color w:val="2563EB"/>
          <w:sz w:val="32"/>
          <w:szCs w:val="32"/>
        </w:rPr>
        <w:t xml:space="preserve">Product Handover Note</w:t>
      </w:r>
    </w:p>
    <w:p>
      <w:pPr>
        <w:spacing w:after="80"/>
        <w:jc w:val="center"/>
      </w:pPr>
      <w:r>
        <w:rPr>
          <w:rFonts w:ascii="Calibri" w:cs="Calibri" w:eastAsia="Calibri" w:hAnsi="Calibri"/>
          <w:color w:val="475569"/>
          <w:sz w:val="23"/>
          <w:szCs w:val="23"/>
        </w:rPr>
        <w:t xml:space="preserve">Version 3.1.0 · FROZEN RELEASE · Standalone Enterprise Platform (index.html) · 12 July 2026</w:t>
      </w:r>
    </w:p>
    <w:p>
      <w:pPr>
        <w:spacing w:after="60"/>
        <w:jc w:val="center"/>
      </w:pPr>
      <w:r>
        <w:rPr>
          <w:rFonts w:ascii="Calibri" w:cs="Calibri" w:eastAsia="Calibri" w:hAnsi="Calibri"/>
          <w:i/>
          <w:iCs/>
          <w:color w:val="475569"/>
          <w:sz w:val="21"/>
          <w:szCs w:val="21"/>
        </w:rPr>
        <w:t xml:space="preserve">Frozen baseline: no further changes without a new version number · Supersedes Handover Notes v2.0 and v3.0</w:t>
      </w:r>
    </w:p>
    <w:p>
      <w:r>
        <w:br w:type="page"/>
      </w:r>
    </w:p>
    <w:p>
      <w:pPr>
        <w:pStyle w:val="Heading1"/>
        <w:spacing w:after="160" w:before="340"/>
      </w:pPr>
      <w:r>
        <w:rPr>
          <w:rFonts w:ascii="Calibri" w:cs="Calibri" w:eastAsia="Calibri" w:hAnsi="Calibri"/>
          <w:b/>
          <w:bCs/>
          <w:color w:val="0F172A"/>
          <w:sz w:val="30"/>
          <w:szCs w:val="30"/>
        </w:rPr>
        <w:t xml:space="preserve">1. What this product is</w:t>
      </w:r>
    </w:p>
    <w:p>
      <w:pPr>
        <w:spacing w:after="140" w:line="300"/>
      </w:pPr>
      <w:r>
        <w:rPr>
          <w:rFonts w:ascii="Calibri" w:cs="Calibri" w:eastAsia="Calibri" w:hAnsi="Calibri"/>
          <w:i w:val="false"/>
          <w:iCs w:val="false"/>
          <w:color w:val="0F172A"/>
          <w:sz w:val="22"/>
          <w:szCs w:val="22"/>
        </w:rPr>
        <w:t xml:space="preserve">MarketAI™ (the enterprise edition of the B2BMarket AI Strategy Suite) takes a marketer from a raw idea — a new product, offering, relaunch or repositioning — to a complete, board-ready B2B marketing and sales strategy. It is a single-file web application (index.html) that runs in any modern browser with no installation, following the shared architecture of </w:t>
      </w:r>
      <w:r>
        <w:rPr>
          <w:rFonts w:ascii="Calibri" w:cs="Calibri" w:eastAsia="Calibri" w:hAnsi="Calibri"/>
          <w:b/>
          <w:bCs/>
          <w:color w:val="0F172A"/>
          <w:sz w:val="22"/>
          <w:szCs w:val="22"/>
        </w:rPr>
        <w:t xml:space="preserve">Market Levels → Drivers → Strategy → Plan → Execution</w:t>
      </w:r>
      <w:r>
        <w:rPr>
          <w:rFonts w:ascii="Calibri" w:cs="Calibri" w:eastAsia="Calibri" w:hAnsi="Calibri"/>
          <w:i w:val="false"/>
          <w:iCs w:val="false"/>
          <w:color w:val="0F172A"/>
          <w:sz w:val="22"/>
          <w:szCs w:val="22"/>
        </w:rPr>
        <w:t xml:space="preserve"> established alongside the Procure AI Category Suite.</w:t>
      </w:r>
    </w:p>
    <w:p>
      <w:pPr>
        <w:spacing w:after="140" w:line="300"/>
      </w:pPr>
      <w:r>
        <w:rPr>
          <w:rFonts w:ascii="Calibri" w:cs="Calibri" w:eastAsia="Calibri" w:hAnsi="Calibri"/>
          <w:i w:val="false"/>
          <w:iCs w:val="false"/>
          <w:color w:val="0F172A"/>
          <w:sz w:val="22"/>
          <w:szCs w:val="22"/>
        </w:rPr>
        <w:t xml:space="preserve">The platform embeds standard consulting frameworks throughout — PESTLE, Porter’s Five Forces, SWOT/TOWS, Ansoff, BCG, GE-McKinsey, STP, 7Ps, Kapferer’s Identity Prism and Keller’s CBBE — with plain-language explanations in a built-in Knowledge Centre, so non-technical marketers can use it without prior framework training.</w:t>
      </w:r>
    </w:p>
    <w:p>
      <w:pPr>
        <w:pStyle w:val="Heading1"/>
        <w:spacing w:after="160" w:before="340"/>
      </w:pPr>
      <w:r>
        <w:rPr>
          <w:rFonts w:ascii="Calibri" w:cs="Calibri" w:eastAsia="Calibri" w:hAnsi="Calibri"/>
          <w:b/>
          <w:bCs/>
          <w:color w:val="0F172A"/>
          <w:sz w:val="30"/>
          <w:szCs w:val="30"/>
        </w:rPr>
        <w:t xml:space="preserve">2. What changed in the v3.x release line (now frozen)</w:t>
      </w:r>
    </w:p>
    <w:p>
      <w:pPr>
        <w:spacing w:after="140" w:line="300"/>
      </w:pPr>
      <w:r>
        <w:rPr>
          <w:rFonts w:ascii="Calibri" w:cs="Calibri" w:eastAsia="Calibri" w:hAnsi="Calibri"/>
          <w:i w:val="false"/>
          <w:iCs w:val="false"/>
          <w:color w:val="0F172A"/>
          <w:sz w:val="22"/>
          <w:szCs w:val="22"/>
        </w:rPr>
        <w:t xml:space="preserve">The v3.x line hardened the platform across four rounds of test-and-fix with the product owner. All items below are in the frozen build:</w:t>
      </w:r>
    </w:p>
    <w:p>
      <w:pPr>
        <w:pStyle w:val="ListParagraph"/>
        <w:numPr>
          <w:ilvl w:val="0"/>
          <w:numId w:val="2"/>
        </w:numPr>
        <w:spacing w:after="70" w:line="290"/>
      </w:pPr>
      <w:r>
        <w:rPr>
          <w:rFonts w:ascii="Calibri" w:cs="Calibri" w:eastAsia="Calibri" w:hAnsi="Calibri"/>
          <w:b/>
          <w:bCs/>
          <w:color w:val="0F172A"/>
          <w:sz w:val="22"/>
          <w:szCs w:val="22"/>
        </w:rPr>
        <w:t xml:space="preserve">Blank-project creation fixed.</w:t>
      </w:r>
      <w:r>
        <w:rPr>
          <w:rFonts w:ascii="Calibri" w:cs="Calibri" w:eastAsia="Calibri" w:hAnsi="Calibri"/>
          <w:i w:val="false"/>
          <w:iCs w:val="false"/>
          <w:color w:val="0F172A"/>
          <w:sz w:val="22"/>
          <w:szCs w:val="22"/>
        </w:rPr>
        <w:t xml:space="preserve"> The Homepage “Create Blank Project” button previously used the browser prompt() dialog, which is silently blocked inside embedded or sandboxed previews — clicking did nothing. It now opens the in-app modal (autofocus, Enter-to-create, Create disabled until named) and lands the user directly on the Strategic Intake Brief (Module 2).</w:t>
      </w:r>
    </w:p>
    <w:p>
      <w:pPr>
        <w:pStyle w:val="ListParagraph"/>
        <w:numPr>
          <w:ilvl w:val="0"/>
          <w:numId w:val="2"/>
        </w:numPr>
        <w:spacing w:after="70" w:line="290"/>
      </w:pPr>
      <w:r>
        <w:rPr>
          <w:rFonts w:ascii="Calibri" w:cs="Calibri" w:eastAsia="Calibri" w:hAnsi="Calibri"/>
          <w:b/>
          <w:bCs/>
          <w:color w:val="0F172A"/>
          <w:sz w:val="22"/>
          <w:szCs w:val="22"/>
        </w:rPr>
        <w:t xml:space="preserve">Sandbox-safe notifications.</w:t>
      </w:r>
      <w:r>
        <w:rPr>
          <w:rFonts w:ascii="Calibri" w:cs="Calibri" w:eastAsia="Calibri" w:hAnsi="Calibri"/>
          <w:i w:val="false"/>
          <w:iCs w:val="false"/>
          <w:color w:val="0F172A"/>
          <w:sz w:val="22"/>
          <w:szCs w:val="22"/>
        </w:rPr>
        <w:t xml:space="preserve"> Every alert() in the platform (admin panel, gate sign-off, tour completion, export messages) was replaced with a non-blocking toast that works in all environments, including embedded previews where alerts are blocked.</w:t>
      </w:r>
    </w:p>
    <w:p>
      <w:pPr>
        <w:pStyle w:val="ListParagraph"/>
        <w:numPr>
          <w:ilvl w:val="0"/>
          <w:numId w:val="2"/>
        </w:numPr>
        <w:spacing w:after="70" w:line="290"/>
      </w:pPr>
      <w:r>
        <w:rPr>
          <w:rFonts w:ascii="Calibri" w:cs="Calibri" w:eastAsia="Calibri" w:hAnsi="Calibri"/>
          <w:b/>
          <w:bCs/>
          <w:color w:val="0F172A"/>
          <w:sz w:val="22"/>
          <w:szCs w:val="22"/>
        </w:rPr>
        <w:t xml:space="preserve">Saved &amp; resumed projects: compact sidebar.</w:t>
      </w:r>
      <w:r>
        <w:rPr>
          <w:rFonts w:ascii="Calibri" w:cs="Calibri" w:eastAsia="Calibri" w:hAnsi="Calibri"/>
          <w:i w:val="false"/>
          <w:iCs w:val="false"/>
          <w:color w:val="0F172A"/>
          <w:sz w:val="22"/>
          <w:szCs w:val="22"/>
        </w:rPr>
        <w:t xml:space="preserve"> Opening a project now collapses all module groups except the one containing the next unfilled module (the resume point). Nothing is hidden: every collapsed group header carries a live badge — amber “N pending” where drafts are outstanding, green “✓ Done” when a group is complete.</w:t>
      </w:r>
    </w:p>
    <w:p>
      <w:pPr>
        <w:pStyle w:val="ListParagraph"/>
        <w:numPr>
          <w:ilvl w:val="0"/>
          <w:numId w:val="2"/>
        </w:numPr>
        <w:spacing w:after="70" w:line="290"/>
      </w:pPr>
      <w:r>
        <w:rPr>
          <w:rFonts w:ascii="Calibri" w:cs="Calibri" w:eastAsia="Calibri" w:hAnsi="Calibri"/>
          <w:b/>
          <w:bCs/>
          <w:color w:val="0F172A"/>
          <w:sz w:val="22"/>
          <w:szCs w:val="22"/>
        </w:rPr>
        <w:t xml:space="preserve">Demo Mode toggle.</w:t>
      </w:r>
      <w:r>
        <w:rPr>
          <w:rFonts w:ascii="Calibri" w:cs="Calibri" w:eastAsia="Calibri" w:hAnsi="Calibri"/>
          <w:i w:val="false"/>
          <w:iCs w:val="false"/>
          <w:color w:val="0F172A"/>
          <w:sz w:val="22"/>
          <w:szCs w:val="22"/>
        </w:rPr>
        <w:t xml:space="preserve"> A switch on the Homepage hero shows or hides all demo content. While ON, the pre-loaded CardioCloud sample project and its sample reports are available; switching OFF removes them from the project list, selector and workspace. The choice persists across sessions and can be reversed at any time.</w:t>
      </w:r>
    </w:p>
    <w:p>
      <w:pPr>
        <w:pStyle w:val="ListParagraph"/>
        <w:numPr>
          <w:ilvl w:val="0"/>
          <w:numId w:val="2"/>
        </w:numPr>
        <w:spacing w:after="70" w:line="290"/>
      </w:pPr>
      <w:r>
        <w:rPr>
          <w:rFonts w:ascii="Calibri" w:cs="Calibri" w:eastAsia="Calibri" w:hAnsi="Calibri"/>
          <w:b/>
          <w:bCs/>
          <w:color w:val="0F172A"/>
          <w:sz w:val="22"/>
          <w:szCs w:val="22"/>
        </w:rPr>
        <w:t xml:space="preserve">Guided tour upgraded to 12 steps.</w:t>
      </w:r>
      <w:r>
        <w:rPr>
          <w:rFonts w:ascii="Calibri" w:cs="Calibri" w:eastAsia="Calibri" w:hAnsi="Calibri"/>
          <w:i w:val="false"/>
          <w:iCs w:val="false"/>
          <w:color w:val="0F172A"/>
          <w:sz w:val="22"/>
          <w:szCs w:val="22"/>
        </w:rPr>
        <w:t xml:space="preserve"> The tour gained a progress bar, follows the sidebar (expanding whichever group the current step shows), and — at the Report Compiler step — lets the user download a </w:t>
      </w:r>
      <w:r>
        <w:rPr>
          <w:rFonts w:ascii="Calibri" w:cs="Calibri" w:eastAsia="Calibri" w:hAnsi="Calibri"/>
          <w:b/>
          <w:bCs/>
          <w:color w:val="0F172A"/>
          <w:sz w:val="22"/>
          <w:szCs w:val="22"/>
        </w:rPr>
        <w:t xml:space="preserve">sample Word report and sample PowerPoint deck generated live from the demo data</w:t>
      </w:r>
      <w:r>
        <w:rPr>
          <w:rFonts w:ascii="Calibri" w:cs="Calibri" w:eastAsia="Calibri" w:hAnsi="Calibri"/>
          <w:i w:val="false"/>
          <w:iCs w:val="false"/>
          <w:color w:val="0F172A"/>
          <w:sz w:val="22"/>
          <w:szCs w:val="22"/>
        </w:rPr>
        <w:t xml:space="preserve">, directly from the tour card. A proper completion step replaces the old browser alert and offers “Keep Demo &amp; Close” or “Hide Demo Data &amp; Start Fresh”.</w:t>
      </w:r>
    </w:p>
    <w:p>
      <w:pPr>
        <w:pStyle w:val="ListParagraph"/>
        <w:numPr>
          <w:ilvl w:val="0"/>
          <w:numId w:val="2"/>
        </w:numPr>
        <w:spacing w:after="70" w:line="290"/>
      </w:pPr>
      <w:r>
        <w:rPr>
          <w:rFonts w:ascii="Calibri" w:cs="Calibri" w:eastAsia="Calibri" w:hAnsi="Calibri"/>
          <w:b/>
          <w:bCs/>
          <w:color w:val="0F172A"/>
          <w:sz w:val="22"/>
          <w:szCs w:val="22"/>
        </w:rPr>
        <w:t xml:space="preserve">Keyless by default.</w:t>
      </w:r>
      <w:r>
        <w:rPr>
          <w:rFonts w:ascii="Calibri" w:cs="Calibri" w:eastAsia="Calibri" w:hAnsi="Calibri"/>
          <w:i w:val="false"/>
          <w:iCs w:val="false"/>
          <w:color w:val="0F172A"/>
          <w:sz w:val="22"/>
          <w:szCs w:val="22"/>
        </w:rPr>
        <w:t xml:space="preserve"> The Offline Sandbox is now the default AI provider; stored configurations that selected a live provider without a key self-heal back to the Sandbox. A live provider without a key silently falls back to Sandbox drafting with an explanatory note instead of failing, and the Copilot gained a keyless local responder. No API key is ever required to use the platform.</w:t>
      </w:r>
    </w:p>
    <w:p>
      <w:pPr>
        <w:pStyle w:val="ListParagraph"/>
        <w:numPr>
          <w:ilvl w:val="0"/>
          <w:numId w:val="2"/>
        </w:numPr>
        <w:spacing w:after="70" w:line="290"/>
      </w:pPr>
      <w:r>
        <w:rPr>
          <w:rFonts w:ascii="Calibri" w:cs="Calibri" w:eastAsia="Calibri" w:hAnsi="Calibri"/>
          <w:b/>
          <w:bCs/>
          <w:color w:val="0F172A"/>
          <w:sz w:val="22"/>
          <w:szCs w:val="22"/>
        </w:rPr>
        <w:t xml:space="preserve">Report Compiler crash fixed.</w:t>
      </w:r>
      <w:r>
        <w:rPr>
          <w:rFonts w:ascii="Calibri" w:cs="Calibri" w:eastAsia="Calibri" w:hAnsi="Calibri"/>
          <w:i w:val="false"/>
          <w:iCs w:val="false"/>
          <w:color w:val="0F172A"/>
          <w:sz w:val="22"/>
          <w:szCs w:val="22"/>
        </w:rPr>
        <w:t xml:space="preserve"> Module 33 crashed on open due to an out-of-scope variable reference, blanking the screen. Fixed; all 35 modules now render-verified on empty, partial and complete projects.</w:t>
      </w:r>
    </w:p>
    <w:p>
      <w:pPr>
        <w:pStyle w:val="ListParagraph"/>
        <w:numPr>
          <w:ilvl w:val="0"/>
          <w:numId w:val="2"/>
        </w:numPr>
        <w:spacing w:after="70" w:line="290"/>
      </w:pPr>
      <w:r>
        <w:rPr>
          <w:rFonts w:ascii="Calibri" w:cs="Calibri" w:eastAsia="Calibri" w:hAnsi="Calibri"/>
          <w:b/>
          <w:bCs/>
          <w:color w:val="0F172A"/>
          <w:sz w:val="22"/>
          <w:szCs w:val="22"/>
        </w:rPr>
        <w:t xml:space="preserve">Report-ready alerting.</w:t>
      </w:r>
      <w:r>
        <w:rPr>
          <w:rFonts w:ascii="Calibri" w:cs="Calibri" w:eastAsia="Calibri" w:hAnsi="Calibri"/>
          <w:i w:val="false"/>
          <w:iCs w:val="false"/>
          <w:color w:val="0F172A"/>
          <w:sz w:val="22"/>
          <w:szCs w:val="22"/>
        </w:rPr>
        <w:t xml:space="preserve"> When the 29th strategy module is drafted: a one-time toast announces the report is ready; the Executive Dashboard shows a green banner with direct Word/PowerPoint download buttons; the sidebar shows ‘Report Ready’ markers on the reporting group and Module 33; and the Compiler shows a green complete strip. While incomplete, an amber strip lists the pending modules and download buttons are explicitly labelled Partial (N pending) versus Complete.</w:t>
      </w:r>
    </w:p>
    <w:p>
      <w:pPr>
        <w:pStyle w:val="ListParagraph"/>
        <w:numPr>
          <w:ilvl w:val="0"/>
          <w:numId w:val="2"/>
        </w:numPr>
        <w:spacing w:after="70" w:line="290"/>
      </w:pPr>
      <w:r>
        <w:rPr>
          <w:rFonts w:ascii="Calibri" w:cs="Calibri" w:eastAsia="Calibri" w:hAnsi="Calibri"/>
          <w:b/>
          <w:bCs/>
          <w:color w:val="0F172A"/>
          <w:sz w:val="22"/>
          <w:szCs w:val="22"/>
        </w:rPr>
        <w:t xml:space="preserve">Pending clarity system.</w:t>
      </w:r>
      <w:r>
        <w:rPr>
          <w:rFonts w:ascii="Calibri" w:cs="Calibri" w:eastAsia="Calibri" w:hAnsi="Calibri"/>
          <w:i w:val="false"/>
          <w:iCs w:val="false"/>
          <w:color w:val="0F172A"/>
          <w:sz w:val="22"/>
          <w:szCs w:val="22"/>
        </w:rPr>
        <w:t xml:space="preserve"> Amber pending indicators now run through three levels — group badge, module row, and an in-module explainer strip stating why the module is Pending (interactive widget data saves automatically but only a saved draft completes a module) with a one-click jump to the draft section.</w:t>
      </w:r>
    </w:p>
    <w:p>
      <w:pPr>
        <w:pStyle w:val="ListParagraph"/>
        <w:numPr>
          <w:ilvl w:val="0"/>
          <w:numId w:val="2"/>
        </w:numPr>
        <w:spacing w:after="70" w:line="290"/>
      </w:pPr>
      <w:r>
        <w:rPr>
          <w:rFonts w:ascii="Calibri" w:cs="Calibri" w:eastAsia="Calibri" w:hAnsi="Calibri"/>
          <w:b/>
          <w:bCs/>
          <w:color w:val="0F172A"/>
          <w:sz w:val="22"/>
          <w:szCs w:val="22"/>
        </w:rPr>
        <w:t xml:space="preserve">Export engine rebuilt.</w:t>
      </w:r>
      <w:r>
        <w:rPr>
          <w:rFonts w:ascii="Calibri" w:cs="Calibri" w:eastAsia="Calibri" w:hAnsi="Calibri"/>
          <w:i w:val="false"/>
          <w:iCs w:val="false"/>
          <w:color w:val="0F172A"/>
          <w:sz w:val="22"/>
          <w:szCs w:val="22"/>
        </w:rPr>
        <w:t xml:space="preserve"> The PowerPoint download was permanently broken by a wrong library-name check, and both Word and PowerPoint read non-existent widget-state keys, so data sections and charts silently never appeared. Both fixed. The library now loads through three CDN fallbacks; exports confirm success or report the real failure. Decks now include native, editable PowerPoint charts — TAM/SAM/SOM bar chart with computed pipeline values, Porter Five Forces radar, budget doughnut — plus the SWOT quadrant, PESTLE matrix and BCG/GE tables. Word reports carry matching Word-safe bar visuals. Every module’s individual Word and Slide exports automatically bundle that module’s chart.</w:t>
      </w:r>
    </w:p>
    <w:p>
      <w:pPr>
        <w:pStyle w:val="ListParagraph"/>
        <w:numPr>
          <w:ilvl w:val="0"/>
          <w:numId w:val="2"/>
        </w:numPr>
        <w:spacing w:after="70" w:line="290"/>
      </w:pPr>
      <w:r>
        <w:rPr>
          <w:rFonts w:ascii="Calibri" w:cs="Calibri" w:eastAsia="Calibri" w:hAnsi="Calibri"/>
          <w:b/>
          <w:bCs/>
          <w:color w:val="0F172A"/>
          <w:sz w:val="22"/>
          <w:szCs w:val="22"/>
        </w:rPr>
        <w:t xml:space="preserve">AI settings refreshed.</w:t>
      </w:r>
      <w:r>
        <w:rPr>
          <w:rFonts w:ascii="Calibri" w:cs="Calibri" w:eastAsia="Calibri" w:hAnsi="Calibri"/>
          <w:i w:val="false"/>
          <w:iCs w:val="false"/>
          <w:color w:val="0F172A"/>
          <w:sz w:val="22"/>
          <w:szCs w:val="22"/>
        </w:rPr>
        <w:t xml:space="preserve"> Claude Sonnet 4.6 (recommended) and Claude Haiku 4.5 were added, with Claude 3.5 models retained as legacy; Gemini 2.0 Flash is now the recommended Gemini default, with 1.5 models marked legacy. All model defaults live in one constant, so future upgrades are a single-line edit.</w:t>
      </w:r>
    </w:p>
    <w:p>
      <w:pPr>
        <w:pStyle w:val="ListParagraph"/>
        <w:numPr>
          <w:ilvl w:val="0"/>
          <w:numId w:val="2"/>
        </w:numPr>
        <w:spacing w:after="70" w:line="290"/>
      </w:pPr>
      <w:r>
        <w:rPr>
          <w:rFonts w:ascii="Calibri" w:cs="Calibri" w:eastAsia="Calibri" w:hAnsi="Calibri"/>
          <w:b/>
          <w:bCs/>
          <w:color w:val="0F172A"/>
          <w:sz w:val="22"/>
          <w:szCs w:val="22"/>
        </w:rPr>
        <w:t xml:space="preserve">Progress figures corrected.</w:t>
      </w:r>
      <w:r>
        <w:rPr>
          <w:rFonts w:ascii="Calibri" w:cs="Calibri" w:eastAsia="Calibri" w:hAnsi="Calibri"/>
          <w:i w:val="false"/>
          <w:iCs w:val="false"/>
          <w:color w:val="0F172A"/>
          <w:sz w:val="22"/>
          <w:szCs w:val="22"/>
        </w:rPr>
        <w:t xml:space="preserve"> Completion percentages and “X of Y modules” counts now measure the 29 AI-draftable modules, excluding dashboards and system tools that never receive drafts.</w:t>
      </w:r>
    </w:p>
    <w:p>
      <w:pPr>
        <w:pStyle w:val="Heading1"/>
        <w:spacing w:after="160" w:before="340"/>
      </w:pPr>
      <w:r>
        <w:rPr>
          <w:rFonts w:ascii="Calibri" w:cs="Calibri" w:eastAsia="Calibri" w:hAnsi="Calibri"/>
          <w:b/>
          <w:bCs/>
          <w:color w:val="0F172A"/>
          <w:sz w:val="30"/>
          <w:szCs w:val="30"/>
        </w:rPr>
        <w:t xml:space="preserve">3. Feature overview</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2400"/>
        <w:gridCol w:w="6960"/>
      </w:tblGrid>
      <w:tr>
        <w:tc>
          <w:tcPr>
            <w:tcW w:type="dxa" w:w="2400"/>
            <w:shd w:fill="0F172A" w:val="clear"/>
            <w:tcMar>
              <w:top w:type="dxa" w:w="90"/>
              <w:left w:type="dxa" w:w="120"/>
              <w:bottom w:type="dxa" w:w="90"/>
              <w:right w:type="dxa" w:w="120"/>
            </w:tcMar>
          </w:tcPr>
          <w:p>
            <w:pPr>
              <w:spacing w:after="0"/>
            </w:pPr>
            <w:r>
              <w:rPr>
                <w:rFonts w:ascii="Calibri" w:cs="Calibri" w:eastAsia="Calibri" w:hAnsi="Calibri"/>
                <w:i w:val="false"/>
                <w:iCs w:val="false"/>
                <w:color w:val="FFFFFF"/>
                <w:sz w:val="21"/>
                <w:szCs w:val="21"/>
              </w:rPr>
              <w:t xml:space="preserve">Area</w:t>
            </w:r>
          </w:p>
        </w:tc>
        <w:tc>
          <w:tcPr>
            <w:tcW w:type="dxa" w:w="6960"/>
            <w:shd w:fill="0F172A" w:val="clear"/>
            <w:tcMar>
              <w:top w:type="dxa" w:w="90"/>
              <w:left w:type="dxa" w:w="120"/>
              <w:bottom w:type="dxa" w:w="90"/>
              <w:right w:type="dxa" w:w="120"/>
            </w:tcMar>
          </w:tcPr>
          <w:p>
            <w:pPr>
              <w:spacing w:after="0"/>
            </w:pPr>
            <w:r>
              <w:rPr>
                <w:rFonts w:ascii="Calibri" w:cs="Calibri" w:eastAsia="Calibri" w:hAnsi="Calibri"/>
                <w:i w:val="false"/>
                <w:iCs w:val="false"/>
                <w:color w:val="FFFFFF"/>
                <w:sz w:val="21"/>
                <w:szCs w:val="21"/>
              </w:rPr>
              <w:t xml:space="preserve">What it does</w:t>
            </w:r>
          </w:p>
        </w:tc>
      </w:tr>
      <w:tr>
        <w:tc>
          <w:tcPr>
            <w:tcW w:type="dxa" w:w="2400"/>
            <w:shd w:fill="F8FAFC"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35 modules in 7 groups</w:t>
            </w:r>
          </w:p>
        </w:tc>
        <w:tc>
          <w:tcPr>
            <w:tcW w:type="dxa" w:w="696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Dashboards &amp; Workspaces; Market &amp; Competitor; Strategic Analysis; GTM &amp; Brand; Channels &amp; Content; Execution &amp; Enablement; System &amp; Reporting Tools. 29 modules receive AI-drafted strategy text.</w:t>
            </w:r>
          </w:p>
        </w:tc>
      </w:tr>
      <w:tr>
        <w:tc>
          <w:tcPr>
            <w:tcW w:type="dxa" w:w="2400"/>
            <w:shd w:fill="F8FAFC"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Strategic Intake Brief</w:t>
            </w:r>
          </w:p>
        </w:tc>
        <w:tc>
          <w:tcPr>
            <w:tcW w:type="dxa" w:w="696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15-field brief (offering, NAICS vertical, ACV band, sales cycle, DMU complexity, geography, budget, analyst standing, competitors, goal, team, constraints) that calibrates every downstream module. Missing critical inputs raise proactive amber alerts on affected modules.</w:t>
            </w:r>
          </w:p>
        </w:tc>
      </w:tr>
      <w:tr>
        <w:tc>
          <w:tcPr>
            <w:tcW w:type="dxa" w:w="2400"/>
            <w:shd w:fill="F8FAFC"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Interactive widgets</w:t>
            </w:r>
          </w:p>
        </w:tc>
        <w:tc>
          <w:tcPr>
            <w:tcW w:type="dxa" w:w="696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TAM/SAM/SOM account-based calculator, PESTLE grid, Porter force sliders, SWOT grid, BCG and GE-McKinsey matrices, budget allocator — all saved per project.</w:t>
            </w:r>
          </w:p>
        </w:tc>
      </w:tr>
      <w:tr>
        <w:tc>
          <w:tcPr>
            <w:tcW w:type="dxa" w:w="2400"/>
            <w:shd w:fill="F8FAFC"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AI Strategy Drafts</w:t>
            </w:r>
          </w:p>
        </w:tc>
        <w:tc>
          <w:tcPr>
            <w:tcW w:type="dxa" w:w="696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One-click drafting per module. Prompts carry the business brief plus excerpts of prior completed modules for coherent, cumulative strategy. Drafts are editable in place.</w:t>
            </w:r>
          </w:p>
        </w:tc>
      </w:tr>
      <w:tr>
        <w:tc>
          <w:tcPr>
            <w:tcW w:type="dxa" w:w="2400"/>
            <w:shd w:fill="F8FAFC"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Decision Gates (×4)</w:t>
            </w:r>
          </w:p>
        </w:tc>
        <w:tc>
          <w:tcPr>
            <w:tcW w:type="dxa" w:w="696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Executive sign-off checkpoints (Market Attractiveness; Strategic Posture; ICP &amp; Positioning; Budget &amp; Plan) with decision notes, compiled into reports.</w:t>
            </w:r>
          </w:p>
        </w:tc>
      </w:tr>
      <w:tr>
        <w:tc>
          <w:tcPr>
            <w:tcW w:type="dxa" w:w="2400"/>
            <w:shd w:fill="F8FAFC"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Strategy Copilot</w:t>
            </w:r>
          </w:p>
        </w:tc>
        <w:tc>
          <w:tcPr>
            <w:tcW w:type="dxa" w:w="696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Context-aware assistant that knows the active screen, brief and progress.</w:t>
            </w:r>
          </w:p>
        </w:tc>
      </w:tr>
      <w:tr>
        <w:tc>
          <w:tcPr>
            <w:tcW w:type="dxa" w:w="2400"/>
            <w:shd w:fill="F8FAFC"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Executive Report Compiler</w:t>
            </w:r>
          </w:p>
        </w:tc>
        <w:tc>
          <w:tcPr>
            <w:tcW w:type="dxa" w:w="696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One-click export of the full strategy: styled Word report (.doc), widescreen PowerPoint deck (.pptx via PptxGenJS) with tables, SWOT charts and roadmap phases, plus Markdown. Individual modules export their own Word/slide outputs.</w:t>
            </w:r>
          </w:p>
        </w:tc>
      </w:tr>
      <w:tr>
        <w:tc>
          <w:tcPr>
            <w:tcW w:type="dxa" w:w="2400"/>
            <w:shd w:fill="F8FAFC"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Admin console</w:t>
            </w:r>
          </w:p>
        </w:tc>
        <w:tc>
          <w:tcPr>
            <w:tcW w:type="dxa" w:w="696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PIN-based consultant logins (default user PIN 1234), passcode-protected admin (default admin1234), user management, project auditing, global API configuration, database backup/restore.</w:t>
            </w:r>
          </w:p>
        </w:tc>
      </w:tr>
      <w:tr>
        <w:tc>
          <w:tcPr>
            <w:tcW w:type="dxa" w:w="2400"/>
            <w:shd w:fill="F8FAFC"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Demo Mode &amp; guided tour</w:t>
            </w:r>
          </w:p>
        </w:tc>
        <w:tc>
          <w:tcPr>
            <w:tcW w:type="dxa" w:w="696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Pre-loaded CardioCloud healthcare demo project, 12-step interactive tour with live sample report downloads, fully removable via the Demo Mode toggle.</w:t>
            </w:r>
          </w:p>
        </w:tc>
      </w:tr>
      <w:tr>
        <w:tc>
          <w:tcPr>
            <w:tcW w:type="dxa" w:w="2400"/>
            <w:shd w:fill="F8FAFC"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Offline Sandbox</w:t>
            </w:r>
          </w:p>
        </w:tc>
        <w:tc>
          <w:tcPr>
            <w:tcW w:type="dxa" w:w="696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Default provider requiring no API key: generates high-fidelity local strategy templates so the platform is testable instantly.</w:t>
            </w:r>
          </w:p>
        </w:tc>
      </w:tr>
    </w:tbl>
    <w:p>
      <w:pPr>
        <w:pStyle w:val="Heading1"/>
        <w:spacing w:after="160" w:before="340"/>
      </w:pPr>
      <w:r>
        <w:rPr>
          <w:rFonts w:ascii="Calibri" w:cs="Calibri" w:eastAsia="Calibri" w:hAnsi="Calibri"/>
          <w:b/>
          <w:bCs/>
          <w:color w:val="0F172A"/>
          <w:sz w:val="30"/>
          <w:szCs w:val="30"/>
        </w:rPr>
        <w:t xml:space="preserve">4. User journey</w:t>
      </w:r>
    </w:p>
    <w:p>
      <w:pPr>
        <w:pStyle w:val="ListParagraph"/>
        <w:numPr>
          <w:ilvl w:val="0"/>
          <w:numId w:val="3"/>
        </w:numPr>
        <w:spacing w:after="80" w:line="290"/>
      </w:pPr>
      <w:r>
        <w:rPr>
          <w:rFonts w:ascii="Calibri" w:cs="Calibri" w:eastAsia="Calibri" w:hAnsi="Calibri"/>
          <w:b/>
          <w:bCs/>
          <w:color w:val="0F172A"/>
          <w:sz w:val="22"/>
          <w:szCs w:val="22"/>
        </w:rPr>
        <w:t xml:space="preserve">Sign in.</w:t>
      </w:r>
      <w:r>
        <w:rPr>
          <w:rFonts w:ascii="Calibri" w:cs="Calibri" w:eastAsia="Calibri" w:hAnsi="Calibri"/>
          <w:i w:val="false"/>
          <w:iCs w:val="false"/>
          <w:color w:val="0F172A"/>
          <w:sz w:val="22"/>
          <w:szCs w:val="22"/>
        </w:rPr>
        <w:t xml:space="preserve"> Consultants use a 4-digit PIN (default 1234); the administrator uses a passcode (default admin1234 — change it before sharing).</w:t>
      </w:r>
    </w:p>
    <w:p>
      <w:pPr>
        <w:pStyle w:val="ListParagraph"/>
        <w:numPr>
          <w:ilvl w:val="0"/>
          <w:numId w:val="3"/>
        </w:numPr>
        <w:spacing w:after="80" w:line="290"/>
      </w:pPr>
      <w:r>
        <w:rPr>
          <w:rFonts w:ascii="Calibri" w:cs="Calibri" w:eastAsia="Calibri" w:hAnsi="Calibri"/>
          <w:b/>
          <w:bCs/>
          <w:color w:val="0F172A"/>
          <w:sz w:val="22"/>
          <w:szCs w:val="22"/>
        </w:rPr>
        <w:t xml:space="preserve">First run.</w:t>
      </w:r>
      <w:r>
        <w:rPr>
          <w:rFonts w:ascii="Calibri" w:cs="Calibri" w:eastAsia="Calibri" w:hAnsi="Calibri"/>
          <w:i w:val="false"/>
          <w:iCs w:val="false"/>
          <w:color w:val="0F172A"/>
          <w:sz w:val="22"/>
          <w:szCs w:val="22"/>
        </w:rPr>
        <w:t xml:space="preserve"> The Homepage offers the guided tour, the CardioCloud demo project, the intake prerequisites checklist, and blank project creation. The tour switches Demo Mode on automatically.</w:t>
      </w:r>
    </w:p>
    <w:p>
      <w:pPr>
        <w:pStyle w:val="ListParagraph"/>
        <w:numPr>
          <w:ilvl w:val="0"/>
          <w:numId w:val="3"/>
        </w:numPr>
        <w:spacing w:after="80" w:line="290"/>
      </w:pPr>
      <w:r>
        <w:rPr>
          <w:rFonts w:ascii="Calibri" w:cs="Calibri" w:eastAsia="Calibri" w:hAnsi="Calibri"/>
          <w:b/>
          <w:bCs/>
          <w:color w:val="0F172A"/>
          <w:sz w:val="22"/>
          <w:szCs w:val="22"/>
        </w:rPr>
        <w:t xml:space="preserve">Create a project.</w:t>
      </w:r>
      <w:r>
        <w:rPr>
          <w:rFonts w:ascii="Calibri" w:cs="Calibri" w:eastAsia="Calibri" w:hAnsi="Calibri"/>
          <w:i w:val="false"/>
          <w:iCs w:val="false"/>
          <w:color w:val="0F172A"/>
          <w:sz w:val="22"/>
          <w:szCs w:val="22"/>
        </w:rPr>
        <w:t xml:space="preserve"> “+ Create Blank Project” (Homepage or sidebar) opens the naming modal and lands on Module 2, the Strategic Intake Brief.</w:t>
      </w:r>
    </w:p>
    <w:p>
      <w:pPr>
        <w:pStyle w:val="ListParagraph"/>
        <w:numPr>
          <w:ilvl w:val="0"/>
          <w:numId w:val="3"/>
        </w:numPr>
        <w:spacing w:after="80" w:line="290"/>
      </w:pPr>
      <w:r>
        <w:rPr>
          <w:rFonts w:ascii="Calibri" w:cs="Calibri" w:eastAsia="Calibri" w:hAnsi="Calibri"/>
          <w:b/>
          <w:bCs/>
          <w:color w:val="0F172A"/>
          <w:sz w:val="22"/>
          <w:szCs w:val="22"/>
        </w:rPr>
        <w:t xml:space="preserve">Complete the brief.</w:t>
      </w:r>
      <w:r>
        <w:rPr>
          <w:rFonts w:ascii="Calibri" w:cs="Calibri" w:eastAsia="Calibri" w:hAnsi="Calibri"/>
          <w:i w:val="false"/>
          <w:iCs w:val="false"/>
          <w:color w:val="0F172A"/>
          <w:sz w:val="22"/>
          <w:szCs w:val="22"/>
        </w:rPr>
        <w:t xml:space="preserve"> Six inputs are treated as critical (offering, NAICS industry, ACV, DMU, competitors, goal); anything skipped raises alerts on dependent modules with a one-click path back to the brief.</w:t>
      </w:r>
    </w:p>
    <w:p>
      <w:pPr>
        <w:pStyle w:val="ListParagraph"/>
        <w:numPr>
          <w:ilvl w:val="0"/>
          <w:numId w:val="3"/>
        </w:numPr>
        <w:spacing w:after="80" w:line="290"/>
      </w:pPr>
      <w:r>
        <w:rPr>
          <w:rFonts w:ascii="Calibri" w:cs="Calibri" w:eastAsia="Calibri" w:hAnsi="Calibri"/>
          <w:b/>
          <w:bCs/>
          <w:color w:val="0F172A"/>
          <w:sz w:val="22"/>
          <w:szCs w:val="22"/>
        </w:rPr>
        <w:t xml:space="preserve">Work module by module.</w:t>
      </w:r>
      <w:r>
        <w:rPr>
          <w:rFonts w:ascii="Calibri" w:cs="Calibri" w:eastAsia="Calibri" w:hAnsi="Calibri"/>
          <w:i w:val="false"/>
          <w:iCs w:val="false"/>
          <w:color w:val="0F172A"/>
          <w:sz w:val="22"/>
          <w:szCs w:val="22"/>
        </w:rPr>
        <w:t xml:space="preserve"> The sidebar opens on the resume point; pending badges show remaining work per group. Draft with AI, refine in the interactive widgets, edit text in place.</w:t>
      </w:r>
    </w:p>
    <w:p>
      <w:pPr>
        <w:pStyle w:val="ListParagraph"/>
        <w:numPr>
          <w:ilvl w:val="0"/>
          <w:numId w:val="3"/>
        </w:numPr>
        <w:spacing w:after="80" w:line="290"/>
      </w:pPr>
      <w:r>
        <w:rPr>
          <w:rFonts w:ascii="Calibri" w:cs="Calibri" w:eastAsia="Calibri" w:hAnsi="Calibri"/>
          <w:b/>
          <w:bCs/>
          <w:color w:val="0F172A"/>
          <w:sz w:val="22"/>
          <w:szCs w:val="22"/>
        </w:rPr>
        <w:t xml:space="preserve">Pass the gates.</w:t>
      </w:r>
      <w:r>
        <w:rPr>
          <w:rFonts w:ascii="Calibri" w:cs="Calibri" w:eastAsia="Calibri" w:hAnsi="Calibri"/>
          <w:i w:val="false"/>
          <w:iCs w:val="false"/>
          <w:color w:val="0F172A"/>
          <w:sz w:val="22"/>
          <w:szCs w:val="22"/>
        </w:rPr>
        <w:t xml:space="preserve"> Record executive decisions and notes at the four checkpoints.</w:t>
      </w:r>
    </w:p>
    <w:p>
      <w:pPr>
        <w:pStyle w:val="ListParagraph"/>
        <w:numPr>
          <w:ilvl w:val="0"/>
          <w:numId w:val="3"/>
        </w:numPr>
        <w:spacing w:after="80" w:line="290"/>
      </w:pPr>
      <w:r>
        <w:rPr>
          <w:rFonts w:ascii="Calibri" w:cs="Calibri" w:eastAsia="Calibri" w:hAnsi="Calibri"/>
          <w:b/>
          <w:bCs/>
          <w:color w:val="0F172A"/>
          <w:sz w:val="22"/>
          <w:szCs w:val="22"/>
        </w:rPr>
        <w:t xml:space="preserve">Compile and export.</w:t>
      </w:r>
      <w:r>
        <w:rPr>
          <w:rFonts w:ascii="Calibri" w:cs="Calibri" w:eastAsia="Calibri" w:hAnsi="Calibri"/>
          <w:i w:val="false"/>
          <w:iCs w:val="false"/>
          <w:color w:val="0F172A"/>
          <w:sz w:val="22"/>
          <w:szCs w:val="22"/>
        </w:rPr>
        <w:t xml:space="preserve"> Module 33 produces the full Word report, PowerPoint deck, or Markdown. Individual modules export their own outputs at any time.</w:t>
      </w:r>
    </w:p>
    <w:p>
      <w:pPr>
        <w:pStyle w:val="Heading1"/>
        <w:spacing w:after="160" w:before="340"/>
      </w:pPr>
      <w:r>
        <w:rPr>
          <w:rFonts w:ascii="Calibri" w:cs="Calibri" w:eastAsia="Calibri" w:hAnsi="Calibri"/>
          <w:b/>
          <w:bCs/>
          <w:color w:val="0F172A"/>
          <w:sz w:val="30"/>
          <w:szCs w:val="30"/>
        </w:rPr>
        <w:t xml:space="preserve">5. Architecture &amp; technical notes</w:t>
      </w:r>
    </w:p>
    <w:p>
      <w:pPr>
        <w:pStyle w:val="ListParagraph"/>
        <w:numPr>
          <w:ilvl w:val="0"/>
          <w:numId w:val="2"/>
        </w:numPr>
        <w:spacing w:after="70" w:line="290"/>
      </w:pPr>
      <w:r>
        <w:rPr>
          <w:rFonts w:ascii="Calibri" w:cs="Calibri" w:eastAsia="Calibri" w:hAnsi="Calibri"/>
          <w:b/>
          <w:bCs/>
          <w:color w:val="0F172A"/>
          <w:sz w:val="22"/>
          <w:szCs w:val="22"/>
        </w:rPr>
        <w:t xml:space="preserve">Single-file deployment.</w:t>
      </w:r>
      <w:r>
        <w:rPr>
          <w:rFonts w:ascii="Calibri" w:cs="Calibri" w:eastAsia="Calibri" w:hAnsi="Calibri"/>
          <w:i w:val="false"/>
          <w:iCs w:val="false"/>
          <w:color w:val="0F172A"/>
          <w:sz w:val="22"/>
          <w:szCs w:val="22"/>
        </w:rPr>
        <w:t xml:space="preserve"> Everything — styles, React components, report generators — lives in one index.html (~250 KB). React 18, ReactDOM and Babel Standalone load from CDNs; PptxGenJS 3.12 powers the PowerPoint export. Word export uses Word-compatible styled HTML (.doc).</w:t>
      </w:r>
    </w:p>
    <w:p>
      <w:pPr>
        <w:pStyle w:val="ListParagraph"/>
        <w:numPr>
          <w:ilvl w:val="0"/>
          <w:numId w:val="2"/>
        </w:numPr>
        <w:spacing w:after="70" w:line="290"/>
      </w:pPr>
      <w:r>
        <w:rPr>
          <w:rFonts w:ascii="Calibri" w:cs="Calibri" w:eastAsia="Calibri" w:hAnsi="Calibri"/>
          <w:b/>
          <w:bCs/>
          <w:color w:val="0F172A"/>
          <w:sz w:val="22"/>
          <w:szCs w:val="22"/>
        </w:rPr>
        <w:t xml:space="preserve">Persistence.</w:t>
      </w:r>
      <w:r>
        <w:rPr>
          <w:rFonts w:ascii="Calibri" w:cs="Calibri" w:eastAsia="Calibri" w:hAnsi="Calibri"/>
          <w:i w:val="false"/>
          <w:iCs w:val="false"/>
          <w:color w:val="0F172A"/>
          <w:sz w:val="22"/>
          <w:szCs w:val="22"/>
        </w:rPr>
        <w:t xml:space="preserve"> Users, projects, settings, Demo Mode and last-open project persist in browser localStorage — a major step up from the earlier artifact edition, which lost work on refresh. Data is per-browser, per-device; the admin console provides JSON backup and restore for portability.</w:t>
      </w:r>
    </w:p>
    <w:p>
      <w:pPr>
        <w:pStyle w:val="ListParagraph"/>
        <w:numPr>
          <w:ilvl w:val="0"/>
          <w:numId w:val="2"/>
        </w:numPr>
        <w:spacing w:after="70" w:line="290"/>
      </w:pPr>
      <w:r>
        <w:rPr>
          <w:rFonts w:ascii="Calibri" w:cs="Calibri" w:eastAsia="Calibri" w:hAnsi="Calibri"/>
          <w:b/>
          <w:bCs/>
          <w:color w:val="0F172A"/>
          <w:sz w:val="22"/>
          <w:szCs w:val="22"/>
        </w:rPr>
        <w:t xml:space="preserve">React component model.</w:t>
      </w:r>
      <w:r>
        <w:rPr>
          <w:rFonts w:ascii="Calibri" w:cs="Calibri" w:eastAsia="Calibri" w:hAnsi="Calibri"/>
          <w:i w:val="false"/>
          <w:iCs w:val="false"/>
          <w:color w:val="0F172A"/>
          <w:sz w:val="22"/>
          <w:szCs w:val="22"/>
        </w:rPr>
        <w:t xml:space="preserve"> JSX/React was chosen over plain HTML because the app is a multi-screen, multi-state product (35 modules × per-project state × role-based views); React’s declarative state model keeps this maintainable where manual DOM management would be fragile.</w:t>
      </w:r>
    </w:p>
    <w:p>
      <w:pPr>
        <w:pStyle w:val="ListParagraph"/>
        <w:numPr>
          <w:ilvl w:val="0"/>
          <w:numId w:val="2"/>
        </w:numPr>
        <w:spacing w:after="70" w:line="290"/>
      </w:pPr>
      <w:r>
        <w:rPr>
          <w:rFonts w:ascii="Calibri" w:cs="Calibri" w:eastAsia="Calibri" w:hAnsi="Calibri"/>
          <w:b/>
          <w:bCs/>
          <w:color w:val="0F172A"/>
          <w:sz w:val="22"/>
          <w:szCs w:val="22"/>
        </w:rPr>
        <w:t xml:space="preserve">AI orchestration.</w:t>
      </w:r>
      <w:r>
        <w:rPr>
          <w:rFonts w:ascii="Calibri" w:cs="Calibri" w:eastAsia="Calibri" w:hAnsi="Calibri"/>
          <w:i w:val="false"/>
          <w:iCs w:val="false"/>
          <w:color w:val="0F172A"/>
          <w:sz w:val="22"/>
          <w:szCs w:val="22"/>
        </w:rPr>
        <w:t xml:space="preserve"> Each draft request assembles the business brief plus up to ~850 characters of every previously completed module, giving later modules (e.g. TOWS, campaign planning) genuine continuity with earlier analysis.</w:t>
      </w:r>
    </w:p>
    <w:p>
      <w:pPr>
        <w:pStyle w:val="ListParagraph"/>
        <w:numPr>
          <w:ilvl w:val="0"/>
          <w:numId w:val="2"/>
        </w:numPr>
        <w:spacing w:after="70" w:line="290"/>
      </w:pPr>
      <w:r>
        <w:rPr>
          <w:rFonts w:ascii="Calibri" w:cs="Calibri" w:eastAsia="Calibri" w:hAnsi="Calibri"/>
          <w:b/>
          <w:bCs/>
          <w:color w:val="0F172A"/>
          <w:sz w:val="22"/>
          <w:szCs w:val="22"/>
        </w:rPr>
        <w:t xml:space="preserve">Environment resilience.</w:t>
      </w:r>
      <w:r>
        <w:rPr>
          <w:rFonts w:ascii="Calibri" w:cs="Calibri" w:eastAsia="Calibri" w:hAnsi="Calibri"/>
          <w:i w:val="false"/>
          <w:iCs w:val="false"/>
          <w:color w:val="0F172A"/>
          <w:sz w:val="22"/>
          <w:szCs w:val="22"/>
        </w:rPr>
        <w:t xml:space="preserve"> No blocking browser dialogs remain (prompt/alert replaced by modal + toasts), so the platform behaves identically whether opened as a local file, hosted, or embedded in a preview iframe.</w:t>
      </w:r>
    </w:p>
    <w:p>
      <w:pPr>
        <w:pStyle w:val="Heading1"/>
        <w:spacing w:after="160" w:before="340"/>
      </w:pPr>
      <w:r>
        <w:rPr>
          <w:rFonts w:ascii="Calibri" w:cs="Calibri" w:eastAsia="Calibri" w:hAnsi="Calibri"/>
          <w:b/>
          <w:bCs/>
          <w:color w:val="0F172A"/>
          <w:sz w:val="30"/>
          <w:szCs w:val="30"/>
        </w:rPr>
        <w:t xml:space="preserve">6. AI providers, models &amp; indicative costs</w:t>
      </w:r>
    </w:p>
    <w:p>
      <w:pPr>
        <w:spacing w:after="140" w:line="300"/>
      </w:pPr>
      <w:r>
        <w:rPr>
          <w:rFonts w:ascii="Calibri" w:cs="Calibri" w:eastAsia="Calibri" w:hAnsi="Calibri"/>
          <w:i w:val="false"/>
          <w:iCs w:val="false"/>
          <w:color w:val="0F172A"/>
          <w:sz w:val="22"/>
          <w:szCs w:val="22"/>
        </w:rPr>
        <w:t xml:space="preserve">Three providers are available in the admin console’s Global API Configuration. The Offline Sandbox is the default and needs no key; Gemini remains the recommended live provider for cost-sensitive testing with marketers; Claude offers the highest draft quality.</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3200"/>
        <w:gridCol w:w="1540"/>
        <w:gridCol w:w="2310"/>
        <w:gridCol w:w="2310"/>
      </w:tblGrid>
      <w:tr>
        <w:tc>
          <w:tcPr>
            <w:tcW w:type="dxa" w:w="3200"/>
            <w:shd w:fill="0F172A" w:val="clear"/>
            <w:tcMar>
              <w:top w:type="dxa" w:w="90"/>
              <w:left w:type="dxa" w:w="120"/>
              <w:bottom w:type="dxa" w:w="90"/>
              <w:right w:type="dxa" w:w="120"/>
            </w:tcMar>
          </w:tcPr>
          <w:p>
            <w:pPr>
              <w:spacing w:after="0"/>
            </w:pPr>
            <w:r>
              <w:rPr>
                <w:rFonts w:ascii="Calibri" w:cs="Calibri" w:eastAsia="Calibri" w:hAnsi="Calibri"/>
                <w:i w:val="false"/>
                <w:iCs w:val="false"/>
                <w:color w:val="FFFFFF"/>
                <w:sz w:val="21"/>
                <w:szCs w:val="21"/>
              </w:rPr>
              <w:t xml:space="preserve">Model</w:t>
            </w:r>
          </w:p>
        </w:tc>
        <w:tc>
          <w:tcPr>
            <w:tcW w:type="dxa" w:w="1540"/>
            <w:shd w:fill="0F172A" w:val="clear"/>
            <w:tcMar>
              <w:top w:type="dxa" w:w="90"/>
              <w:left w:type="dxa" w:w="120"/>
              <w:bottom w:type="dxa" w:w="90"/>
              <w:right w:type="dxa" w:w="120"/>
            </w:tcMar>
          </w:tcPr>
          <w:p>
            <w:pPr>
              <w:spacing w:after="0"/>
            </w:pPr>
            <w:r>
              <w:rPr>
                <w:rFonts w:ascii="Calibri" w:cs="Calibri" w:eastAsia="Calibri" w:hAnsi="Calibri"/>
                <w:i w:val="false"/>
                <w:iCs w:val="false"/>
                <w:color w:val="FFFFFF"/>
                <w:sz w:val="21"/>
                <w:szCs w:val="21"/>
              </w:rPr>
              <w:t xml:space="preserve">Provider</w:t>
            </w:r>
          </w:p>
        </w:tc>
        <w:tc>
          <w:tcPr>
            <w:tcW w:type="dxa" w:w="2310"/>
            <w:shd w:fill="0F172A" w:val="clear"/>
            <w:tcMar>
              <w:top w:type="dxa" w:w="90"/>
              <w:left w:type="dxa" w:w="120"/>
              <w:bottom w:type="dxa" w:w="90"/>
              <w:right w:type="dxa" w:w="120"/>
            </w:tcMar>
          </w:tcPr>
          <w:p>
            <w:pPr>
              <w:spacing w:after="0"/>
            </w:pPr>
            <w:r>
              <w:rPr>
                <w:rFonts w:ascii="Calibri" w:cs="Calibri" w:eastAsia="Calibri" w:hAnsi="Calibri"/>
                <w:i w:val="false"/>
                <w:iCs w:val="false"/>
                <w:color w:val="FFFFFF"/>
                <w:sz w:val="21"/>
                <w:szCs w:val="21"/>
              </w:rPr>
              <w:t xml:space="preserve">Indicative price / 1M tokens (in / out)</w:t>
            </w:r>
          </w:p>
        </w:tc>
        <w:tc>
          <w:tcPr>
            <w:tcW w:type="dxa" w:w="2310"/>
            <w:shd w:fill="0F172A" w:val="clear"/>
            <w:tcMar>
              <w:top w:type="dxa" w:w="90"/>
              <w:left w:type="dxa" w:w="120"/>
              <w:bottom w:type="dxa" w:w="90"/>
              <w:right w:type="dxa" w:w="120"/>
            </w:tcMar>
          </w:tcPr>
          <w:p>
            <w:pPr>
              <w:spacing w:after="0"/>
            </w:pPr>
            <w:r>
              <w:rPr>
                <w:rFonts w:ascii="Calibri" w:cs="Calibri" w:eastAsia="Calibri" w:hAnsi="Calibri"/>
                <w:i w:val="false"/>
                <w:iCs w:val="false"/>
                <w:color w:val="FFFFFF"/>
                <w:sz w:val="21"/>
                <w:szCs w:val="21"/>
              </w:rPr>
              <w:t xml:space="preserve">Typical cost per module draft</w:t>
            </w:r>
          </w:p>
        </w:tc>
      </w:tr>
      <w:tr>
        <w:tc>
          <w:tcPr>
            <w:tcW w:type="dxa" w:w="3200"/>
            <w:shd w:fill="F8FAFC"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Offline Sandbox (default)</w:t>
            </w:r>
          </w:p>
        </w:tc>
        <w:tc>
          <w:tcPr>
            <w:tcW w:type="dxa" w:w="154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Local</w:t>
            </w:r>
          </w:p>
        </w:tc>
        <w:tc>
          <w:tcPr>
            <w:tcW w:type="dxa" w:w="231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Free</w:t>
            </w:r>
          </w:p>
        </w:tc>
        <w:tc>
          <w:tcPr>
            <w:tcW w:type="dxa" w:w="231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Free — template output</w:t>
            </w:r>
          </w:p>
        </w:tc>
      </w:tr>
      <w:tr>
        <w:tc>
          <w:tcPr>
            <w:tcW w:type="dxa" w:w="3200"/>
            <w:shd w:fill="F8FAFC"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Gemini 2.0 Flash (recommended)</w:t>
            </w:r>
          </w:p>
        </w:tc>
        <w:tc>
          <w:tcPr>
            <w:tcW w:type="dxa" w:w="154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Google</w:t>
            </w:r>
          </w:p>
        </w:tc>
        <w:tc>
          <w:tcPr>
            <w:tcW w:type="dxa" w:w="231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~$0.10 / $0.40</w:t>
            </w:r>
          </w:p>
        </w:tc>
        <w:tc>
          <w:tcPr>
            <w:tcW w:type="dxa" w:w="231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Under $0.01</w:t>
            </w:r>
          </w:p>
        </w:tc>
      </w:tr>
      <w:tr>
        <w:tc>
          <w:tcPr>
            <w:tcW w:type="dxa" w:w="3200"/>
            <w:shd w:fill="F8FAFC"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Gemini 1.5 Flash / Pro (legacy)</w:t>
            </w:r>
          </w:p>
        </w:tc>
        <w:tc>
          <w:tcPr>
            <w:tcW w:type="dxa" w:w="154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Google</w:t>
            </w:r>
          </w:p>
        </w:tc>
        <w:tc>
          <w:tcPr>
            <w:tcW w:type="dxa" w:w="231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~$0.075–$1.25 / $0.30–$5</w:t>
            </w:r>
          </w:p>
        </w:tc>
        <w:tc>
          <w:tcPr>
            <w:tcW w:type="dxa" w:w="231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Under $0.01 (Flash)</w:t>
            </w:r>
          </w:p>
        </w:tc>
      </w:tr>
      <w:tr>
        <w:tc>
          <w:tcPr>
            <w:tcW w:type="dxa" w:w="3200"/>
            <w:shd w:fill="F8FAFC"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Claude Sonnet 4.6 (recommended)</w:t>
            </w:r>
          </w:p>
        </w:tc>
        <w:tc>
          <w:tcPr>
            <w:tcW w:type="dxa" w:w="154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Anthropic</w:t>
            </w:r>
          </w:p>
        </w:tc>
        <w:tc>
          <w:tcPr>
            <w:tcW w:type="dxa" w:w="231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~$3 / $15</w:t>
            </w:r>
          </w:p>
        </w:tc>
        <w:tc>
          <w:tcPr>
            <w:tcW w:type="dxa" w:w="231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~$0.02</w:t>
            </w:r>
          </w:p>
        </w:tc>
      </w:tr>
      <w:tr>
        <w:tc>
          <w:tcPr>
            <w:tcW w:type="dxa" w:w="3200"/>
            <w:shd w:fill="F8FAFC"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Claude Haiku 4.5</w:t>
            </w:r>
          </w:p>
        </w:tc>
        <w:tc>
          <w:tcPr>
            <w:tcW w:type="dxa" w:w="154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Anthropic</w:t>
            </w:r>
          </w:p>
        </w:tc>
        <w:tc>
          <w:tcPr>
            <w:tcW w:type="dxa" w:w="231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~$1 / $5</w:t>
            </w:r>
          </w:p>
        </w:tc>
        <w:tc>
          <w:tcPr>
            <w:tcW w:type="dxa" w:w="231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Under $0.01</w:t>
            </w:r>
          </w:p>
        </w:tc>
      </w:tr>
      <w:tr>
        <w:tc>
          <w:tcPr>
            <w:tcW w:type="dxa" w:w="3200"/>
            <w:shd w:fill="F8FAFC"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Claude 3.5 Sonnet / Haiku (legacy)</w:t>
            </w:r>
          </w:p>
        </w:tc>
        <w:tc>
          <w:tcPr>
            <w:tcW w:type="dxa" w:w="154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Anthropic</w:t>
            </w:r>
          </w:p>
        </w:tc>
        <w:tc>
          <w:tcPr>
            <w:tcW w:type="dxa" w:w="231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~$3 / $15 · ~$0.80 / $4</w:t>
            </w:r>
          </w:p>
        </w:tc>
        <w:tc>
          <w:tcPr>
            <w:tcW w:type="dxa" w:w="2310"/>
            <w:shd w:fill="FFFFFF" w:val="clear"/>
            <w:tcMar>
              <w:top w:type="dxa" w:w="90"/>
              <w:left w:type="dxa" w:w="120"/>
              <w:bottom w:type="dxa" w:w="90"/>
              <w:right w:type="dxa" w:w="120"/>
            </w:tcMar>
          </w:tcPr>
          <w:p>
            <w:pPr>
              <w:spacing w:after="0"/>
            </w:pPr>
            <w:r>
              <w:rPr>
                <w:rFonts w:ascii="Calibri" w:cs="Calibri" w:eastAsia="Calibri" w:hAnsi="Calibri"/>
                <w:i w:val="false"/>
                <w:iCs w:val="false"/>
                <w:color w:val="0F172A"/>
                <w:sz w:val="21"/>
                <w:szCs w:val="21"/>
              </w:rPr>
              <w:t xml:space="preserve">~$0.02 (Sonnet)</w:t>
            </w:r>
          </w:p>
        </w:tc>
      </w:tr>
    </w:tbl>
    <w:p>
      <w:pPr>
        <w:spacing w:after="140" w:line="300"/>
      </w:pPr>
      <w:r>
        <w:rPr>
          <w:rFonts w:ascii="Calibri" w:cs="Calibri" w:eastAsia="Calibri" w:hAnsi="Calibri"/>
          <w:i/>
          <w:iCs/>
          <w:color w:val="475569"/>
          <w:sz w:val="22"/>
          <w:szCs w:val="22"/>
        </w:rPr>
        <w:t xml:space="preserve">Pricing is charged per million tokens, not per message; a typical draft consumes roughly 1,000–2,000 tokens in total. A live session-cost ticker in the header shows estimated spend as drafts are generated. Verify all rates against the providers’ current pricing pages before publishing figures to users — they change.</w:t>
      </w:r>
    </w:p>
    <w:p>
      <w:pPr>
        <w:pStyle w:val="Heading1"/>
        <w:spacing w:after="160" w:before="340"/>
      </w:pPr>
      <w:r>
        <w:rPr>
          <w:rFonts w:ascii="Calibri" w:cs="Calibri" w:eastAsia="Calibri" w:hAnsi="Calibri"/>
          <w:b/>
          <w:bCs/>
          <w:color w:val="0F172A"/>
          <w:sz w:val="30"/>
          <w:szCs w:val="30"/>
        </w:rPr>
        <w:t xml:space="preserve">7. Demo Mode &amp; guided tour</w:t>
      </w:r>
    </w:p>
    <w:p>
      <w:pPr>
        <w:spacing w:after="140" w:line="300"/>
      </w:pPr>
      <w:r>
        <w:rPr>
          <w:rFonts w:ascii="Calibri" w:cs="Calibri" w:eastAsia="Calibri" w:hAnsi="Calibri"/>
          <w:i w:val="false"/>
          <w:iCs w:val="false"/>
          <w:color w:val="0F172A"/>
          <w:sz w:val="22"/>
          <w:szCs w:val="22"/>
        </w:rPr>
        <w:t xml:space="preserve">Demo Mode exists so new users can explore a fully worked example — the CardioCloud remote cardiac monitoring project, complete with 18 drafted modules, sized TAM/SAM/SOM, PESTLE, Porter, SWOT data and a passed Gate 1 — and then clear it away completely when real work begins.</w:t>
      </w:r>
    </w:p>
    <w:p>
      <w:pPr>
        <w:pStyle w:val="ListParagraph"/>
        <w:numPr>
          <w:ilvl w:val="0"/>
          <w:numId w:val="2"/>
        </w:numPr>
        <w:spacing w:after="70" w:line="290"/>
      </w:pPr>
      <w:r>
        <w:rPr>
          <w:rFonts w:ascii="Calibri" w:cs="Calibri" w:eastAsia="Calibri" w:hAnsi="Calibri"/>
          <w:b/>
          <w:bCs/>
          <w:color w:val="0F172A"/>
          <w:sz w:val="22"/>
          <w:szCs w:val="22"/>
        </w:rPr>
        <w:t xml:space="preserve">ON by default</w:t>
      </w:r>
      <w:r>
        <w:rPr>
          <w:rFonts w:ascii="Calibri" w:cs="Calibri" w:eastAsia="Calibri" w:hAnsi="Calibri"/>
          <w:i w:val="false"/>
          <w:iCs w:val="false"/>
          <w:color w:val="0F172A"/>
          <w:sz w:val="22"/>
          <w:szCs w:val="22"/>
        </w:rPr>
        <w:t xml:space="preserve"> for first-time users; the state persists per browser.</w:t>
      </w:r>
    </w:p>
    <w:p>
      <w:pPr>
        <w:pStyle w:val="ListParagraph"/>
        <w:numPr>
          <w:ilvl w:val="0"/>
          <w:numId w:val="2"/>
        </w:numPr>
        <w:spacing w:after="70" w:line="290"/>
      </w:pPr>
      <w:r>
        <w:rPr>
          <w:rFonts w:ascii="Calibri" w:cs="Calibri" w:eastAsia="Calibri" w:hAnsi="Calibri"/>
          <w:i w:val="false"/>
          <w:iCs w:val="false"/>
          <w:color w:val="0F172A"/>
          <w:sz w:val="22"/>
          <w:szCs w:val="22"/>
        </w:rPr>
        <w:t xml:space="preserve">The 12-step tour walks the full journey (prerequisites → intake → committee mapping → sizing → personas → competitors → TOWS → campaigns → gates → report compiler), with the sidebar following each step.</w:t>
      </w:r>
    </w:p>
    <w:p>
      <w:pPr>
        <w:pStyle w:val="ListParagraph"/>
        <w:numPr>
          <w:ilvl w:val="0"/>
          <w:numId w:val="2"/>
        </w:numPr>
        <w:spacing w:after="70" w:line="290"/>
      </w:pPr>
      <w:r>
        <w:rPr>
          <w:rFonts w:ascii="Calibri" w:cs="Calibri" w:eastAsia="Calibri" w:hAnsi="Calibri"/>
          <w:b/>
          <w:bCs/>
          <w:color w:val="0F172A"/>
          <w:sz w:val="22"/>
          <w:szCs w:val="22"/>
        </w:rPr>
        <w:t xml:space="preserve">Sample reports on demand.</w:t>
      </w:r>
      <w:r>
        <w:rPr>
          <w:rFonts w:ascii="Calibri" w:cs="Calibri" w:eastAsia="Calibri" w:hAnsi="Calibri"/>
          <w:i w:val="false"/>
          <w:iCs w:val="false"/>
          <w:color w:val="0F172A"/>
          <w:sz w:val="22"/>
          <w:szCs w:val="22"/>
        </w:rPr>
        <w:t xml:space="preserve"> At steps 11–12 the tour card itself offers the sample Word report and sample PowerPoint deck, generated live from the demo data — so a prospective user sees the end deliverables within two minutes.</w:t>
      </w:r>
    </w:p>
    <w:p>
      <w:pPr>
        <w:pStyle w:val="ListParagraph"/>
        <w:numPr>
          <w:ilvl w:val="0"/>
          <w:numId w:val="2"/>
        </w:numPr>
        <w:spacing w:after="70" w:line="290"/>
      </w:pPr>
      <w:r>
        <w:rPr>
          <w:rFonts w:ascii="Calibri" w:cs="Calibri" w:eastAsia="Calibri" w:hAnsi="Calibri"/>
          <w:b/>
          <w:bCs/>
          <w:color w:val="0F172A"/>
          <w:sz w:val="22"/>
          <w:szCs w:val="22"/>
        </w:rPr>
        <w:t xml:space="preserve">Clean exit.</w:t>
      </w:r>
      <w:r>
        <w:rPr>
          <w:rFonts w:ascii="Calibri" w:cs="Calibri" w:eastAsia="Calibri" w:hAnsi="Calibri"/>
          <w:i w:val="false"/>
          <w:iCs w:val="false"/>
          <w:color w:val="0F172A"/>
          <w:sz w:val="22"/>
          <w:szCs w:val="22"/>
        </w:rPr>
        <w:t xml:space="preserve"> “Hide Demo Data &amp; Start Fresh” (tour completion) or the Homepage toggle removes the demo project and its sample reports from the entire workspace. Files already downloaded naturally remain on the user’s machine. Demo data can be restored at any time via “Show Demo Data”.</w:t>
      </w:r>
    </w:p>
    <w:p>
      <w:pPr>
        <w:pStyle w:val="Heading1"/>
        <w:spacing w:after="160" w:before="340"/>
      </w:pPr>
      <w:r>
        <w:rPr>
          <w:rFonts w:ascii="Calibri" w:cs="Calibri" w:eastAsia="Calibri" w:hAnsi="Calibri"/>
          <w:b/>
          <w:bCs/>
          <w:color w:val="0F172A"/>
          <w:sz w:val="30"/>
          <w:szCs w:val="30"/>
        </w:rPr>
        <w:t xml:space="preserve">8. QA &amp; verification evidence (frozen build)</w:t>
      </w:r>
    </w:p>
    <w:p>
      <w:pPr>
        <w:spacing w:after="140" w:line="300"/>
      </w:pPr>
      <w:r>
        <w:rPr>
          <w:rFonts w:ascii="Calibri" w:cs="Calibri" w:eastAsia="Calibri" w:hAnsi="Calibri"/>
          <w:i w:val="false"/>
          <w:iCs w:val="false"/>
          <w:color w:val="0F172A"/>
          <w:sz w:val="22"/>
          <w:szCs w:val="22"/>
        </w:rPr>
        <w:t xml:space="preserve">The frozen build was verified mechanically, not by inspection alone:</w:t>
      </w:r>
    </w:p>
    <w:p>
      <w:pPr>
        <w:pStyle w:val="ListParagraph"/>
        <w:numPr>
          <w:ilvl w:val="0"/>
          <w:numId w:val="2"/>
        </w:numPr>
        <w:spacing w:after="70" w:line="290"/>
      </w:pPr>
      <w:r>
        <w:rPr>
          <w:rFonts w:ascii="Calibri" w:cs="Calibri" w:eastAsia="Calibri" w:hAnsi="Calibri"/>
          <w:b/>
          <w:bCs/>
          <w:color w:val="0F172A"/>
          <w:sz w:val="22"/>
          <w:szCs w:val="22"/>
        </w:rPr>
        <w:t xml:space="preserve">Syntax:</w:t>
      </w:r>
      <w:r>
        <w:rPr>
          <w:rFonts w:ascii="Calibri" w:cs="Calibri" w:eastAsia="Calibri" w:hAnsi="Calibri"/>
          <w:i w:val="false"/>
          <w:iCs w:val="false"/>
          <w:color w:val="0F172A"/>
          <w:sz w:val="22"/>
          <w:szCs w:val="22"/>
        </w:rPr>
        <w:t xml:space="preserve"> the full JSX compiles clean under the TypeScript parser (control-tested to confirm the checker catches deliberate errors).</w:t>
      </w:r>
    </w:p>
    <w:p>
      <w:pPr>
        <w:pStyle w:val="ListParagraph"/>
        <w:numPr>
          <w:ilvl w:val="0"/>
          <w:numId w:val="2"/>
        </w:numPr>
        <w:spacing w:after="70" w:line="290"/>
      </w:pPr>
      <w:r>
        <w:rPr>
          <w:rFonts w:ascii="Calibri" w:cs="Calibri" w:eastAsia="Calibri" w:hAnsi="Calibri"/>
          <w:b/>
          <w:bCs/>
          <w:color w:val="0F172A"/>
          <w:sz w:val="22"/>
          <w:szCs w:val="22"/>
        </w:rPr>
        <w:t xml:space="preserve">Render sweep:</w:t>
      </w:r>
      <w:r>
        <w:rPr>
          <w:rFonts w:ascii="Calibri" w:cs="Calibri" w:eastAsia="Calibri" w:hAnsi="Calibri"/>
          <w:i w:val="false"/>
          <w:iCs w:val="false"/>
          <w:color w:val="0F172A"/>
          <w:sz w:val="22"/>
          <w:szCs w:val="22"/>
        </w:rPr>
        <w:t xml:space="preserve"> all 35 modules server-rendered without error on empty, partial and complete projects; login, homepage, admin console, Copilot panel and Report Compiler each render-verified, including every provider state of the AI status pill.</w:t>
      </w:r>
    </w:p>
    <w:p>
      <w:pPr>
        <w:pStyle w:val="ListParagraph"/>
        <w:numPr>
          <w:ilvl w:val="0"/>
          <w:numId w:val="2"/>
        </w:numPr>
        <w:spacing w:after="70" w:line="290"/>
      </w:pPr>
      <w:r>
        <w:rPr>
          <w:rFonts w:ascii="Calibri" w:cs="Calibri" w:eastAsia="Calibri" w:hAnsi="Calibri"/>
          <w:b/>
          <w:bCs/>
          <w:color w:val="0F172A"/>
          <w:sz w:val="22"/>
          <w:szCs w:val="22"/>
        </w:rPr>
        <w:t xml:space="preserve">Settings migration:</w:t>
      </w:r>
      <w:r>
        <w:rPr>
          <w:rFonts w:ascii="Calibri" w:cs="Calibri" w:eastAsia="Calibri" w:hAnsi="Calibri"/>
          <w:i w:val="false"/>
          <w:iCs w:val="false"/>
          <w:color w:val="0F172A"/>
          <w:sz w:val="22"/>
          <w:szCs w:val="22"/>
        </w:rPr>
        <w:t xml:space="preserve"> stored keyless live-provider configurations verified to self-heal to Sandbox; keyed configurations verified untouched.</w:t>
      </w:r>
    </w:p>
    <w:p>
      <w:pPr>
        <w:pStyle w:val="ListParagraph"/>
        <w:numPr>
          <w:ilvl w:val="0"/>
          <w:numId w:val="2"/>
        </w:numPr>
        <w:spacing w:after="70" w:line="290"/>
      </w:pPr>
      <w:r>
        <w:rPr>
          <w:rFonts w:ascii="Calibri" w:cs="Calibri" w:eastAsia="Calibri" w:hAnsi="Calibri"/>
          <w:b/>
          <w:bCs/>
          <w:color w:val="0F172A"/>
          <w:sz w:val="22"/>
          <w:szCs w:val="22"/>
        </w:rPr>
        <w:t xml:space="preserve">Exports:</w:t>
      </w:r>
      <w:r>
        <w:rPr>
          <w:rFonts w:ascii="Calibri" w:cs="Calibri" w:eastAsia="Calibri" w:hAnsi="Calibri"/>
          <w:i w:val="false"/>
          <w:iCs w:val="false"/>
          <w:color w:val="0F172A"/>
          <w:sz w:val="22"/>
          <w:szCs w:val="22"/>
        </w:rPr>
        <w:t xml:space="preserve"> the actual generator code was executed against the real PptxGenJS library; all decks passed full OOXML validation; native bar, radar and doughnut chart parts confirmed inside the file; all 39 slides of the full deck rendered to images and visually inspected; the Word export was converted and its bar visuals confirmed to survive Word rendering.</w:t>
      </w:r>
    </w:p>
    <w:p>
      <w:pPr>
        <w:pStyle w:val="Heading1"/>
        <w:spacing w:after="160" w:before="340"/>
      </w:pPr>
      <w:r>
        <w:rPr>
          <w:rFonts w:ascii="Calibri" w:cs="Calibri" w:eastAsia="Calibri" w:hAnsi="Calibri"/>
          <w:b/>
          <w:bCs/>
          <w:color w:val="0F172A"/>
          <w:sz w:val="30"/>
          <w:szCs w:val="30"/>
        </w:rPr>
        <w:t xml:space="preserve">9. Known limitations</w:t>
      </w:r>
    </w:p>
    <w:p>
      <w:pPr>
        <w:pStyle w:val="ListParagraph"/>
        <w:numPr>
          <w:ilvl w:val="0"/>
          <w:numId w:val="2"/>
        </w:numPr>
        <w:spacing w:after="70" w:line="290"/>
      </w:pPr>
      <w:r>
        <w:rPr>
          <w:rFonts w:ascii="Calibri" w:cs="Calibri" w:eastAsia="Calibri" w:hAnsi="Calibri"/>
          <w:b/>
          <w:bCs/>
          <w:color w:val="0F172A"/>
          <w:sz w:val="22"/>
          <w:szCs w:val="22"/>
        </w:rPr>
        <w:t xml:space="preserve">Per-browser storage.</w:t>
      </w:r>
      <w:r>
        <w:rPr>
          <w:rFonts w:ascii="Calibri" w:cs="Calibri" w:eastAsia="Calibri" w:hAnsi="Calibri"/>
          <w:i w:val="false"/>
          <w:iCs w:val="false"/>
          <w:color w:val="0F172A"/>
          <w:sz w:val="22"/>
          <w:szCs w:val="22"/>
        </w:rPr>
        <w:t xml:space="preserve"> localStorage does not sync across devices or users; use the admin backup/restore (JSON) to move data. Clearing browser data erases projects.</w:t>
      </w:r>
    </w:p>
    <w:p>
      <w:pPr>
        <w:pStyle w:val="ListParagraph"/>
        <w:numPr>
          <w:ilvl w:val="0"/>
          <w:numId w:val="2"/>
        </w:numPr>
        <w:spacing w:after="70" w:line="290"/>
      </w:pPr>
      <w:r>
        <w:rPr>
          <w:rFonts w:ascii="Calibri" w:cs="Calibri" w:eastAsia="Calibri" w:hAnsi="Calibri"/>
          <w:b/>
          <w:bCs/>
          <w:color w:val="0F172A"/>
          <w:sz w:val="22"/>
          <w:szCs w:val="22"/>
        </w:rPr>
        <w:t xml:space="preserve">API keys in the browser.</w:t>
      </w:r>
      <w:r>
        <w:rPr>
          <w:rFonts w:ascii="Calibri" w:cs="Calibri" w:eastAsia="Calibri" w:hAnsi="Calibri"/>
          <w:i w:val="false"/>
          <w:iCs w:val="false"/>
          <w:color w:val="0F172A"/>
          <w:sz w:val="22"/>
          <w:szCs w:val="22"/>
        </w:rPr>
        <w:t xml:space="preserve"> Keys entered in the admin console are stored in localStorage and calls are made directly from the browser. Acceptable for personal testing; for any shared deployment, route calls through the optional proxy setting with keys held server-side.</w:t>
      </w:r>
    </w:p>
    <w:p>
      <w:pPr>
        <w:pStyle w:val="ListParagraph"/>
        <w:numPr>
          <w:ilvl w:val="0"/>
          <w:numId w:val="2"/>
        </w:numPr>
        <w:spacing w:after="70" w:line="290"/>
      </w:pPr>
      <w:r>
        <w:rPr>
          <w:rFonts w:ascii="Calibri" w:cs="Calibri" w:eastAsia="Calibri" w:hAnsi="Calibri"/>
          <w:b/>
          <w:bCs/>
          <w:color w:val="0F172A"/>
          <w:sz w:val="22"/>
          <w:szCs w:val="22"/>
        </w:rPr>
        <w:t xml:space="preserve">CORS and quotas.</w:t>
      </w:r>
      <w:r>
        <w:rPr>
          <w:rFonts w:ascii="Calibri" w:cs="Calibri" w:eastAsia="Calibri" w:hAnsi="Calibri"/>
          <w:i w:val="false"/>
          <w:iCs w:val="false"/>
          <w:color w:val="0F172A"/>
          <w:sz w:val="22"/>
          <w:szCs w:val="22"/>
        </w:rPr>
        <w:t xml:space="preserve"> Direct Gemini/Claude calls depend on the user’s key, quota and network CORS behaviour; the proxy option exists for restrictive networks.</w:t>
      </w:r>
    </w:p>
    <w:p>
      <w:pPr>
        <w:pStyle w:val="ListParagraph"/>
        <w:numPr>
          <w:ilvl w:val="0"/>
          <w:numId w:val="2"/>
        </w:numPr>
        <w:spacing w:after="70" w:line="290"/>
      </w:pPr>
      <w:r>
        <w:rPr>
          <w:rFonts w:ascii="Calibri" w:cs="Calibri" w:eastAsia="Calibri" w:hAnsi="Calibri"/>
          <w:b/>
          <w:bCs/>
          <w:color w:val="0F172A"/>
          <w:sz w:val="22"/>
          <w:szCs w:val="22"/>
        </w:rPr>
        <w:t xml:space="preserve">Word export format.</w:t>
      </w:r>
      <w:r>
        <w:rPr>
          <w:rFonts w:ascii="Calibri" w:cs="Calibri" w:eastAsia="Calibri" w:hAnsi="Calibri"/>
          <w:i w:val="false"/>
          <w:iCs w:val="false"/>
          <w:color w:val="0F172A"/>
          <w:sz w:val="22"/>
          <w:szCs w:val="22"/>
        </w:rPr>
        <w:t xml:space="preserve"> The .doc export is Word-compatible styled HTML — it opens and edits cleanly in Word, but is not native OOXML (.docx). The PowerPoint export is native .pptx.</w:t>
      </w:r>
    </w:p>
    <w:p>
      <w:pPr>
        <w:pStyle w:val="ListParagraph"/>
        <w:numPr>
          <w:ilvl w:val="0"/>
          <w:numId w:val="2"/>
        </w:numPr>
        <w:spacing w:after="70" w:line="290"/>
      </w:pPr>
      <w:r>
        <w:rPr>
          <w:rFonts w:ascii="Calibri" w:cs="Calibri" w:eastAsia="Calibri" w:hAnsi="Calibri"/>
          <w:b/>
          <w:bCs/>
          <w:color w:val="0F172A"/>
          <w:sz w:val="22"/>
          <w:szCs w:val="22"/>
        </w:rPr>
        <w:t xml:space="preserve">Draft length.</w:t>
      </w:r>
      <w:r>
        <w:rPr>
          <w:rFonts w:ascii="Calibri" w:cs="Calibri" w:eastAsia="Calibri" w:hAnsi="Calibri"/>
          <w:i w:val="false"/>
          <w:iCs w:val="false"/>
          <w:color w:val="0F172A"/>
          <w:sz w:val="22"/>
          <w:szCs w:val="22"/>
        </w:rPr>
        <w:t xml:space="preserve"> Outputs are capped at ~1,000 tokens per draft, keeping modules deliberately concise; regenerate or expand via the Copilot for depth.</w:t>
      </w:r>
    </w:p>
    <w:p>
      <w:pPr>
        <w:pStyle w:val="ListParagraph"/>
        <w:numPr>
          <w:ilvl w:val="0"/>
          <w:numId w:val="2"/>
        </w:numPr>
        <w:spacing w:after="70" w:line="290"/>
      </w:pPr>
      <w:r>
        <w:rPr>
          <w:rFonts w:ascii="Calibri" w:cs="Calibri" w:eastAsia="Calibri" w:hAnsi="Calibri"/>
          <w:b/>
          <w:bCs/>
          <w:color w:val="0F172A"/>
          <w:sz w:val="22"/>
          <w:szCs w:val="22"/>
        </w:rPr>
        <w:t xml:space="preserve">Cost figures are estimates,</w:t>
      </w:r>
      <w:r>
        <w:rPr>
          <w:rFonts w:ascii="Calibri" w:cs="Calibri" w:eastAsia="Calibri" w:hAnsi="Calibri"/>
          <w:i w:val="false"/>
          <w:iCs w:val="false"/>
          <w:color w:val="0F172A"/>
          <w:sz w:val="22"/>
          <w:szCs w:val="22"/>
        </w:rPr>
        <w:t xml:space="preserve"> derived from character counts where the API does not return usage — not billing records.</w:t>
      </w:r>
    </w:p>
    <w:p>
      <w:pPr>
        <w:pStyle w:val="ListParagraph"/>
        <w:numPr>
          <w:ilvl w:val="0"/>
          <w:numId w:val="2"/>
        </w:numPr>
        <w:spacing w:after="70" w:line="290"/>
      </w:pPr>
      <w:r>
        <w:rPr>
          <w:rFonts w:ascii="Calibri" w:cs="Calibri" w:eastAsia="Calibri" w:hAnsi="Calibri"/>
          <w:b/>
          <w:bCs/>
          <w:color w:val="0F172A"/>
          <w:sz w:val="22"/>
          <w:szCs w:val="22"/>
        </w:rPr>
        <w:t xml:space="preserve">CDN dependency.</w:t>
      </w:r>
      <w:r>
        <w:rPr>
          <w:rFonts w:ascii="Calibri" w:cs="Calibri" w:eastAsia="Calibri" w:hAnsi="Calibri"/>
          <w:i w:val="false"/>
          <w:iCs w:val="false"/>
          <w:color w:val="0F172A"/>
          <w:sz w:val="22"/>
          <w:szCs w:val="22"/>
        </w:rPr>
        <w:t xml:space="preserve"> First load requires internet access for the React/Babel CDNs; the PowerPoint library now loads on demand through three CDN fallbacks (jsDelivr → unpkg → Cloudflare). A bundled build would remove the dependency entirely.</w:t>
      </w:r>
    </w:p>
    <w:p>
      <w:pPr>
        <w:pStyle w:val="Heading1"/>
        <w:spacing w:after="160" w:before="340"/>
      </w:pPr>
      <w:r>
        <w:rPr>
          <w:rFonts w:ascii="Calibri" w:cs="Calibri" w:eastAsia="Calibri" w:hAnsi="Calibri"/>
          <w:b/>
          <w:bCs/>
          <w:color w:val="0F172A"/>
          <w:sz w:val="30"/>
          <w:szCs w:val="30"/>
        </w:rPr>
        <w:t xml:space="preserve">10. Recommended roadmap (post-freeze)</w:t>
      </w:r>
    </w:p>
    <w:p>
      <w:pPr>
        <w:pStyle w:val="ListParagraph"/>
        <w:numPr>
          <w:ilvl w:val="0"/>
          <w:numId w:val="3"/>
        </w:numPr>
        <w:spacing w:after="80" w:line="290"/>
      </w:pPr>
      <w:r>
        <w:rPr>
          <w:rFonts w:ascii="Calibri" w:cs="Calibri" w:eastAsia="Calibri" w:hAnsi="Calibri"/>
          <w:b/>
          <w:bCs/>
          <w:color w:val="0F172A"/>
          <w:sz w:val="22"/>
          <w:szCs w:val="22"/>
        </w:rPr>
        <w:t xml:space="preserve">Pilot with a marketer</w:t>
      </w:r>
      <w:r>
        <w:rPr>
          <w:rFonts w:ascii="Calibri" w:cs="Calibri" w:eastAsia="Calibri" w:hAnsi="Calibri"/>
          <w:i w:val="false"/>
          <w:iCs w:val="false"/>
          <w:color w:val="0F172A"/>
          <w:sz w:val="22"/>
          <w:szCs w:val="22"/>
        </w:rPr>
        <w:t xml:space="preserve"> using the Offline Sandbox first, then Gemini 2.0 Flash — measure time-to-strategy and note where drafts feel generic; feed findings into module prompts and Copilot chips.</w:t>
      </w:r>
    </w:p>
    <w:p>
      <w:pPr>
        <w:pStyle w:val="ListParagraph"/>
        <w:numPr>
          <w:ilvl w:val="0"/>
          <w:numId w:val="3"/>
        </w:numPr>
        <w:spacing w:after="80" w:line="290"/>
      </w:pPr>
      <w:r>
        <w:rPr>
          <w:rFonts w:ascii="Calibri" w:cs="Calibri" w:eastAsia="Calibri" w:hAnsi="Calibri"/>
          <w:b/>
          <w:bCs/>
          <w:color w:val="0F172A"/>
          <w:sz w:val="22"/>
          <w:szCs w:val="22"/>
        </w:rPr>
        <w:t xml:space="preserve">Native .docx export</w:t>
      </w:r>
      <w:r>
        <w:rPr>
          <w:rFonts w:ascii="Calibri" w:cs="Calibri" w:eastAsia="Calibri" w:hAnsi="Calibri"/>
          <w:i w:val="false"/>
          <w:iCs w:val="false"/>
          <w:color w:val="0F172A"/>
          <w:sz w:val="22"/>
          <w:szCs w:val="22"/>
        </w:rPr>
        <w:t xml:space="preserve"> to replace the HTML-based Word file (docx library or server-side generation).</w:t>
      </w:r>
    </w:p>
    <w:p>
      <w:pPr>
        <w:pStyle w:val="ListParagraph"/>
        <w:numPr>
          <w:ilvl w:val="0"/>
          <w:numId w:val="3"/>
        </w:numPr>
        <w:spacing w:after="80" w:line="290"/>
      </w:pPr>
      <w:r>
        <w:rPr>
          <w:rFonts w:ascii="Calibri" w:cs="Calibri" w:eastAsia="Calibri" w:hAnsi="Calibri"/>
          <w:b/>
          <w:bCs/>
          <w:color w:val="0F172A"/>
          <w:sz w:val="22"/>
          <w:szCs w:val="22"/>
        </w:rPr>
        <w:t xml:space="preserve">Build step / bundling</w:t>
      </w:r>
      <w:r>
        <w:rPr>
          <w:rFonts w:ascii="Calibri" w:cs="Calibri" w:eastAsia="Calibri" w:hAnsi="Calibri"/>
          <w:i w:val="false"/>
          <w:iCs w:val="false"/>
          <w:color w:val="0F172A"/>
          <w:sz w:val="22"/>
          <w:szCs w:val="22"/>
        </w:rPr>
        <w:t xml:space="preserve"> (Vite) to remove the CDN dependency and the in-browser Babel compile, improving load time and enabling offline-first deployment.</w:t>
      </w:r>
    </w:p>
    <w:p>
      <w:pPr>
        <w:pStyle w:val="ListParagraph"/>
        <w:numPr>
          <w:ilvl w:val="0"/>
          <w:numId w:val="3"/>
        </w:numPr>
        <w:spacing w:after="80" w:line="290"/>
      </w:pPr>
      <w:r>
        <w:rPr>
          <w:rFonts w:ascii="Calibri" w:cs="Calibri" w:eastAsia="Calibri" w:hAnsi="Calibri"/>
          <w:b/>
          <w:bCs/>
          <w:color w:val="0F172A"/>
          <w:sz w:val="22"/>
          <w:szCs w:val="22"/>
        </w:rPr>
        <w:t xml:space="preserve">Server-side key proxy</w:t>
      </w:r>
      <w:r>
        <w:rPr>
          <w:rFonts w:ascii="Calibri" w:cs="Calibri" w:eastAsia="Calibri" w:hAnsi="Calibri"/>
          <w:i w:val="false"/>
          <w:iCs w:val="false"/>
          <w:color w:val="0F172A"/>
          <w:sz w:val="22"/>
          <w:szCs w:val="22"/>
        </w:rPr>
        <w:t xml:space="preserve"> as the default for any multi-user deployment, removing keys from the browser.</w:t>
      </w:r>
    </w:p>
    <w:p>
      <w:pPr>
        <w:pStyle w:val="ListParagraph"/>
        <w:numPr>
          <w:ilvl w:val="0"/>
          <w:numId w:val="3"/>
        </w:numPr>
        <w:spacing w:after="80" w:line="290"/>
      </w:pPr>
      <w:r>
        <w:rPr>
          <w:rFonts w:ascii="Calibri" w:cs="Calibri" w:eastAsia="Calibri" w:hAnsi="Calibri"/>
          <w:b/>
          <w:bCs/>
          <w:color w:val="0F172A"/>
          <w:sz w:val="22"/>
          <w:szCs w:val="22"/>
        </w:rPr>
        <w:t xml:space="preserve">Living mode</w:t>
      </w:r>
      <w:r>
        <w:rPr>
          <w:rFonts w:ascii="Calibri" w:cs="Calibri" w:eastAsia="Calibri" w:hAnsi="Calibri"/>
          <w:i w:val="false"/>
          <w:iCs w:val="false"/>
          <w:color w:val="0F172A"/>
          <w:sz w:val="22"/>
          <w:szCs w:val="22"/>
        </w:rPr>
        <w:t xml:space="preserve"> — periodic pipeline/channel data upload to refresh the KPI tree and flag when driver-map assumptions have shifted.</w:t>
      </w:r>
    </w:p>
    <w:p>
      <w:pPr>
        <w:pStyle w:val="ListParagraph"/>
        <w:numPr>
          <w:ilvl w:val="0"/>
          <w:numId w:val="3"/>
        </w:numPr>
        <w:spacing w:after="80" w:line="290"/>
      </w:pPr>
      <w:r>
        <w:rPr>
          <w:rFonts w:ascii="Calibri" w:cs="Calibri" w:eastAsia="Calibri" w:hAnsi="Calibri"/>
          <w:b/>
          <w:bCs/>
          <w:color w:val="0F172A"/>
          <w:sz w:val="22"/>
          <w:szCs w:val="22"/>
        </w:rPr>
        <w:t xml:space="preserve">Content calendar generator</w:t>
      </w:r>
      <w:r>
        <w:rPr>
          <w:rFonts w:ascii="Calibri" w:cs="Calibri" w:eastAsia="Calibri" w:hAnsi="Calibri"/>
          <w:i w:val="false"/>
          <w:iCs w:val="false"/>
          <w:color w:val="0F172A"/>
          <w:sz w:val="22"/>
          <w:szCs w:val="22"/>
        </w:rPr>
        <w:t xml:space="preserve"> — XLSX 90-day calendar built from pillars × personas × channels.</w:t>
      </w:r>
    </w:p>
    <w:p>
      <w:pPr>
        <w:pStyle w:val="ListParagraph"/>
        <w:numPr>
          <w:ilvl w:val="0"/>
          <w:numId w:val="3"/>
        </w:numPr>
        <w:spacing w:after="80" w:line="290"/>
      </w:pPr>
      <w:r>
        <w:rPr>
          <w:rFonts w:ascii="Calibri" w:cs="Calibri" w:eastAsia="Calibri" w:hAnsi="Calibri"/>
          <w:b/>
          <w:bCs/>
          <w:color w:val="0F172A"/>
          <w:sz w:val="22"/>
          <w:szCs w:val="22"/>
        </w:rPr>
        <w:t xml:space="preserve">Copilot memory</w:t>
      </w:r>
      <w:r>
        <w:rPr>
          <w:rFonts w:ascii="Calibri" w:cs="Calibri" w:eastAsia="Calibri" w:hAnsi="Calibri"/>
          <w:i w:val="false"/>
          <w:iCs w:val="false"/>
          <w:color w:val="0F172A"/>
          <w:sz w:val="22"/>
          <w:szCs w:val="22"/>
        </w:rPr>
        <w:t xml:space="preserve"> — let the Copilot cite the user’s own drafts across screens and propose gate notes automatically.</w:t>
      </w:r>
    </w:p>
    <w:p>
      <w:pPr>
        <w:pStyle w:val="Heading1"/>
        <w:spacing w:after="160" w:before="340"/>
      </w:pPr>
      <w:r>
        <w:rPr>
          <w:rFonts w:ascii="Calibri" w:cs="Calibri" w:eastAsia="Calibri" w:hAnsi="Calibri"/>
          <w:b/>
          <w:bCs/>
          <w:color w:val="0F172A"/>
          <w:sz w:val="30"/>
          <w:szCs w:val="30"/>
        </w:rPr>
        <w:t xml:space="preserve">11. Handover checklist</w:t>
      </w:r>
    </w:p>
    <w:p>
      <w:pPr>
        <w:pStyle w:val="ListParagraph"/>
        <w:numPr>
          <w:ilvl w:val="0"/>
          <w:numId w:val="2"/>
        </w:numPr>
        <w:spacing w:after="70" w:line="290"/>
      </w:pPr>
      <w:r>
        <w:rPr>
          <w:rFonts w:ascii="Calibri" w:cs="Calibri" w:eastAsia="Calibri" w:hAnsi="Calibri"/>
          <w:i w:val="false"/>
          <w:iCs w:val="false"/>
          <w:color w:val="0F172A"/>
          <w:sz w:val="22"/>
          <w:szCs w:val="22"/>
        </w:rPr>
        <w:t xml:space="preserve">Admin passcode changed from the default before sharing the file.</w:t>
      </w:r>
    </w:p>
    <w:p>
      <w:pPr>
        <w:pStyle w:val="ListParagraph"/>
        <w:numPr>
          <w:ilvl w:val="0"/>
          <w:numId w:val="2"/>
        </w:numPr>
        <w:spacing w:after="70" w:line="290"/>
      </w:pPr>
      <w:r>
        <w:rPr>
          <w:rFonts w:ascii="Calibri" w:cs="Calibri" w:eastAsia="Calibri" w:hAnsi="Calibri"/>
          <w:i w:val="false"/>
          <w:iCs w:val="false"/>
          <w:color w:val="0F172A"/>
          <w:sz w:val="22"/>
          <w:szCs w:val="22"/>
        </w:rPr>
        <w:t xml:space="preserve">Product owner has run one full idea → export cycle end-to-end (blank project, not demo).</w:t>
      </w:r>
    </w:p>
    <w:p>
      <w:pPr>
        <w:pStyle w:val="ListParagraph"/>
        <w:numPr>
          <w:ilvl w:val="0"/>
          <w:numId w:val="2"/>
        </w:numPr>
        <w:spacing w:after="70" w:line="290"/>
      </w:pPr>
      <w:r>
        <w:rPr>
          <w:rFonts w:ascii="Calibri" w:cs="Calibri" w:eastAsia="Calibri" w:hAnsi="Calibri"/>
          <w:i w:val="false"/>
          <w:iCs w:val="false"/>
          <w:color w:val="0F172A"/>
          <w:sz w:val="22"/>
          <w:szCs w:val="22"/>
        </w:rPr>
        <w:t xml:space="preserve">Guided tour taken once with Demo Mode ON, then demo data hidden to confirm clean removal.</w:t>
      </w:r>
    </w:p>
    <w:p>
      <w:pPr>
        <w:pStyle w:val="ListParagraph"/>
        <w:numPr>
          <w:ilvl w:val="0"/>
          <w:numId w:val="2"/>
        </w:numPr>
        <w:spacing w:after="70" w:line="290"/>
      </w:pPr>
      <w:r>
        <w:rPr>
          <w:rFonts w:ascii="Calibri" w:cs="Calibri" w:eastAsia="Calibri" w:hAnsi="Calibri"/>
          <w:i w:val="false"/>
          <w:iCs w:val="false"/>
          <w:color w:val="0F172A"/>
          <w:sz w:val="22"/>
          <w:szCs w:val="22"/>
        </w:rPr>
        <w:t xml:space="preserve">AI provider decision made for the pilot (Sandbox → Gemini 2.0 Flash recommended path).</w:t>
      </w:r>
    </w:p>
    <w:p>
      <w:pPr>
        <w:pStyle w:val="ListParagraph"/>
        <w:numPr>
          <w:ilvl w:val="0"/>
          <w:numId w:val="2"/>
        </w:numPr>
        <w:spacing w:after="70" w:line="290"/>
      </w:pPr>
      <w:r>
        <w:rPr>
          <w:rFonts w:ascii="Calibri" w:cs="Calibri" w:eastAsia="Calibri" w:hAnsi="Calibri"/>
          <w:i w:val="false"/>
          <w:iCs w:val="false"/>
          <w:color w:val="0F172A"/>
          <w:sz w:val="22"/>
          <w:szCs w:val="22"/>
        </w:rPr>
        <w:t xml:space="preserve">Cost table verified against current Google and Anthropic pricing pages.</w:t>
      </w:r>
    </w:p>
    <w:p>
      <w:pPr>
        <w:pStyle w:val="ListParagraph"/>
        <w:numPr>
          <w:ilvl w:val="0"/>
          <w:numId w:val="2"/>
        </w:numPr>
        <w:spacing w:after="70" w:line="290"/>
      </w:pPr>
      <w:r>
        <w:rPr>
          <w:rFonts w:ascii="Calibri" w:cs="Calibri" w:eastAsia="Calibri" w:hAnsi="Calibri"/>
          <w:i w:val="false"/>
          <w:iCs w:val="false"/>
          <w:color w:val="0F172A"/>
          <w:sz w:val="22"/>
          <w:szCs w:val="22"/>
        </w:rPr>
        <w:t xml:space="preserve">Backup/restore tested once so project data can be moved between machines.</w:t>
      </w:r>
    </w:p>
    <w:p>
      <w:pPr>
        <w:pStyle w:val="ListParagraph"/>
        <w:numPr>
          <w:ilvl w:val="0"/>
          <w:numId w:val="2"/>
        </w:numPr>
        <w:spacing w:after="70" w:line="290"/>
      </w:pPr>
      <w:r>
        <w:rPr>
          <w:rFonts w:ascii="Calibri" w:cs="Calibri" w:eastAsia="Calibri" w:hAnsi="Calibri"/>
          <w:i w:val="false"/>
          <w:iCs w:val="false"/>
          <w:color w:val="0F172A"/>
          <w:sz w:val="22"/>
          <w:szCs w:val="22"/>
        </w:rPr>
        <w:t xml:space="preserve">Export formats reviewed (Word, PPTX, Markdown) against stakeholder expectations.</w:t>
      </w:r>
    </w:p>
    <w:p>
      <w:pPr>
        <w:pBdr>
          <w:bottom w:val="single" w:color="E2E8F0" w:sz="6"/>
        </w:pBdr>
        <w:spacing w:after="200"/>
      </w:pPr>
    </w:p>
    <w:p>
      <w:pPr>
        <w:spacing w:after="140" w:line="300"/>
        <w:jc w:val="center"/>
      </w:pPr>
      <w:r>
        <w:rPr>
          <w:rFonts w:ascii="Calibri" w:cs="Calibri" w:eastAsia="Calibri" w:hAnsi="Calibri"/>
          <w:i/>
          <w:iCs/>
          <w:color w:val="475569"/>
          <w:sz w:val="20"/>
          <w:szCs w:val="20"/>
        </w:rPr>
        <w:t xml:space="preserve">End of handover note · MarketAI™ / B2BMarket AI Strategy Suite v3.1.0 FROZEN · 12 July 2026</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60"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0F172A"/>
      <w:sz w:val="30"/>
      <w:szCs w:val="30"/>
    </w:rPr>
  </w:style>
  <w:style w:type="paragraph" w:styleId="Heading2">
    <w:name w:val="Heading 2"/>
    <w:basedOn w:val="Normal"/>
    <w:next w:val="Normal"/>
    <w:qFormat/>
    <w:rPr>
      <w:rFonts w:ascii="Calibri" w:cs="Calibri" w:eastAsia="Calibri" w:hAnsi="Calibri"/>
      <w:b/>
      <w:bCs/>
      <w:color w:val="2563E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2026-07-12T22:47:39.418Z</dcterms:created>
  <dcterms:modified xsi:type="dcterms:W3CDTF">2026-07-12T22:47:39.501Z</dcterms:modified>
</cp:coreProperties>
</file>

<file path=docProps/custom.xml><?xml version="1.0" encoding="utf-8"?>
<Properties xmlns="http://schemas.openxmlformats.org/officeDocument/2006/custom-properties" xmlns:vt="http://schemas.openxmlformats.org/officeDocument/2006/docPropsVTypes"/>
</file>