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rFonts w:ascii="Aptos" w:hAnsi="Aptos"/>
          <w:b/>
          <w:color w:val="081726"/>
          <w:sz w:val="68"/>
        </w:rPr>
        <w:t>FINANCIAL PODS</w:t>
      </w:r>
    </w:p>
    <w:p>
      <w:pPr>
        <w:jc w:val="center"/>
      </w:pPr>
      <w:r>
        <w:rPr>
          <w:rFonts w:ascii="Aptos" w:hAnsi="Aptos"/>
          <w:b/>
          <w:color w:val="2CB9B9"/>
          <w:sz w:val="40"/>
        </w:rPr>
        <w:t>AI-Native Banking &amp; Regulatory Learning Platform</w:t>
      </w:r>
    </w:p>
    <w:p>
      <w:pPr>
        <w:jc w:val="center"/>
      </w:pPr>
      <w:r>
        <w:rPr>
          <w:rFonts w:ascii="Aptos" w:hAnsi="Aptos"/>
          <w:color w:val="617789"/>
          <w:sz w:val="21"/>
        </w:rPr>
        <w:t>Research synthesis • Product blueprint • Technical architecture • Commercial model • Implementation roadmap</w:t>
      </w:r>
    </w:p>
    <w:p>
      <w:pPr>
        <w:spacing w:after="60"/>
        <w:jc w:val="center"/>
      </w:pPr>
      <w:r>
        <w:drawing>
          <wp:inline xmlns:a="http://schemas.openxmlformats.org/drawingml/2006/main" xmlns:pic="http://schemas.openxmlformats.org/drawingml/2006/picture">
            <wp:extent cx="6492240" cy="3653826"/>
            <wp:docPr id="1" name="Picture 1"/>
            <wp:cNvGraphicFramePr>
              <a:graphicFrameLocks noChangeAspect="1"/>
            </wp:cNvGraphicFramePr>
            <a:graphic>
              <a:graphicData uri="http://schemas.openxmlformats.org/drawingml/2006/picture">
                <pic:pic>
                  <pic:nvPicPr>
                    <pic:cNvPr id="0" name="a_wide_cinematic_futuristic_ui_technology_scene.png"/>
                    <pic:cNvPicPr/>
                  </pic:nvPicPr>
                  <pic:blipFill>
                    <a:blip r:embed="rId11"/>
                    <a:stretch>
                      <a:fillRect/>
                    </a:stretch>
                  </pic:blipFill>
                  <pic:spPr>
                    <a:xfrm>
                      <a:off x="0" y="0"/>
                      <a:ext cx="6492240" cy="3653826"/>
                    </a:xfrm>
                    <a:prstGeom prst="rect"/>
                  </pic:spPr>
                </pic:pic>
              </a:graphicData>
            </a:graphic>
          </wp:inline>
        </w:drawing>
      </w:r>
    </w:p>
    <w:p>
      <w:pPr>
        <w:jc w:val="center"/>
      </w:pPr>
      <w:r>
        <w:rPr>
          <w:rFonts w:ascii="Aptos" w:hAnsi="Aptos"/>
          <w:b/>
          <w:color w:val="C9A24E"/>
          <w:sz w:val="24"/>
        </w:rPr>
        <w:t>Basel first. Then Regulatory Reporting, ALM, FTP, Profitability, Liquidity and Financial Crime.</w:t>
      </w:r>
    </w:p>
    <w:p>
      <w:pPr>
        <w:jc w:val="center"/>
      </w:pPr>
      <w:r>
        <w:rPr>
          <w:rFonts w:ascii="Aptos" w:hAnsi="Aptos"/>
          <w:color w:val="617789"/>
          <w:sz w:val="18"/>
        </w:rPr>
        <w:t>Prepared August 16, 2026</w:t>
      </w:r>
    </w:p>
    <w:p>
      <w:r>
        <w:br w:type="page"/>
      </w:r>
    </w:p>
    <w:p>
      <w:pPr>
        <w:pStyle w:val="Heading1"/>
      </w:pPr>
      <w:r>
        <w:rPr>
          <w:rFonts w:ascii="Aptos" w:hAnsi="Aptos"/>
          <w:b/>
          <w:color w:val="081726"/>
          <w:sz w:val="44"/>
        </w:rPr>
        <w:t>Contents</w:t>
      </w:r>
    </w:p>
    <w:p>
      <w:pPr>
        <w:spacing w:after="80"/>
        <w:ind w:left="0" w:firstLine="0"/>
      </w:pPr>
      <w:r>
        <w:rPr>
          <w:rFonts w:ascii="Aptos" w:hAnsi="Aptos"/>
          <w:b/>
          <w:color w:val="081726"/>
        </w:rPr>
        <w:t xml:space="preserve">1.  </w:t>
      </w:r>
      <w:r>
        <w:rPr>
          <w:rFonts w:ascii="Aptos" w:hAnsi="Aptos"/>
          <w:color w:val="152A3B"/>
        </w:rPr>
        <w:t>Executive Summary</w:t>
      </w:r>
    </w:p>
    <w:p>
      <w:pPr>
        <w:spacing w:after="80"/>
        <w:ind w:left="0" w:firstLine="0"/>
      </w:pPr>
      <w:r>
        <w:rPr>
          <w:rFonts w:ascii="Aptos" w:hAnsi="Aptos"/>
          <w:b/>
          <w:color w:val="081726"/>
        </w:rPr>
        <w:t xml:space="preserve">2.  </w:t>
      </w:r>
      <w:r>
        <w:rPr>
          <w:rFonts w:ascii="Aptos" w:hAnsi="Aptos"/>
          <w:color w:val="152A3B"/>
        </w:rPr>
        <w:t>Strategic Context and Research Findings</w:t>
      </w:r>
    </w:p>
    <w:p>
      <w:pPr>
        <w:spacing w:after="80"/>
        <w:ind w:left="0" w:firstLine="0"/>
      </w:pPr>
      <w:r>
        <w:rPr>
          <w:rFonts w:ascii="Aptos" w:hAnsi="Aptos"/>
          <w:b/>
          <w:color w:val="081726"/>
        </w:rPr>
        <w:t xml:space="preserve">3.  </w:t>
      </w:r>
      <w:r>
        <w:rPr>
          <w:rFonts w:ascii="Aptos" w:hAnsi="Aptos"/>
          <w:color w:val="152A3B"/>
        </w:rPr>
        <w:t>Product Vision: Financial Pods</w:t>
      </w:r>
    </w:p>
    <w:p>
      <w:pPr>
        <w:spacing w:after="80"/>
        <w:ind w:left="0" w:firstLine="0"/>
      </w:pPr>
      <w:r>
        <w:rPr>
          <w:rFonts w:ascii="Aptos" w:hAnsi="Aptos"/>
          <w:b/>
          <w:color w:val="081726"/>
        </w:rPr>
        <w:t xml:space="preserve">4.  </w:t>
      </w:r>
      <w:r>
        <w:rPr>
          <w:rFonts w:ascii="Aptos" w:hAnsi="Aptos"/>
          <w:color w:val="152A3B"/>
        </w:rPr>
        <w:t>Competitive Landscape and White Space</w:t>
      </w:r>
    </w:p>
    <w:p>
      <w:pPr>
        <w:spacing w:after="80"/>
        <w:ind w:left="0" w:firstLine="0"/>
      </w:pPr>
      <w:r>
        <w:rPr>
          <w:rFonts w:ascii="Aptos" w:hAnsi="Aptos"/>
          <w:b/>
          <w:color w:val="081726"/>
        </w:rPr>
        <w:t xml:space="preserve">5.  </w:t>
      </w:r>
      <w:r>
        <w:rPr>
          <w:rFonts w:ascii="Aptos" w:hAnsi="Aptos"/>
          <w:color w:val="152A3B"/>
        </w:rPr>
        <w:t>Basel Pod — First Commercial Wedge</w:t>
      </w:r>
    </w:p>
    <w:p>
      <w:pPr>
        <w:spacing w:after="80"/>
        <w:ind w:left="0" w:firstLine="0"/>
      </w:pPr>
      <w:r>
        <w:rPr>
          <w:rFonts w:ascii="Aptos" w:hAnsi="Aptos"/>
          <w:b/>
          <w:color w:val="081726"/>
        </w:rPr>
        <w:t xml:space="preserve">6.  </w:t>
      </w:r>
      <w:r>
        <w:rPr>
          <w:rFonts w:ascii="Aptos" w:hAnsi="Aptos"/>
          <w:color w:val="152A3B"/>
        </w:rPr>
        <w:t>Golden Lesson 001</w:t>
      </w:r>
    </w:p>
    <w:p>
      <w:pPr>
        <w:spacing w:after="80"/>
        <w:ind w:left="0" w:firstLine="0"/>
      </w:pPr>
      <w:r>
        <w:rPr>
          <w:rFonts w:ascii="Aptos" w:hAnsi="Aptos"/>
          <w:b/>
          <w:color w:val="081726"/>
        </w:rPr>
        <w:t xml:space="preserve">7.  </w:t>
      </w:r>
      <w:r>
        <w:rPr>
          <w:rFonts w:ascii="Aptos" w:hAnsi="Aptos"/>
          <w:color w:val="152A3B"/>
        </w:rPr>
        <w:t>Adaptive AI Tutor and Mastery Engine</w:t>
      </w:r>
    </w:p>
    <w:p>
      <w:pPr>
        <w:spacing w:after="80"/>
        <w:ind w:left="0" w:firstLine="0"/>
      </w:pPr>
      <w:r>
        <w:rPr>
          <w:rFonts w:ascii="Aptos" w:hAnsi="Aptos"/>
          <w:b/>
          <w:color w:val="081726"/>
        </w:rPr>
        <w:t xml:space="preserve">8.  </w:t>
      </w:r>
      <w:r>
        <w:rPr>
          <w:rFonts w:ascii="Aptos" w:hAnsi="Aptos"/>
          <w:color w:val="152A3B"/>
        </w:rPr>
        <w:t>Multilingual, Voice and Digital Instructor Strategy</w:t>
      </w:r>
    </w:p>
    <w:p>
      <w:pPr>
        <w:spacing w:after="80"/>
        <w:ind w:left="0" w:firstLine="0"/>
      </w:pPr>
      <w:r>
        <w:rPr>
          <w:rFonts w:ascii="Aptos" w:hAnsi="Aptos"/>
          <w:b/>
          <w:color w:val="081726"/>
        </w:rPr>
        <w:t xml:space="preserve">9.  </w:t>
      </w:r>
      <w:r>
        <w:rPr>
          <w:rFonts w:ascii="Aptos" w:hAnsi="Aptos"/>
          <w:color w:val="152A3B"/>
        </w:rPr>
        <w:t>FinBank Digital Twin and Hands-On Labs</w:t>
      </w:r>
    </w:p>
    <w:p>
      <w:pPr>
        <w:spacing w:after="80"/>
        <w:ind w:left="0" w:firstLine="0"/>
      </w:pPr>
      <w:r>
        <w:rPr>
          <w:rFonts w:ascii="Aptos" w:hAnsi="Aptos"/>
          <w:b/>
          <w:color w:val="081726"/>
        </w:rPr>
        <w:t xml:space="preserve">10.  </w:t>
      </w:r>
      <w:r>
        <w:rPr>
          <w:rFonts w:ascii="Aptos" w:hAnsi="Aptos"/>
          <w:color w:val="152A3B"/>
        </w:rPr>
        <w:t>Knowledge Architecture and Regulatory Grounding</w:t>
      </w:r>
    </w:p>
    <w:p>
      <w:pPr>
        <w:spacing w:after="80"/>
        <w:ind w:left="0" w:firstLine="0"/>
      </w:pPr>
      <w:r>
        <w:rPr>
          <w:rFonts w:ascii="Aptos" w:hAnsi="Aptos"/>
          <w:b/>
          <w:color w:val="081726"/>
        </w:rPr>
        <w:t xml:space="preserve">11.  </w:t>
      </w:r>
      <w:r>
        <w:rPr>
          <w:rFonts w:ascii="Aptos" w:hAnsi="Aptos"/>
          <w:color w:val="152A3B"/>
        </w:rPr>
        <w:t>AI Video and Content Production Factory</w:t>
      </w:r>
    </w:p>
    <w:p>
      <w:pPr>
        <w:spacing w:after="80"/>
        <w:ind w:left="0" w:firstLine="0"/>
      </w:pPr>
      <w:r>
        <w:rPr>
          <w:rFonts w:ascii="Aptos" w:hAnsi="Aptos"/>
          <w:b/>
          <w:color w:val="081726"/>
        </w:rPr>
        <w:t xml:space="preserve">12.  </w:t>
      </w:r>
      <w:r>
        <w:rPr>
          <w:rFonts w:ascii="Aptos" w:hAnsi="Aptos"/>
          <w:color w:val="152A3B"/>
        </w:rPr>
        <w:t>Technology Stack and Infrastructure</w:t>
      </w:r>
    </w:p>
    <w:p>
      <w:pPr>
        <w:spacing w:after="80"/>
        <w:ind w:left="0" w:firstLine="0"/>
      </w:pPr>
      <w:r>
        <w:rPr>
          <w:rFonts w:ascii="Aptos" w:hAnsi="Aptos"/>
          <w:b/>
          <w:color w:val="081726"/>
        </w:rPr>
        <w:t xml:space="preserve">13.  </w:t>
      </w:r>
      <w:r>
        <w:rPr>
          <w:rFonts w:ascii="Aptos" w:hAnsi="Aptos"/>
          <w:color w:val="152A3B"/>
        </w:rPr>
        <w:t>SME / Banker Partnership and Content Governance</w:t>
      </w:r>
    </w:p>
    <w:p>
      <w:pPr>
        <w:spacing w:after="80"/>
        <w:ind w:left="0" w:firstLine="0"/>
      </w:pPr>
      <w:r>
        <w:rPr>
          <w:rFonts w:ascii="Aptos" w:hAnsi="Aptos"/>
          <w:b/>
          <w:color w:val="081726"/>
        </w:rPr>
        <w:t xml:space="preserve">14.  </w:t>
      </w:r>
      <w:r>
        <w:rPr>
          <w:rFonts w:ascii="Aptos" w:hAnsi="Aptos"/>
          <w:color w:val="152A3B"/>
        </w:rPr>
        <w:t>Monetization and Go-to-Market</w:t>
      </w:r>
    </w:p>
    <w:p>
      <w:pPr>
        <w:spacing w:after="80"/>
        <w:ind w:left="0" w:firstLine="0"/>
      </w:pPr>
      <w:r>
        <w:rPr>
          <w:rFonts w:ascii="Aptos" w:hAnsi="Aptos"/>
          <w:b/>
          <w:color w:val="081726"/>
        </w:rPr>
        <w:t xml:space="preserve">15.  </w:t>
      </w:r>
      <w:r>
        <w:rPr>
          <w:rFonts w:ascii="Aptos" w:hAnsi="Aptos"/>
          <w:color w:val="152A3B"/>
        </w:rPr>
        <w:t>Risks and Mitigations</w:t>
      </w:r>
    </w:p>
    <w:p>
      <w:pPr>
        <w:spacing w:after="80"/>
        <w:ind w:left="0" w:firstLine="0"/>
      </w:pPr>
      <w:r>
        <w:rPr>
          <w:rFonts w:ascii="Aptos" w:hAnsi="Aptos"/>
          <w:b/>
          <w:color w:val="081726"/>
        </w:rPr>
        <w:t xml:space="preserve">16.  </w:t>
      </w:r>
      <w:r>
        <w:rPr>
          <w:rFonts w:ascii="Aptos" w:hAnsi="Aptos"/>
          <w:color w:val="152A3B"/>
        </w:rPr>
        <w:t>12-Month Implementation Roadmap</w:t>
      </w:r>
    </w:p>
    <w:p>
      <w:pPr>
        <w:spacing w:after="80"/>
        <w:ind w:left="0" w:firstLine="0"/>
      </w:pPr>
      <w:r>
        <w:rPr>
          <w:rFonts w:ascii="Aptos" w:hAnsi="Aptos"/>
          <w:b/>
          <w:color w:val="081726"/>
        </w:rPr>
        <w:t xml:space="preserve">17.  </w:t>
      </w:r>
      <w:r>
        <w:rPr>
          <w:rFonts w:ascii="Aptos" w:hAnsi="Aptos"/>
          <w:color w:val="152A3B"/>
        </w:rPr>
        <w:t>Detailed 30/60/90-Day Plan</w:t>
      </w:r>
    </w:p>
    <w:p>
      <w:pPr>
        <w:spacing w:after="80"/>
        <w:ind w:left="0" w:firstLine="0"/>
      </w:pPr>
      <w:r>
        <w:rPr>
          <w:rFonts w:ascii="Aptos" w:hAnsi="Aptos"/>
          <w:b/>
          <w:color w:val="081726"/>
        </w:rPr>
        <w:t xml:space="preserve">18.  </w:t>
      </w:r>
      <w:r>
        <w:rPr>
          <w:rFonts w:ascii="Aptos" w:hAnsi="Aptos"/>
          <w:color w:val="152A3B"/>
        </w:rPr>
        <w:t>Immediate Build Backlog and Decision Gates</w:t>
      </w:r>
    </w:p>
    <w:p>
      <w:pPr>
        <w:spacing w:after="80"/>
        <w:ind w:left="0" w:firstLine="0"/>
      </w:pPr>
      <w:r>
        <w:rPr>
          <w:rFonts w:ascii="Aptos" w:hAnsi="Aptos"/>
          <w:b/>
          <w:color w:val="081726"/>
        </w:rPr>
        <w:t xml:space="preserve">19.  </w:t>
      </w:r>
      <w:r>
        <w:rPr>
          <w:rFonts w:ascii="Aptos" w:hAnsi="Aptos"/>
          <w:color w:val="152A3B"/>
        </w:rPr>
        <w:t>Strategic Synergy with Capital Change Assurance</w:t>
      </w:r>
    </w:p>
    <w:p>
      <w:pPr>
        <w:spacing w:after="80"/>
        <w:ind w:left="0" w:firstLine="0"/>
      </w:pPr>
      <w:r>
        <w:rPr>
          <w:rFonts w:ascii="Aptos" w:hAnsi="Aptos"/>
          <w:b/>
          <w:color w:val="081726"/>
        </w:rPr>
        <w:t xml:space="preserve">20.  </w:t>
      </w:r>
      <w:r>
        <w:rPr>
          <w:rFonts w:ascii="Aptos" w:hAnsi="Aptos"/>
          <w:color w:val="152A3B"/>
        </w:rPr>
        <w:t>Research Sources</w:t>
      </w:r>
    </w:p>
    <w:p>
      <w:r>
        <w:br w:type="page"/>
      </w:r>
    </w:p>
    <w:p>
      <w:pPr>
        <w:pStyle w:val="Heading1"/>
      </w:pPr>
      <w:r>
        <w:rPr>
          <w:rFonts w:ascii="Aptos" w:hAnsi="Aptos"/>
          <w:b/>
          <w:color w:val="081726"/>
          <w:sz w:val="44"/>
        </w:rPr>
        <w:t>1. Executive Summary</w:t>
      </w:r>
    </w:p>
    <w:p>
      <w:pPr>
        <w:spacing w:after="200"/>
      </w:pPr>
      <w:r>
        <w:rPr>
          <w:rFonts w:ascii="Aptos" w:hAnsi="Aptos"/>
          <w:color w:val="617789"/>
          <w:sz w:val="21"/>
        </w:rPr>
        <w:t>The opportunity is not “AI videos for finance.” It is a reusable AI learning operating system for regulated banking roles.</w:t>
      </w:r>
    </w:p>
    <w:tbl>
      <w:tblPr>
        <w:tblW w:type="auto" w:w="0"/>
        <w:jc w:val="center"/>
        <w:tblLayout w:type="fixed"/>
        <w:tblLook w:firstColumn="1" w:firstRow="1" w:lastColumn="0" w:lastRow="0" w:noHBand="0" w:noVBand="1" w:val="04A0"/>
      </w:tblPr>
      <w:tblGrid>
        <w:gridCol w:w="9792"/>
      </w:tblGrid>
      <w:tr>
        <w:tc>
          <w:tcPr>
            <w:tcW w:type="dxa" w:w="10224"/>
            <w:shd w:fill="EAF7F7"/>
            <w:tcBorders>
              <w:top w:val="single" w:sz="12" w:color="2CB9B9"/>
              <w:left w:val="single" w:sz="12" w:color="2CB9B9"/>
              <w:bottom w:val="single" w:sz="12" w:color="2CB9B9"/>
              <w:right w:val="single" w:sz="12" w:color="2CB9B9"/>
            </w:tcBorders>
          </w:tcPr>
          <w:p>
            <w:pPr>
              <w:spacing w:after="60"/>
            </w:pPr>
            <w:r>
              <w:rPr>
                <w:rFonts w:ascii="Aptos" w:hAnsi="Aptos"/>
                <w:b/>
                <w:color w:val="2CB9B9"/>
                <w:sz w:val="24"/>
              </w:rPr>
              <w:t>Core thesis</w:t>
            </w:r>
            <w:r>
              <w:rPr>
                <w:rFonts w:ascii="Aptos" w:hAnsi="Aptos"/>
                <w:color w:val="152A3B"/>
                <w:sz w:val="21"/>
              </w:rPr>
              <w:br/>
              <w:t>Financial Pods should teach a user to understand a financial rule, see it applied to a realistic bank product, manipulate the data, run a deterministic calculation, compare jurisdictions, question an AI tutor by chat or voice, and prove mastery through practice and a voice viva.</w:t>
            </w:r>
          </w:p>
        </w:tc>
      </w:tr>
    </w:tbl>
    <w:p>
      <w:pPr>
        <w:spacing w:after="20"/>
      </w:pPr>
    </w:p>
    <w:p>
      <w:pPr>
        <w:spacing w:after="120"/>
      </w:pPr>
      <w:r>
        <w:rPr>
          <w:rFonts w:ascii="Aptos" w:hAnsi="Aptos"/>
        </w:rPr>
        <w:t>The initial product should be Basel Regulatory Capital, focused first on BCBS concepts and the U.S., Saudi Arabia (SAMA), and UAE (CBUAE) implementations. Basel is a strong wedge because it is technically difficult, calculation-heavy, jurisdiction-specific, continuously evolving, and directly connected to real banking roles. Existing providers validate demand for Basel education, while AI-native learning products validate the interaction model. [S1][S2][S3][S4][S5][S7][S9]</w:t>
      </w:r>
    </w:p>
    <w:p>
      <w:pPr>
        <w:spacing w:after="120"/>
      </w:pPr>
      <w:r>
        <w:rPr>
          <w:rFonts w:ascii="Aptos" w:hAnsi="Aptos"/>
        </w:rPr>
        <w:t>The product should not rely on the language model for regulatory calculations. The AI tutor explains, questions, scaffolds and personalizes; deterministic finance engines calculate. Official regulatory sources remain the source of truth, with SME review before regulated content is published.</w:t>
      </w:r>
    </w:p>
    <w:p>
      <w:pPr>
        <w:spacing w:after="60"/>
        <w:jc w:val="center"/>
      </w:pPr>
      <w:r>
        <w:drawing>
          <wp:inline xmlns:a="http://schemas.openxmlformats.org/drawingml/2006/main" xmlns:pic="http://schemas.openxmlformats.org/drawingml/2006/picture">
            <wp:extent cx="6492240" cy="3606800"/>
            <wp:docPr id="2" name="Picture 2"/>
            <wp:cNvGraphicFramePr>
              <a:graphicFrameLocks noChangeAspect="1"/>
            </wp:cNvGraphicFramePr>
            <a:graphic>
              <a:graphicData uri="http://schemas.openxmlformats.org/drawingml/2006/picture">
                <pic:pic>
                  <pic:nvPicPr>
                    <pic:cNvPr id="0" name="product_ecosystem.png"/>
                    <pic:cNvPicPr/>
                  </pic:nvPicPr>
                  <pic:blipFill>
                    <a:blip r:embed="rId12"/>
                    <a:stretch>
                      <a:fillRect/>
                    </a:stretch>
                  </pic:blipFill>
                  <pic:spPr>
                    <a:xfrm>
                      <a:off x="0" y="0"/>
                      <a:ext cx="6492240" cy="3606800"/>
                    </a:xfrm>
                    <a:prstGeom prst="rect"/>
                  </pic:spPr>
                </pic:pic>
              </a:graphicData>
            </a:graphic>
          </wp:inline>
        </w:drawing>
      </w:r>
    </w:p>
    <w:p>
      <w:pPr>
        <w:spacing w:after="160"/>
        <w:jc w:val="center"/>
      </w:pPr>
      <w:r>
        <w:rPr>
          <w:rFonts w:ascii="Aptos" w:hAnsi="Aptos"/>
          <w:color w:val="617789"/>
          <w:sz w:val="17"/>
        </w:rPr>
        <w:t>Figure 1 — Basel is the first Pod; the reusable tutor and Digital Bank support the broader Financial Pods roadmap.</w:t>
      </w:r>
    </w:p>
    <w:p>
      <w:pPr>
        <w:pStyle w:val="Heading2"/>
        <w:spacing w:before="160" w:after="80"/>
      </w:pPr>
      <w:r>
        <w:rPr>
          <w:rFonts w:ascii="Aptos" w:hAnsi="Aptos"/>
          <w:b/>
          <w:color w:val="2CB9B9"/>
          <w:sz w:val="30"/>
        </w:rPr>
        <w:t>What we are building first</w:t>
      </w:r>
    </w:p>
    <w:p>
      <w:pPr>
        <w:pStyle w:val="ListBullet"/>
        <w:spacing w:after="60"/>
      </w:pPr>
      <w:r>
        <w:rPr>
          <w:rFonts w:ascii="Aptos" w:hAnsi="Aptos"/>
          <w:b/>
          <w:color w:val="152A3B"/>
        </w:rPr>
        <w:t xml:space="preserve">Golden Lesson 001: </w:t>
      </w:r>
      <w:r>
        <w:rPr>
          <w:rFonts w:ascii="Aptos" w:hAnsi="Aptos"/>
          <w:color w:val="152A3B"/>
        </w:rPr>
        <w:t>Corporate Exposure — From a Bank Loan to Regulatory Capital.</w:t>
      </w:r>
    </w:p>
    <w:p>
      <w:pPr>
        <w:pStyle w:val="ListBullet"/>
        <w:spacing w:after="60"/>
      </w:pPr>
      <w:r>
        <w:rPr>
          <w:rFonts w:ascii="Aptos" w:hAnsi="Aptos"/>
          <w:b/>
          <w:color w:val="152A3B"/>
        </w:rPr>
        <w:t xml:space="preserve">Languages: </w:t>
      </w:r>
      <w:r>
        <w:rPr>
          <w:rFonts w:ascii="Aptos" w:hAnsi="Aptos"/>
          <w:color w:val="152A3B"/>
        </w:rPr>
        <w:t>English and Arabic at launch; additional languages are a localization layer, not a new course build.</w:t>
      </w:r>
    </w:p>
    <w:p>
      <w:pPr>
        <w:pStyle w:val="ListBullet"/>
        <w:spacing w:after="60"/>
      </w:pPr>
      <w:r>
        <w:rPr>
          <w:rFonts w:ascii="Aptos" w:hAnsi="Aptos"/>
          <w:b/>
          <w:color w:val="152A3B"/>
        </w:rPr>
        <w:t xml:space="preserve">Interaction: </w:t>
      </w:r>
      <w:r>
        <w:rPr>
          <w:rFonts w:ascii="Aptos" w:hAnsi="Aptos"/>
          <w:color w:val="152A3B"/>
        </w:rPr>
        <w:t>pre-produced premium lesson + pause-anywhere chat + realtime voice + interactive calculations + active-learning checks.</w:t>
      </w:r>
    </w:p>
    <w:p>
      <w:pPr>
        <w:pStyle w:val="ListBullet"/>
        <w:spacing w:after="60"/>
      </w:pPr>
      <w:r>
        <w:rPr>
          <w:rFonts w:ascii="Aptos" w:hAnsi="Aptos"/>
          <w:b/>
          <w:color w:val="152A3B"/>
        </w:rPr>
        <w:t xml:space="preserve">Jurisdictions: </w:t>
      </w:r>
      <w:r>
        <w:rPr>
          <w:rFonts w:ascii="Aptos" w:hAnsi="Aptos"/>
          <w:color w:val="152A3B"/>
        </w:rPr>
        <w:t>BCBS baseline plus U.S. current/proposed treatment, SAMA and CBUAE.</w:t>
      </w:r>
    </w:p>
    <w:p>
      <w:pPr>
        <w:pStyle w:val="ListBullet"/>
        <w:spacing w:after="60"/>
      </w:pPr>
      <w:r>
        <w:rPr>
          <w:rFonts w:ascii="Aptos" w:hAnsi="Aptos"/>
          <w:b/>
          <w:color w:val="152A3B"/>
        </w:rPr>
        <w:t xml:space="preserve">Differentiator: </w:t>
      </w:r>
      <w:r>
        <w:rPr>
          <w:rFonts w:ascii="Aptos" w:hAnsi="Aptos"/>
          <w:color w:val="152A3B"/>
        </w:rPr>
        <w:t>official-rule grounding + executable calculations + FinBank synthetic bank + adaptive mastery + practitioner-reviewed learning.</w:t>
      </w:r>
    </w:p>
    <w:p>
      <w:pPr>
        <w:pStyle w:val="ListBullet"/>
        <w:spacing w:after="60"/>
      </w:pPr>
      <w:r>
        <w:rPr>
          <w:rFonts w:ascii="Aptos" w:hAnsi="Aptos"/>
          <w:b/>
          <w:color w:val="152A3B"/>
        </w:rPr>
        <w:t xml:space="preserve">Commercial path: </w:t>
      </w:r>
      <w:r>
        <w:rPr>
          <w:rFonts w:ascii="Aptos" w:hAnsi="Aptos"/>
          <w:color w:val="152A3B"/>
        </w:rPr>
        <w:t>individual subscriptions and practitioner programs first; enterprise bank academy and institution licensing after proof of learning and content quality.</w:t>
      </w:r>
    </w:p>
    <w:p>
      <w:pPr>
        <w:pStyle w:val="Heading1"/>
      </w:pPr>
      <w:r>
        <w:rPr>
          <w:rFonts w:ascii="Aptos" w:hAnsi="Aptos"/>
          <w:b/>
          <w:color w:val="081726"/>
          <w:sz w:val="44"/>
        </w:rPr>
        <w:t>2. Strategic Context and Research Findings</w:t>
      </w:r>
    </w:p>
    <w:p>
      <w:pPr>
        <w:pStyle w:val="Heading2"/>
        <w:spacing w:before="160" w:after="80"/>
      </w:pPr>
      <w:r>
        <w:rPr>
          <w:rFonts w:ascii="Aptos" w:hAnsi="Aptos"/>
          <w:b/>
          <w:color w:val="2CB9B9"/>
          <w:sz w:val="30"/>
        </w:rPr>
        <w:t>2.1 What the market already proves</w:t>
      </w:r>
    </w:p>
    <w:p>
      <w:pPr>
        <w:spacing w:after="120"/>
      </w:pPr>
      <w:r>
        <w:rPr>
          <w:rFonts w:ascii="Aptos" w:hAnsi="Aptos"/>
        </w:rPr>
        <w:t>Traditional finance education has strong willingness to pay: Fitch sells instructor-led Basel III training; CFI sells annual finance-learning memberships; ACAMS sells globally recognized financial-crime education. AI-native education is also moving quickly: Vizz combines course video with realtime voice, timestamp-aware Q&amp;A, multilingual interaction, adaptive tutor personalities and an Active Mode that pauses video to question learners. CFI now embeds an AI Tutor that uses course context and learning history. [S5][S7][S8][S9][S18]</w:t>
      </w:r>
    </w:p>
    <w:tbl>
      <w:tblPr>
        <w:tblStyle w:val="TableGrid"/>
        <w:tblW w:type="auto" w:w="0"/>
        <w:jc w:val="center"/>
        <w:tblLook w:firstColumn="1" w:firstRow="1" w:lastColumn="0" w:lastRow="0" w:noHBand="0" w:noVBand="1" w:val="04A0"/>
      </w:tblPr>
      <w:tblGrid>
        <w:gridCol w:w="3408"/>
        <w:gridCol w:w="3408"/>
        <w:gridCol w:w="3408"/>
      </w:tblGrid>
      <w:tr>
        <w:tc>
          <w:tcPr>
            <w:tcW w:type="dxa" w:w="1800"/>
            <w:shd w:fill="081726"/>
            <w:vAlign w:val="center"/>
          </w:tcPr>
          <w:p>
            <w:pPr>
              <w:jc w:val="center"/>
            </w:pPr>
            <w:r>
              <w:rPr>
                <w:rFonts w:ascii="Aptos" w:hAnsi="Aptos"/>
                <w:b/>
                <w:color w:val="FFFFFF"/>
                <w:sz w:val="16"/>
              </w:rPr>
              <w:t>Evidence</w:t>
            </w:r>
          </w:p>
        </w:tc>
        <w:tc>
          <w:tcPr>
            <w:tcW w:type="dxa" w:w="3816"/>
            <w:shd w:fill="081726"/>
            <w:vAlign w:val="center"/>
          </w:tcPr>
          <w:p>
            <w:pPr>
              <w:jc w:val="center"/>
            </w:pPr>
            <w:r>
              <w:rPr>
                <w:rFonts w:ascii="Aptos" w:hAnsi="Aptos"/>
                <w:b/>
                <w:color w:val="FFFFFF"/>
                <w:sz w:val="16"/>
              </w:rPr>
              <w:t>What it proves</w:t>
            </w:r>
          </w:p>
        </w:tc>
        <w:tc>
          <w:tcPr>
            <w:tcW w:type="dxa" w:w="4320"/>
            <w:shd w:fill="081726"/>
            <w:vAlign w:val="center"/>
          </w:tcPr>
          <w:p>
            <w:pPr>
              <w:jc w:val="center"/>
            </w:pPr>
            <w:r>
              <w:rPr>
                <w:rFonts w:ascii="Aptos" w:hAnsi="Aptos"/>
                <w:b/>
                <w:color w:val="FFFFFF"/>
                <w:sz w:val="16"/>
              </w:rPr>
              <w:t>Implication for Financial Pods</w:t>
            </w:r>
          </w:p>
        </w:tc>
      </w:tr>
      <w:tr>
        <w:tc>
          <w:tcPr>
            <w:tcW w:type="dxa" w:w="1800"/>
            <w:shd w:fill="EEF5F7"/>
            <w:vAlign w:val="center"/>
          </w:tcPr>
          <w:p>
            <w:pPr>
              <w:spacing w:after="0"/>
            </w:pPr>
            <w:r>
              <w:rPr>
                <w:rFonts w:ascii="Aptos" w:hAnsi="Aptos"/>
                <w:color w:val="152A3B"/>
                <w:sz w:val="16"/>
              </w:rPr>
              <w:t>Vizz / Vizuara</w:t>
            </w:r>
          </w:p>
        </w:tc>
        <w:tc>
          <w:tcPr>
            <w:tcW w:type="dxa" w:w="3816"/>
            <w:vAlign w:val="center"/>
          </w:tcPr>
          <w:p>
            <w:pPr>
              <w:spacing w:after="0"/>
            </w:pPr>
            <w:r>
              <w:rPr>
                <w:rFonts w:ascii="Aptos" w:hAnsi="Aptos"/>
                <w:color w:val="152A3B"/>
                <w:sz w:val="16"/>
              </w:rPr>
              <w:t>Users value interruption, realtime voice, timestamp-aware tutoring and active questioning.</w:t>
            </w:r>
          </w:p>
        </w:tc>
        <w:tc>
          <w:tcPr>
            <w:tcW w:type="dxa" w:w="4320"/>
            <w:vAlign w:val="center"/>
          </w:tcPr>
          <w:p>
            <w:pPr>
              <w:spacing w:after="0"/>
            </w:pPr>
            <w:r>
              <w:rPr>
                <w:rFonts w:ascii="Aptos" w:hAnsi="Aptos"/>
                <w:color w:val="152A3B"/>
                <w:sz w:val="16"/>
              </w:rPr>
              <w:t>Interaction pattern is validated; finance specialization must add deeper domain infrastructure.</w:t>
            </w:r>
          </w:p>
        </w:tc>
      </w:tr>
      <w:tr>
        <w:tc>
          <w:tcPr>
            <w:tcW w:type="dxa" w:w="1800"/>
            <w:shd w:fill="EEF5F7"/>
            <w:vAlign w:val="center"/>
          </w:tcPr>
          <w:p>
            <w:pPr>
              <w:spacing w:after="0"/>
            </w:pPr>
            <w:r>
              <w:rPr>
                <w:rFonts w:ascii="Aptos" w:hAnsi="Aptos"/>
                <w:color w:val="152A3B"/>
                <w:sz w:val="16"/>
              </w:rPr>
              <w:t>CFI AI Tutor</w:t>
            </w:r>
          </w:p>
        </w:tc>
        <w:tc>
          <w:tcPr>
            <w:tcW w:type="dxa" w:w="3816"/>
            <w:vAlign w:val="center"/>
          </w:tcPr>
          <w:p>
            <w:pPr>
              <w:spacing w:after="0"/>
            </w:pPr>
            <w:r>
              <w:rPr>
                <w:rFonts w:ascii="Aptos" w:hAnsi="Aptos"/>
                <w:color w:val="152A3B"/>
                <w:sz w:val="16"/>
              </w:rPr>
              <w:t>Large finance-learning platforms are adding contextual AI support.</w:t>
            </w:r>
          </w:p>
        </w:tc>
        <w:tc>
          <w:tcPr>
            <w:tcW w:type="dxa" w:w="4320"/>
            <w:vAlign w:val="center"/>
          </w:tcPr>
          <w:p>
            <w:pPr>
              <w:spacing w:after="0"/>
            </w:pPr>
            <w:r>
              <w:rPr>
                <w:rFonts w:ascii="Aptos" w:hAnsi="Aptos"/>
                <w:color w:val="152A3B"/>
                <w:sz w:val="16"/>
              </w:rPr>
              <w:t>“Video + chatbot” is not a moat.</w:t>
            </w:r>
          </w:p>
        </w:tc>
      </w:tr>
      <w:tr>
        <w:tc>
          <w:tcPr>
            <w:tcW w:type="dxa" w:w="1800"/>
            <w:shd w:fill="EEF5F7"/>
            <w:vAlign w:val="center"/>
          </w:tcPr>
          <w:p>
            <w:pPr>
              <w:spacing w:after="0"/>
            </w:pPr>
            <w:r>
              <w:rPr>
                <w:rFonts w:ascii="Aptos" w:hAnsi="Aptos"/>
                <w:color w:val="152A3B"/>
                <w:sz w:val="16"/>
              </w:rPr>
              <w:t>Fitch Basel course</w:t>
            </w:r>
          </w:p>
        </w:tc>
        <w:tc>
          <w:tcPr>
            <w:tcW w:type="dxa" w:w="3816"/>
            <w:vAlign w:val="center"/>
          </w:tcPr>
          <w:p>
            <w:pPr>
              <w:spacing w:after="0"/>
            </w:pPr>
            <w:r>
              <w:rPr>
                <w:rFonts w:ascii="Aptos" w:hAnsi="Aptos"/>
                <w:color w:val="152A3B"/>
                <w:sz w:val="16"/>
              </w:rPr>
              <w:t>Basel remains a premium professional training topic.</w:t>
            </w:r>
          </w:p>
        </w:tc>
        <w:tc>
          <w:tcPr>
            <w:tcW w:type="dxa" w:w="4320"/>
            <w:vAlign w:val="center"/>
          </w:tcPr>
          <w:p>
            <w:pPr>
              <w:spacing w:after="0"/>
            </w:pPr>
            <w:r>
              <w:rPr>
                <w:rFonts w:ascii="Aptos" w:hAnsi="Aptos"/>
                <w:color w:val="152A3B"/>
                <w:sz w:val="16"/>
              </w:rPr>
              <w:t>There is willingness to pay for serious regulatory-capital education.</w:t>
            </w:r>
          </w:p>
        </w:tc>
      </w:tr>
      <w:tr>
        <w:tc>
          <w:tcPr>
            <w:tcW w:type="dxa" w:w="1800"/>
            <w:shd w:fill="EEF5F7"/>
            <w:vAlign w:val="center"/>
          </w:tcPr>
          <w:p>
            <w:pPr>
              <w:spacing w:after="0"/>
            </w:pPr>
            <w:r>
              <w:rPr>
                <w:rFonts w:ascii="Aptos" w:hAnsi="Aptos"/>
                <w:color w:val="152A3B"/>
                <w:sz w:val="16"/>
              </w:rPr>
              <w:t>ACAMS</w:t>
            </w:r>
          </w:p>
        </w:tc>
        <w:tc>
          <w:tcPr>
            <w:tcW w:type="dxa" w:w="3816"/>
            <w:vAlign w:val="center"/>
          </w:tcPr>
          <w:p>
            <w:pPr>
              <w:spacing w:after="0"/>
            </w:pPr>
            <w:r>
              <w:rPr>
                <w:rFonts w:ascii="Aptos" w:hAnsi="Aptos"/>
                <w:color w:val="152A3B"/>
                <w:sz w:val="16"/>
              </w:rPr>
              <w:t>Financial-crime certifications and enterprise academies are established categories.</w:t>
            </w:r>
          </w:p>
        </w:tc>
        <w:tc>
          <w:tcPr>
            <w:tcW w:type="dxa" w:w="4320"/>
            <w:vAlign w:val="center"/>
          </w:tcPr>
          <w:p>
            <w:pPr>
              <w:spacing w:after="0"/>
            </w:pPr>
            <w:r>
              <w:rPr>
                <w:rFonts w:ascii="Aptos" w:hAnsi="Aptos"/>
                <w:color w:val="152A3B"/>
                <w:sz w:val="16"/>
              </w:rPr>
              <w:t>Future AML/Financial Crime Pod has a proven training market.</w:t>
            </w:r>
          </w:p>
        </w:tc>
      </w:tr>
      <w:tr>
        <w:tc>
          <w:tcPr>
            <w:tcW w:type="dxa" w:w="1800"/>
            <w:shd w:fill="EEF5F7"/>
            <w:vAlign w:val="center"/>
          </w:tcPr>
          <w:p>
            <w:pPr>
              <w:spacing w:after="0"/>
            </w:pPr>
            <w:r>
              <w:rPr>
                <w:rFonts w:ascii="Aptos" w:hAnsi="Aptos"/>
                <w:color w:val="152A3B"/>
                <w:sz w:val="16"/>
              </w:rPr>
              <w:t>2025 AI tutor study</w:t>
            </w:r>
          </w:p>
        </w:tc>
        <w:tc>
          <w:tcPr>
            <w:tcW w:type="dxa" w:w="3816"/>
            <w:vAlign w:val="center"/>
          </w:tcPr>
          <w:p>
            <w:pPr>
              <w:spacing w:after="0"/>
            </w:pPr>
            <w:r>
              <w:rPr>
                <w:rFonts w:ascii="Aptos" w:hAnsi="Aptos"/>
                <w:color w:val="152A3B"/>
                <w:sz w:val="16"/>
              </w:rPr>
              <w:t>Carefully designed AI tutoring can outperform active classroom instruction in a controlled setting.</w:t>
            </w:r>
          </w:p>
        </w:tc>
        <w:tc>
          <w:tcPr>
            <w:tcW w:type="dxa" w:w="4320"/>
            <w:vAlign w:val="center"/>
          </w:tcPr>
          <w:p>
            <w:pPr>
              <w:spacing w:after="0"/>
            </w:pPr>
            <w:r>
              <w:rPr>
                <w:rFonts w:ascii="Aptos" w:hAnsi="Aptos"/>
                <w:color w:val="152A3B"/>
                <w:sz w:val="16"/>
              </w:rPr>
              <w:t>Pedagogy and scaffolding matter more than unrestricted chat.</w:t>
            </w:r>
          </w:p>
        </w:tc>
      </w:tr>
    </w:tbl>
    <w:p>
      <w:pPr>
        <w:spacing w:after="40"/>
      </w:pPr>
    </w:p>
    <w:p>
      <w:pPr>
        <w:pStyle w:val="Heading2"/>
        <w:spacing w:before="160" w:after="80"/>
      </w:pPr>
      <w:r>
        <w:rPr>
          <w:rFonts w:ascii="Aptos" w:hAnsi="Aptos"/>
          <w:b/>
          <w:color w:val="2CB9B9"/>
          <w:sz w:val="30"/>
        </w:rPr>
        <w:t>2.2 What is still missing</w:t>
      </w:r>
    </w:p>
    <w:p>
      <w:pPr>
        <w:pStyle w:val="ListBullet"/>
        <w:spacing w:after="60"/>
      </w:pPr>
      <w:r>
        <w:rPr>
          <w:rFonts w:ascii="Aptos" w:hAnsi="Aptos"/>
          <w:color w:val="152A3B"/>
        </w:rPr>
        <w:t>An integrated experience that connects official prudential rules to real banking products, required data and deterministic calculations.</w:t>
      </w:r>
    </w:p>
    <w:p>
      <w:pPr>
        <w:pStyle w:val="ListBullet"/>
        <w:spacing w:after="60"/>
      </w:pPr>
      <w:r>
        <w:rPr>
          <w:rFonts w:ascii="Aptos" w:hAnsi="Aptos"/>
          <w:color w:val="152A3B"/>
        </w:rPr>
        <w:t>A persistent simulated bank where the same mortgage, deposit or corporate loan reappears across Basel, ALM, FTP and profitability.</w:t>
      </w:r>
    </w:p>
    <w:p>
      <w:pPr>
        <w:pStyle w:val="ListBullet"/>
        <w:spacing w:after="60"/>
      </w:pPr>
      <w:r>
        <w:rPr>
          <w:rFonts w:ascii="Aptos" w:hAnsi="Aptos"/>
          <w:color w:val="152A3B"/>
        </w:rPr>
        <w:t>Jurisdiction-aware training that compares BCBS principles with domestic implementation rather than teaching Basel as a single global rulebook.</w:t>
      </w:r>
    </w:p>
    <w:p>
      <w:pPr>
        <w:pStyle w:val="ListBullet"/>
        <w:spacing w:after="60"/>
      </w:pPr>
      <w:r>
        <w:rPr>
          <w:rFonts w:ascii="Aptos" w:hAnsi="Aptos"/>
          <w:color w:val="152A3B"/>
        </w:rPr>
        <w:t>Regulatory-reporting labs where learners construct and validate real schedules from synthetic data.</w:t>
      </w:r>
    </w:p>
    <w:p>
      <w:pPr>
        <w:pStyle w:val="ListBullet"/>
        <w:spacing w:after="60"/>
      </w:pPr>
      <w:r>
        <w:rPr>
          <w:rFonts w:ascii="Aptos" w:hAnsi="Aptos"/>
          <w:color w:val="152A3B"/>
        </w:rPr>
        <w:t>Adaptive mastery at the concept and misconception level, not just course-completion tracking.</w:t>
      </w:r>
    </w:p>
    <w:p>
      <w:pPr>
        <w:pStyle w:val="ListBullet"/>
        <w:spacing w:after="60"/>
      </w:pPr>
      <w:r>
        <w:rPr>
          <w:rFonts w:ascii="Aptos" w:hAnsi="Aptos"/>
          <w:color w:val="152A3B"/>
        </w:rPr>
        <w:t>A tutor that can open the relevant rule, alter an exposure, run a calculation, draw a whiteboard explanation and then test the learner verbally.</w:t>
      </w:r>
    </w:p>
    <w:p>
      <w:pPr>
        <w:pStyle w:val="Heading1"/>
      </w:pPr>
      <w:r>
        <w:rPr>
          <w:rFonts w:ascii="Aptos" w:hAnsi="Aptos"/>
          <w:b/>
          <w:color w:val="081726"/>
          <w:sz w:val="44"/>
        </w:rPr>
        <w:t>3. Product Vision: Financial Pods</w:t>
      </w:r>
    </w:p>
    <w:p>
      <w:pPr>
        <w:spacing w:after="120"/>
      </w:pPr>
      <w:r>
        <w:rPr>
          <w:rFonts w:ascii="Aptos" w:hAnsi="Aptos"/>
        </w:rPr>
        <w:t>Financial Pods should be positioned as an AI-native professional learning platform for banking rather than a collection of courses. The product promise is practical competence: “Learn the rule. See the bank. Run the numbers. Ask the expert. Do the job.”</w:t>
      </w:r>
    </w:p>
    <w:p>
      <w:pPr>
        <w:spacing w:after="60"/>
        <w:jc w:val="center"/>
      </w:pPr>
      <w:r>
        <w:drawing>
          <wp:inline xmlns:a="http://schemas.openxmlformats.org/drawingml/2006/main" xmlns:pic="http://schemas.openxmlformats.org/drawingml/2006/picture">
            <wp:extent cx="6492240" cy="3606800"/>
            <wp:docPr id="3" name="Picture 3"/>
            <wp:cNvGraphicFramePr>
              <a:graphicFrameLocks noChangeAspect="1"/>
            </wp:cNvGraphicFramePr>
            <a:graphic>
              <a:graphicData uri="http://schemas.openxmlformats.org/drawingml/2006/picture">
                <pic:pic>
                  <pic:nvPicPr>
                    <pic:cNvPr id="0" name="digital_bank.png"/>
                    <pic:cNvPicPr/>
                  </pic:nvPicPr>
                  <pic:blipFill>
                    <a:blip r:embed="rId13"/>
                    <a:stretch>
                      <a:fillRect/>
                    </a:stretch>
                  </pic:blipFill>
                  <pic:spPr>
                    <a:xfrm>
                      <a:off x="0" y="0"/>
                      <a:ext cx="6492240" cy="3606800"/>
                    </a:xfrm>
                    <a:prstGeom prst="rect"/>
                  </pic:spPr>
                </pic:pic>
              </a:graphicData>
            </a:graphic>
          </wp:inline>
        </w:drawing>
      </w:r>
    </w:p>
    <w:p>
      <w:pPr>
        <w:spacing w:after="160"/>
        <w:jc w:val="center"/>
      </w:pPr>
      <w:r>
        <w:rPr>
          <w:rFonts w:ascii="Aptos" w:hAnsi="Aptos"/>
          <w:color w:val="617789"/>
          <w:sz w:val="17"/>
        </w:rPr>
        <w:t>Figure 2 — FinBank lets one product be studied through multiple banking disciplines.</w:t>
      </w:r>
    </w:p>
    <w:p>
      <w:pPr>
        <w:pStyle w:val="Heading2"/>
        <w:spacing w:before="160" w:after="80"/>
      </w:pPr>
      <w:r>
        <w:rPr>
          <w:rFonts w:ascii="Aptos" w:hAnsi="Aptos"/>
          <w:b/>
          <w:color w:val="2CB9B9"/>
          <w:sz w:val="30"/>
        </w:rPr>
        <w:t>3.1 Planned Pod roadmap</w:t>
      </w:r>
    </w:p>
    <w:tbl>
      <w:tblPr>
        <w:tblStyle w:val="TableGrid"/>
        <w:tblW w:type="auto" w:w="0"/>
        <w:jc w:val="center"/>
        <w:tblLook w:firstColumn="1" w:firstRow="1" w:lastColumn="0" w:lastRow="0" w:noHBand="0" w:noVBand="1" w:val="04A0"/>
      </w:tblPr>
      <w:tblGrid>
        <w:gridCol w:w="3408"/>
        <w:gridCol w:w="3408"/>
        <w:gridCol w:w="3408"/>
      </w:tblGrid>
      <w:tr>
        <w:tc>
          <w:tcPr>
            <w:tcW w:type="dxa" w:w="1944"/>
            <w:shd w:fill="081726"/>
            <w:vAlign w:val="center"/>
          </w:tcPr>
          <w:p>
            <w:pPr>
              <w:jc w:val="center"/>
            </w:pPr>
            <w:r>
              <w:rPr>
                <w:rFonts w:ascii="Aptos" w:hAnsi="Aptos"/>
                <w:b/>
                <w:color w:val="FFFFFF"/>
                <w:sz w:val="16"/>
              </w:rPr>
              <w:t>Pod</w:t>
            </w:r>
          </w:p>
        </w:tc>
        <w:tc>
          <w:tcPr>
            <w:tcW w:type="dxa" w:w="3456"/>
            <w:shd w:fill="081726"/>
            <w:vAlign w:val="center"/>
          </w:tcPr>
          <w:p>
            <w:pPr>
              <w:jc w:val="center"/>
            </w:pPr>
            <w:r>
              <w:rPr>
                <w:rFonts w:ascii="Aptos" w:hAnsi="Aptos"/>
                <w:b/>
                <w:color w:val="FFFFFF"/>
                <w:sz w:val="16"/>
              </w:rPr>
              <w:t>Initial themes</w:t>
            </w:r>
          </w:p>
        </w:tc>
        <w:tc>
          <w:tcPr>
            <w:tcW w:type="dxa" w:w="4536"/>
            <w:shd w:fill="081726"/>
            <w:vAlign w:val="center"/>
          </w:tcPr>
          <w:p>
            <w:pPr>
              <w:jc w:val="center"/>
            </w:pPr>
            <w:r>
              <w:rPr>
                <w:rFonts w:ascii="Aptos" w:hAnsi="Aptos"/>
                <w:b/>
                <w:color w:val="FFFFFF"/>
                <w:sz w:val="16"/>
              </w:rPr>
              <w:t>Why it fits the platform</w:t>
            </w:r>
          </w:p>
        </w:tc>
      </w:tr>
      <w:tr>
        <w:tc>
          <w:tcPr>
            <w:tcW w:type="dxa" w:w="1944"/>
            <w:shd w:fill="EEF5F7"/>
            <w:vAlign w:val="center"/>
          </w:tcPr>
          <w:p>
            <w:pPr>
              <w:spacing w:after="0"/>
            </w:pPr>
            <w:r>
              <w:rPr>
                <w:rFonts w:ascii="Aptos" w:hAnsi="Aptos"/>
                <w:color w:val="152A3B"/>
                <w:sz w:val="16"/>
              </w:rPr>
              <w:t>Basel Regulatory Capital</w:t>
            </w:r>
          </w:p>
        </w:tc>
        <w:tc>
          <w:tcPr>
            <w:tcW w:type="dxa" w:w="3456"/>
            <w:vAlign w:val="center"/>
          </w:tcPr>
          <w:p>
            <w:pPr>
              <w:spacing w:after="0"/>
            </w:pPr>
            <w:r>
              <w:rPr>
                <w:rFonts w:ascii="Aptos" w:hAnsi="Aptos"/>
                <w:color w:val="152A3B"/>
                <w:sz w:val="16"/>
              </w:rPr>
              <w:t>Capital, credit risk, RWA, CRM, leverage, liquidity introduction, jurisdiction comparisons</w:t>
            </w:r>
          </w:p>
        </w:tc>
        <w:tc>
          <w:tcPr>
            <w:tcW w:type="dxa" w:w="4536"/>
            <w:vAlign w:val="center"/>
          </w:tcPr>
          <w:p>
            <w:pPr>
              <w:spacing w:after="0"/>
            </w:pPr>
            <w:r>
              <w:rPr>
                <w:rFonts w:ascii="Aptos" w:hAnsi="Aptos"/>
                <w:color w:val="152A3B"/>
                <w:sz w:val="16"/>
              </w:rPr>
              <w:t>Strong first wedge; deterministic calculations and official rules create defensibility.</w:t>
            </w:r>
          </w:p>
        </w:tc>
      </w:tr>
      <w:tr>
        <w:tc>
          <w:tcPr>
            <w:tcW w:type="dxa" w:w="1944"/>
            <w:shd w:fill="EEF5F7"/>
            <w:vAlign w:val="center"/>
          </w:tcPr>
          <w:p>
            <w:pPr>
              <w:spacing w:after="0"/>
            </w:pPr>
            <w:r>
              <w:rPr>
                <w:rFonts w:ascii="Aptos" w:hAnsi="Aptos"/>
                <w:color w:val="152A3B"/>
                <w:sz w:val="16"/>
              </w:rPr>
              <w:t>Regulatory Reporting</w:t>
            </w:r>
          </w:p>
        </w:tc>
        <w:tc>
          <w:tcPr>
            <w:tcW w:type="dxa" w:w="3456"/>
            <w:vAlign w:val="center"/>
          </w:tcPr>
          <w:p>
            <w:pPr>
              <w:spacing w:after="0"/>
            </w:pPr>
            <w:r>
              <w:rPr>
                <w:rFonts w:ascii="Aptos" w:hAnsi="Aptos"/>
                <w:color w:val="152A3B"/>
                <w:sz w:val="16"/>
              </w:rPr>
              <w:t>FFIEC 101/102, FR Y-9C, FR Y-14, Call Reports, SAMA Q17, UAE reporting/disclosures</w:t>
            </w:r>
          </w:p>
        </w:tc>
        <w:tc>
          <w:tcPr>
            <w:tcW w:type="dxa" w:w="4536"/>
            <w:vAlign w:val="center"/>
          </w:tcPr>
          <w:p>
            <w:pPr>
              <w:spacing w:after="0"/>
            </w:pPr>
            <w:r>
              <w:rPr>
                <w:rFonts w:ascii="Aptos" w:hAnsi="Aptos"/>
                <w:color w:val="152A3B"/>
                <w:sz w:val="16"/>
              </w:rPr>
              <w:t>Turns data and rule knowledge into job-oriented labs.</w:t>
            </w:r>
          </w:p>
        </w:tc>
      </w:tr>
      <w:tr>
        <w:tc>
          <w:tcPr>
            <w:tcW w:type="dxa" w:w="1944"/>
            <w:shd w:fill="EEF5F7"/>
            <w:vAlign w:val="center"/>
          </w:tcPr>
          <w:p>
            <w:pPr>
              <w:spacing w:after="0"/>
            </w:pPr>
            <w:r>
              <w:rPr>
                <w:rFonts w:ascii="Aptos" w:hAnsi="Aptos"/>
                <w:color w:val="152A3B"/>
                <w:sz w:val="16"/>
              </w:rPr>
              <w:t>ALM / IRRBB</w:t>
            </w:r>
          </w:p>
        </w:tc>
        <w:tc>
          <w:tcPr>
            <w:tcW w:type="dxa" w:w="3456"/>
            <w:vAlign w:val="center"/>
          </w:tcPr>
          <w:p>
            <w:pPr>
              <w:spacing w:after="0"/>
            </w:pPr>
            <w:r>
              <w:rPr>
                <w:rFonts w:ascii="Aptos" w:hAnsi="Aptos"/>
                <w:color w:val="152A3B"/>
                <w:sz w:val="16"/>
              </w:rPr>
              <w:t>Balance-sheet behavior, duration, NII/EVE, repricing, yield curves</w:t>
            </w:r>
          </w:p>
        </w:tc>
        <w:tc>
          <w:tcPr>
            <w:tcW w:type="dxa" w:w="4536"/>
            <w:vAlign w:val="center"/>
          </w:tcPr>
          <w:p>
            <w:pPr>
              <w:spacing w:after="0"/>
            </w:pPr>
            <w:r>
              <w:rPr>
                <w:rFonts w:ascii="Aptos" w:hAnsi="Aptos"/>
                <w:color w:val="152A3B"/>
                <w:sz w:val="16"/>
              </w:rPr>
              <w:t>Same FinBank assets/liabilities can be reused.</w:t>
            </w:r>
          </w:p>
        </w:tc>
      </w:tr>
      <w:tr>
        <w:tc>
          <w:tcPr>
            <w:tcW w:type="dxa" w:w="1944"/>
            <w:shd w:fill="EEF5F7"/>
            <w:vAlign w:val="center"/>
          </w:tcPr>
          <w:p>
            <w:pPr>
              <w:spacing w:after="0"/>
            </w:pPr>
            <w:r>
              <w:rPr>
                <w:rFonts w:ascii="Aptos" w:hAnsi="Aptos"/>
                <w:color w:val="152A3B"/>
                <w:sz w:val="16"/>
              </w:rPr>
              <w:t>Fund Transfer Pricing</w:t>
            </w:r>
          </w:p>
        </w:tc>
        <w:tc>
          <w:tcPr>
            <w:tcW w:type="dxa" w:w="3456"/>
            <w:vAlign w:val="center"/>
          </w:tcPr>
          <w:p>
            <w:pPr>
              <w:spacing w:after="0"/>
            </w:pPr>
            <w:r>
              <w:rPr>
                <w:rFonts w:ascii="Aptos" w:hAnsi="Aptos"/>
                <w:color w:val="152A3B"/>
                <w:sz w:val="16"/>
              </w:rPr>
              <w:t>Matched maturity, liquidity premiums, business-line charges/credits</w:t>
            </w:r>
          </w:p>
        </w:tc>
        <w:tc>
          <w:tcPr>
            <w:tcW w:type="dxa" w:w="4536"/>
            <w:vAlign w:val="center"/>
          </w:tcPr>
          <w:p>
            <w:pPr>
              <w:spacing w:after="0"/>
            </w:pPr>
            <w:r>
              <w:rPr>
                <w:rFonts w:ascii="Aptos" w:hAnsi="Aptos"/>
                <w:color w:val="152A3B"/>
                <w:sz w:val="16"/>
              </w:rPr>
              <w:t>Connects Treasury decisions to product economics.</w:t>
            </w:r>
          </w:p>
        </w:tc>
      </w:tr>
      <w:tr>
        <w:tc>
          <w:tcPr>
            <w:tcW w:type="dxa" w:w="1944"/>
            <w:shd w:fill="EEF5F7"/>
            <w:vAlign w:val="center"/>
          </w:tcPr>
          <w:p>
            <w:pPr>
              <w:spacing w:after="0"/>
            </w:pPr>
            <w:r>
              <w:rPr>
                <w:rFonts w:ascii="Aptos" w:hAnsi="Aptos"/>
                <w:color w:val="152A3B"/>
                <w:sz w:val="16"/>
              </w:rPr>
              <w:t>Profitability / RAROC</w:t>
            </w:r>
          </w:p>
        </w:tc>
        <w:tc>
          <w:tcPr>
            <w:tcW w:type="dxa" w:w="3456"/>
            <w:vAlign w:val="center"/>
          </w:tcPr>
          <w:p>
            <w:pPr>
              <w:spacing w:after="0"/>
            </w:pPr>
            <w:r>
              <w:rPr>
                <w:rFonts w:ascii="Aptos" w:hAnsi="Aptos"/>
                <w:color w:val="152A3B"/>
                <w:sz w:val="16"/>
              </w:rPr>
              <w:t>NIM, product/customer profitability, capital allocation, RAROC</w:t>
            </w:r>
          </w:p>
        </w:tc>
        <w:tc>
          <w:tcPr>
            <w:tcW w:type="dxa" w:w="4536"/>
            <w:vAlign w:val="center"/>
          </w:tcPr>
          <w:p>
            <w:pPr>
              <w:spacing w:after="0"/>
            </w:pPr>
            <w:r>
              <w:rPr>
                <w:rFonts w:ascii="Aptos" w:hAnsi="Aptos"/>
                <w:color w:val="152A3B"/>
                <w:sz w:val="16"/>
              </w:rPr>
              <w:t>Connects regulatory capital and funding costs to management decisions.</w:t>
            </w:r>
          </w:p>
        </w:tc>
      </w:tr>
      <w:tr>
        <w:tc>
          <w:tcPr>
            <w:tcW w:type="dxa" w:w="1944"/>
            <w:shd w:fill="EEF5F7"/>
            <w:vAlign w:val="center"/>
          </w:tcPr>
          <w:p>
            <w:pPr>
              <w:spacing w:after="0"/>
            </w:pPr>
            <w:r>
              <w:rPr>
                <w:rFonts w:ascii="Aptos" w:hAnsi="Aptos"/>
                <w:color w:val="152A3B"/>
                <w:sz w:val="16"/>
              </w:rPr>
              <w:t>Liquidity</w:t>
            </w:r>
          </w:p>
        </w:tc>
        <w:tc>
          <w:tcPr>
            <w:tcW w:type="dxa" w:w="3456"/>
            <w:vAlign w:val="center"/>
          </w:tcPr>
          <w:p>
            <w:pPr>
              <w:spacing w:after="0"/>
            </w:pPr>
            <w:r>
              <w:rPr>
                <w:rFonts w:ascii="Aptos" w:hAnsi="Aptos"/>
                <w:color w:val="152A3B"/>
                <w:sz w:val="16"/>
              </w:rPr>
              <w:t>LCR, NSFR, funding structure, stress scenarios</w:t>
            </w:r>
          </w:p>
        </w:tc>
        <w:tc>
          <w:tcPr>
            <w:tcW w:type="dxa" w:w="4536"/>
            <w:vAlign w:val="center"/>
          </w:tcPr>
          <w:p>
            <w:pPr>
              <w:spacing w:after="0"/>
            </w:pPr>
            <w:r>
              <w:rPr>
                <w:rFonts w:ascii="Aptos" w:hAnsi="Aptos"/>
                <w:color w:val="152A3B"/>
                <w:sz w:val="16"/>
              </w:rPr>
              <w:t>Natural bridge from Basel to Treasury.</w:t>
            </w:r>
          </w:p>
        </w:tc>
      </w:tr>
      <w:tr>
        <w:tc>
          <w:tcPr>
            <w:tcW w:type="dxa" w:w="1944"/>
            <w:shd w:fill="EEF5F7"/>
            <w:vAlign w:val="center"/>
          </w:tcPr>
          <w:p>
            <w:pPr>
              <w:spacing w:after="0"/>
            </w:pPr>
            <w:r>
              <w:rPr>
                <w:rFonts w:ascii="Aptos" w:hAnsi="Aptos"/>
                <w:color w:val="152A3B"/>
                <w:sz w:val="16"/>
              </w:rPr>
              <w:t>Financial Crime / AML</w:t>
            </w:r>
          </w:p>
        </w:tc>
        <w:tc>
          <w:tcPr>
            <w:tcW w:type="dxa" w:w="3456"/>
            <w:vAlign w:val="center"/>
          </w:tcPr>
          <w:p>
            <w:pPr>
              <w:spacing w:after="0"/>
            </w:pPr>
            <w:r>
              <w:rPr>
                <w:rFonts w:ascii="Aptos" w:hAnsi="Aptos"/>
                <w:color w:val="152A3B"/>
                <w:sz w:val="16"/>
              </w:rPr>
              <w:t>KYC/CDD, transaction monitoring, sanctions, investigations; potential CAMS-oriented preparation</w:t>
            </w:r>
          </w:p>
        </w:tc>
        <w:tc>
          <w:tcPr>
            <w:tcW w:type="dxa" w:w="4536"/>
            <w:vAlign w:val="center"/>
          </w:tcPr>
          <w:p>
            <w:pPr>
              <w:spacing w:after="0"/>
            </w:pPr>
            <w:r>
              <w:rPr>
                <w:rFonts w:ascii="Aptos" w:hAnsi="Aptos"/>
                <w:color w:val="152A3B"/>
                <w:sz w:val="16"/>
              </w:rPr>
              <w:t>Large professional-learning market; requires separate SME governance and IP discipline.</w:t>
            </w:r>
          </w:p>
        </w:tc>
      </w:tr>
    </w:tbl>
    <w:p>
      <w:pPr>
        <w:spacing w:after="40"/>
      </w:pPr>
    </w:p>
    <w:p>
      <w:pPr>
        <w:pStyle w:val="Heading1"/>
      </w:pPr>
      <w:r>
        <w:rPr>
          <w:rFonts w:ascii="Aptos" w:hAnsi="Aptos"/>
          <w:b/>
          <w:color w:val="081726"/>
          <w:sz w:val="44"/>
        </w:rPr>
        <w:t>4. Competitive Landscape and White Space</w:t>
      </w:r>
    </w:p>
    <w:tbl>
      <w:tblPr>
        <w:tblStyle w:val="TableGrid"/>
        <w:tblW w:type="auto" w:w="0"/>
        <w:jc w:val="center"/>
        <w:tblLook w:firstColumn="1" w:firstRow="1" w:lastColumn="0" w:lastRow="0" w:noHBand="0" w:noVBand="1" w:val="04A0"/>
      </w:tblPr>
      <w:tblGrid>
        <w:gridCol w:w="3408"/>
        <w:gridCol w:w="3408"/>
        <w:gridCol w:w="3408"/>
      </w:tblGrid>
      <w:tr>
        <w:tc>
          <w:tcPr>
            <w:tcW w:type="dxa" w:w="1800"/>
            <w:shd w:fill="081726"/>
            <w:vAlign w:val="center"/>
          </w:tcPr>
          <w:p>
            <w:pPr>
              <w:jc w:val="center"/>
            </w:pPr>
            <w:r>
              <w:rPr>
                <w:rFonts w:ascii="Aptos" w:hAnsi="Aptos"/>
                <w:b/>
                <w:color w:val="FFFFFF"/>
                <w:sz w:val="16"/>
              </w:rPr>
              <w:t>Provider</w:t>
            </w:r>
          </w:p>
        </w:tc>
        <w:tc>
          <w:tcPr>
            <w:tcW w:type="dxa" w:w="4032"/>
            <w:shd w:fill="081726"/>
            <w:vAlign w:val="center"/>
          </w:tcPr>
          <w:p>
            <w:pPr>
              <w:jc w:val="center"/>
            </w:pPr>
            <w:r>
              <w:rPr>
                <w:rFonts w:ascii="Aptos" w:hAnsi="Aptos"/>
                <w:b/>
                <w:color w:val="FFFFFF"/>
                <w:sz w:val="16"/>
              </w:rPr>
              <w:t>Strengths observed</w:t>
            </w:r>
          </w:p>
        </w:tc>
        <w:tc>
          <w:tcPr>
            <w:tcW w:type="dxa" w:w="4176"/>
            <w:shd w:fill="081726"/>
            <w:vAlign w:val="center"/>
          </w:tcPr>
          <w:p>
            <w:pPr>
              <w:jc w:val="center"/>
            </w:pPr>
            <w:r>
              <w:rPr>
                <w:rFonts w:ascii="Aptos" w:hAnsi="Aptos"/>
                <w:b/>
                <w:color w:val="FFFFFF"/>
                <w:sz w:val="16"/>
              </w:rPr>
              <w:t>Gap relative to our target</w:t>
            </w:r>
          </w:p>
        </w:tc>
      </w:tr>
      <w:tr>
        <w:tc>
          <w:tcPr>
            <w:tcW w:type="dxa" w:w="1800"/>
            <w:shd w:fill="EEF5F7"/>
            <w:vAlign w:val="center"/>
          </w:tcPr>
          <w:p>
            <w:pPr>
              <w:spacing w:after="0"/>
            </w:pPr>
            <w:r>
              <w:rPr>
                <w:rFonts w:ascii="Aptos" w:hAnsi="Aptos"/>
                <w:color w:val="152A3B"/>
                <w:sz w:val="16"/>
              </w:rPr>
              <w:t>Vizz / Vizuara</w:t>
            </w:r>
          </w:p>
        </w:tc>
        <w:tc>
          <w:tcPr>
            <w:tcW w:type="dxa" w:w="4032"/>
            <w:vAlign w:val="center"/>
          </w:tcPr>
          <w:p>
            <w:pPr>
              <w:spacing w:after="0"/>
            </w:pPr>
            <w:r>
              <w:rPr>
                <w:rFonts w:ascii="Aptos" w:hAnsi="Aptos"/>
                <w:color w:val="152A3B"/>
                <w:sz w:val="16"/>
              </w:rPr>
              <w:t>Realtime voice, video-timeline Q&amp;A, Active Mode, multilingual support, memory, adaptive tutor personality.</w:t>
            </w:r>
          </w:p>
        </w:tc>
        <w:tc>
          <w:tcPr>
            <w:tcW w:type="dxa" w:w="4176"/>
            <w:vAlign w:val="center"/>
          </w:tcPr>
          <w:p>
            <w:pPr>
              <w:spacing w:after="0"/>
            </w:pPr>
            <w:r>
              <w:rPr>
                <w:rFonts w:ascii="Aptos" w:hAnsi="Aptos"/>
                <w:color w:val="152A3B"/>
                <w:sz w:val="16"/>
              </w:rPr>
              <w:t>Not finance-specific; no prudential rule graph, deterministic capital engine, jurisdiction mapping or Digital Bank.</w:t>
            </w:r>
          </w:p>
        </w:tc>
      </w:tr>
      <w:tr>
        <w:tc>
          <w:tcPr>
            <w:tcW w:type="dxa" w:w="1800"/>
            <w:shd w:fill="EEF5F7"/>
            <w:vAlign w:val="center"/>
          </w:tcPr>
          <w:p>
            <w:pPr>
              <w:spacing w:after="0"/>
            </w:pPr>
            <w:r>
              <w:rPr>
                <w:rFonts w:ascii="Aptos" w:hAnsi="Aptos"/>
                <w:color w:val="152A3B"/>
                <w:sz w:val="16"/>
              </w:rPr>
              <w:t>CFI</w:t>
            </w:r>
          </w:p>
        </w:tc>
        <w:tc>
          <w:tcPr>
            <w:tcW w:type="dxa" w:w="4032"/>
            <w:vAlign w:val="center"/>
          </w:tcPr>
          <w:p>
            <w:pPr>
              <w:spacing w:after="0"/>
            </w:pPr>
            <w:r>
              <w:rPr>
                <w:rFonts w:ascii="Aptos" w:hAnsi="Aptos"/>
                <w:color w:val="152A3B"/>
                <w:sz w:val="16"/>
              </w:rPr>
              <w:t>Large finance course library, certifications, AI Tutor, personalized learning context and multilingual features.</w:t>
            </w:r>
          </w:p>
        </w:tc>
        <w:tc>
          <w:tcPr>
            <w:tcW w:type="dxa" w:w="4176"/>
            <w:vAlign w:val="center"/>
          </w:tcPr>
          <w:p>
            <w:pPr>
              <w:spacing w:after="0"/>
            </w:pPr>
            <w:r>
              <w:rPr>
                <w:rFonts w:ascii="Aptos" w:hAnsi="Aptos"/>
                <w:color w:val="152A3B"/>
                <w:sz w:val="16"/>
              </w:rPr>
              <w:t>Broad finance learning; our wedge is deeply executable regulatory/prudential training.</w:t>
            </w:r>
          </w:p>
        </w:tc>
      </w:tr>
      <w:tr>
        <w:tc>
          <w:tcPr>
            <w:tcW w:type="dxa" w:w="1800"/>
            <w:shd w:fill="EEF5F7"/>
            <w:vAlign w:val="center"/>
          </w:tcPr>
          <w:p>
            <w:pPr>
              <w:spacing w:after="0"/>
            </w:pPr>
            <w:r>
              <w:rPr>
                <w:rFonts w:ascii="Aptos" w:hAnsi="Aptos"/>
                <w:color w:val="152A3B"/>
                <w:sz w:val="16"/>
              </w:rPr>
              <w:t>Fitch Learning</w:t>
            </w:r>
          </w:p>
        </w:tc>
        <w:tc>
          <w:tcPr>
            <w:tcW w:type="dxa" w:w="4032"/>
            <w:vAlign w:val="center"/>
          </w:tcPr>
          <w:p>
            <w:pPr>
              <w:spacing w:after="0"/>
            </w:pPr>
            <w:r>
              <w:rPr>
                <w:rFonts w:ascii="Aptos" w:hAnsi="Aptos"/>
                <w:color w:val="152A3B"/>
                <w:sz w:val="16"/>
              </w:rPr>
              <w:t>Strong professional Basel course, practical examples, enterprise credibility.</w:t>
            </w:r>
          </w:p>
        </w:tc>
        <w:tc>
          <w:tcPr>
            <w:tcW w:type="dxa" w:w="4176"/>
            <w:vAlign w:val="center"/>
          </w:tcPr>
          <w:p>
            <w:pPr>
              <w:spacing w:after="0"/>
            </w:pPr>
            <w:r>
              <w:rPr>
                <w:rFonts w:ascii="Aptos" w:hAnsi="Aptos"/>
                <w:color w:val="152A3B"/>
                <w:sz w:val="16"/>
              </w:rPr>
              <w:t>Instructor-led / course model rather than always-on interactive simulator with persistent learner state.</w:t>
            </w:r>
          </w:p>
        </w:tc>
      </w:tr>
      <w:tr>
        <w:tc>
          <w:tcPr>
            <w:tcW w:type="dxa" w:w="1800"/>
            <w:shd w:fill="EEF5F7"/>
            <w:vAlign w:val="center"/>
          </w:tcPr>
          <w:p>
            <w:pPr>
              <w:spacing w:after="0"/>
            </w:pPr>
            <w:r>
              <w:rPr>
                <w:rFonts w:ascii="Aptos" w:hAnsi="Aptos"/>
                <w:color w:val="152A3B"/>
                <w:sz w:val="16"/>
              </w:rPr>
              <w:t>ACAMS</w:t>
            </w:r>
          </w:p>
        </w:tc>
        <w:tc>
          <w:tcPr>
            <w:tcW w:type="dxa" w:w="4032"/>
            <w:vAlign w:val="center"/>
          </w:tcPr>
          <w:p>
            <w:pPr>
              <w:spacing w:after="0"/>
            </w:pPr>
            <w:r>
              <w:rPr>
                <w:rFonts w:ascii="Aptos" w:hAnsi="Aptos"/>
                <w:color w:val="152A3B"/>
                <w:sz w:val="16"/>
              </w:rPr>
              <w:t>Recognized AML credential and enterprise training ecosystem.</w:t>
            </w:r>
          </w:p>
        </w:tc>
        <w:tc>
          <w:tcPr>
            <w:tcW w:type="dxa" w:w="4176"/>
            <w:vAlign w:val="center"/>
          </w:tcPr>
          <w:p>
            <w:pPr>
              <w:spacing w:after="0"/>
            </w:pPr>
            <w:r>
              <w:rPr>
                <w:rFonts w:ascii="Aptos" w:hAnsi="Aptos"/>
                <w:color w:val="152A3B"/>
                <w:sz w:val="16"/>
              </w:rPr>
              <w:t>A future competitor/benchmark for financial-crime education, not a Basel simulator.</w:t>
            </w:r>
          </w:p>
        </w:tc>
      </w:tr>
      <w:tr>
        <w:tc>
          <w:tcPr>
            <w:tcW w:type="dxa" w:w="1800"/>
            <w:shd w:fill="EEF5F7"/>
            <w:vAlign w:val="center"/>
          </w:tcPr>
          <w:p>
            <w:pPr>
              <w:spacing w:after="0"/>
            </w:pPr>
            <w:r>
              <w:rPr>
                <w:rFonts w:ascii="Aptos" w:hAnsi="Aptos"/>
                <w:color w:val="152A3B"/>
                <w:sz w:val="16"/>
              </w:rPr>
              <w:t>Generic LLM + PDFs</w:t>
            </w:r>
          </w:p>
        </w:tc>
        <w:tc>
          <w:tcPr>
            <w:tcW w:type="dxa" w:w="4032"/>
            <w:vAlign w:val="center"/>
          </w:tcPr>
          <w:p>
            <w:pPr>
              <w:spacing w:after="0"/>
            </w:pPr>
            <w:r>
              <w:rPr>
                <w:rFonts w:ascii="Aptos" w:hAnsi="Aptos"/>
                <w:color w:val="152A3B"/>
                <w:sz w:val="16"/>
              </w:rPr>
              <w:t>Fast Q&amp;A and summarization.</w:t>
            </w:r>
          </w:p>
        </w:tc>
        <w:tc>
          <w:tcPr>
            <w:tcW w:type="dxa" w:w="4176"/>
            <w:vAlign w:val="center"/>
          </w:tcPr>
          <w:p>
            <w:pPr>
              <w:spacing w:after="0"/>
            </w:pPr>
            <w:r>
              <w:rPr>
                <w:rFonts w:ascii="Aptos" w:hAnsi="Aptos"/>
                <w:color w:val="152A3B"/>
                <w:sz w:val="16"/>
              </w:rPr>
              <w:t>No trusted curriculum, deterministic tools, mastery model, content governance or structured progression.</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10224"/>
            <w:shd w:fill="FFF7E7"/>
            <w:tcBorders>
              <w:top w:val="single" w:sz="12" w:color="C9A24E"/>
              <w:left w:val="single" w:sz="12" w:color="C9A24E"/>
              <w:bottom w:val="single" w:sz="12" w:color="C9A24E"/>
              <w:right w:val="single" w:sz="12" w:color="C9A24E"/>
            </w:tcBorders>
          </w:tcPr>
          <w:p>
            <w:pPr>
              <w:spacing w:after="60"/>
            </w:pPr>
            <w:r>
              <w:rPr>
                <w:rFonts w:ascii="Aptos" w:hAnsi="Aptos"/>
                <w:b/>
                <w:color w:val="C9A24E"/>
                <w:sz w:val="24"/>
              </w:rPr>
              <w:t>White-space statement</w:t>
            </w:r>
            <w:r>
              <w:rPr>
                <w:rFonts w:ascii="Aptos" w:hAnsi="Aptos"/>
                <w:color w:val="152A3B"/>
                <w:sz w:val="21"/>
              </w:rPr>
              <w:br/>
              <w:t>Financial Pods is strongest where AI-native interaction meets finance-specific infrastructure: official-rule grounding, executable calculators, a persistent Digital Bank, jurisdiction crosswalks, reporting labs, adaptive mastery and practitioner-reviewed content.</w:t>
            </w:r>
          </w:p>
        </w:tc>
      </w:tr>
    </w:tbl>
    <w:p>
      <w:pPr>
        <w:spacing w:after="20"/>
      </w:pPr>
    </w:p>
    <w:p>
      <w:pPr>
        <w:pStyle w:val="Heading1"/>
      </w:pPr>
      <w:r>
        <w:rPr>
          <w:rFonts w:ascii="Aptos" w:hAnsi="Aptos"/>
          <w:b/>
          <w:color w:val="081726"/>
          <w:sz w:val="44"/>
        </w:rPr>
        <w:t>5. Basel Pod — First Commercial Wedge</w:t>
      </w:r>
    </w:p>
    <w:p>
      <w:pPr>
        <w:pStyle w:val="Heading2"/>
        <w:spacing w:before="160" w:after="80"/>
      </w:pPr>
      <w:r>
        <w:rPr>
          <w:rFonts w:ascii="Aptos" w:hAnsi="Aptos"/>
          <w:b/>
          <w:color w:val="2CB9B9"/>
          <w:sz w:val="30"/>
        </w:rPr>
        <w:t>5.1 Canonical curriculum architecture</w:t>
      </w:r>
    </w:p>
    <w:p>
      <w:pPr>
        <w:spacing w:after="120"/>
      </w:pPr>
      <w:r>
        <w:rPr>
          <w:rFonts w:ascii="Aptos" w:hAnsi="Aptos"/>
        </w:rPr>
        <w:t>The BCBS Basel Framework is the canonical baseline. Jurisdictions are mapped as overlays rather than separate disconnected curricula. Basel CRE20, for example, defines the standardized approach to individual credit exposures and makes RWA the product of the standardized risk weight and exposure amount, while national supervisors implement and modify the framework domestically. [S1]</w:t>
      </w:r>
    </w:p>
    <w:tbl>
      <w:tblPr>
        <w:tblStyle w:val="TableGrid"/>
        <w:tblW w:type="auto" w:w="0"/>
        <w:jc w:val="center"/>
        <w:tblLook w:firstColumn="1" w:firstRow="1" w:lastColumn="0" w:lastRow="0" w:noHBand="0" w:noVBand="1" w:val="04A0"/>
      </w:tblPr>
      <w:tblGrid>
        <w:gridCol w:w="5112"/>
        <w:gridCol w:w="5112"/>
      </w:tblGrid>
      <w:tr>
        <w:tc>
          <w:tcPr>
            <w:tcW w:type="dxa" w:w="2304"/>
            <w:shd w:fill="081726"/>
            <w:vAlign w:val="center"/>
          </w:tcPr>
          <w:p>
            <w:pPr>
              <w:jc w:val="center"/>
            </w:pPr>
            <w:r>
              <w:rPr>
                <w:rFonts w:ascii="Aptos" w:hAnsi="Aptos"/>
                <w:b/>
                <w:color w:val="FFFFFF"/>
                <w:sz w:val="17"/>
              </w:rPr>
              <w:t>Track</w:t>
            </w:r>
          </w:p>
        </w:tc>
        <w:tc>
          <w:tcPr>
            <w:tcW w:type="dxa" w:w="7920"/>
            <w:shd w:fill="081726"/>
            <w:vAlign w:val="center"/>
          </w:tcPr>
          <w:p>
            <w:pPr>
              <w:jc w:val="center"/>
            </w:pPr>
            <w:r>
              <w:rPr>
                <w:rFonts w:ascii="Aptos" w:hAnsi="Aptos"/>
                <w:b/>
                <w:color w:val="FFFFFF"/>
                <w:sz w:val="17"/>
              </w:rPr>
              <w:t>Initial content</w:t>
            </w:r>
          </w:p>
        </w:tc>
      </w:tr>
      <w:tr>
        <w:tc>
          <w:tcPr>
            <w:tcW w:type="dxa" w:w="2304"/>
            <w:shd w:fill="EEF5F7"/>
            <w:vAlign w:val="center"/>
          </w:tcPr>
          <w:p>
            <w:pPr>
              <w:spacing w:after="0"/>
            </w:pPr>
            <w:r>
              <w:rPr>
                <w:rFonts w:ascii="Aptos" w:hAnsi="Aptos"/>
                <w:color w:val="152A3B"/>
                <w:sz w:val="17"/>
              </w:rPr>
              <w:t>Foundations</w:t>
            </w:r>
          </w:p>
        </w:tc>
        <w:tc>
          <w:tcPr>
            <w:tcW w:type="dxa" w:w="7920"/>
            <w:vAlign w:val="center"/>
          </w:tcPr>
          <w:p>
            <w:pPr>
              <w:spacing w:after="0"/>
            </w:pPr>
            <w:r>
              <w:rPr>
                <w:rFonts w:ascii="Aptos" w:hAnsi="Aptos"/>
                <w:color w:val="152A3B"/>
                <w:sz w:val="17"/>
              </w:rPr>
              <w:t>Bank balance sheet; why capital exists; Basel I/II/III; Pillars; exposure, EAD, RW and RWA.</w:t>
            </w:r>
          </w:p>
        </w:tc>
      </w:tr>
      <w:tr>
        <w:tc>
          <w:tcPr>
            <w:tcW w:type="dxa" w:w="2304"/>
            <w:shd w:fill="EEF5F7"/>
            <w:vAlign w:val="center"/>
          </w:tcPr>
          <w:p>
            <w:pPr>
              <w:spacing w:after="0"/>
            </w:pPr>
            <w:r>
              <w:rPr>
                <w:rFonts w:ascii="Aptos" w:hAnsi="Aptos"/>
                <w:color w:val="152A3B"/>
                <w:sz w:val="17"/>
              </w:rPr>
              <w:t>Capital</w:t>
            </w:r>
          </w:p>
        </w:tc>
        <w:tc>
          <w:tcPr>
            <w:tcW w:type="dxa" w:w="7920"/>
            <w:vAlign w:val="center"/>
          </w:tcPr>
          <w:p>
            <w:pPr>
              <w:spacing w:after="0"/>
            </w:pPr>
            <w:r>
              <w:rPr>
                <w:rFonts w:ascii="Aptos" w:hAnsi="Aptos"/>
                <w:color w:val="152A3B"/>
                <w:sz w:val="17"/>
              </w:rPr>
              <w:t>CET1, AT1, Tier 2, deductions, buffers, capital ratios.</w:t>
            </w:r>
          </w:p>
        </w:tc>
      </w:tr>
      <w:tr>
        <w:tc>
          <w:tcPr>
            <w:tcW w:type="dxa" w:w="2304"/>
            <w:shd w:fill="EEF5F7"/>
            <w:vAlign w:val="center"/>
          </w:tcPr>
          <w:p>
            <w:pPr>
              <w:spacing w:after="0"/>
            </w:pPr>
            <w:r>
              <w:rPr>
                <w:rFonts w:ascii="Aptos" w:hAnsi="Aptos"/>
                <w:color w:val="152A3B"/>
                <w:sz w:val="17"/>
              </w:rPr>
              <w:t>Credit Risk SA</w:t>
            </w:r>
          </w:p>
        </w:tc>
        <w:tc>
          <w:tcPr>
            <w:tcW w:type="dxa" w:w="7920"/>
            <w:vAlign w:val="center"/>
          </w:tcPr>
          <w:p>
            <w:pPr>
              <w:spacing w:after="0"/>
            </w:pPr>
            <w:r>
              <w:rPr>
                <w:rFonts w:ascii="Aptos" w:hAnsi="Aptos"/>
                <w:color w:val="152A3B"/>
                <w:sz w:val="17"/>
              </w:rPr>
              <w:t>Sovereigns, banks, corporates, SMEs, retail, residential RE, commercial RE, defaulted exposures, off-balance-sheet, CRM basics.</w:t>
            </w:r>
          </w:p>
        </w:tc>
      </w:tr>
      <w:tr>
        <w:tc>
          <w:tcPr>
            <w:tcW w:type="dxa" w:w="2304"/>
            <w:shd w:fill="EEF5F7"/>
            <w:vAlign w:val="center"/>
          </w:tcPr>
          <w:p>
            <w:pPr>
              <w:spacing w:after="0"/>
            </w:pPr>
            <w:r>
              <w:rPr>
                <w:rFonts w:ascii="Aptos" w:hAnsi="Aptos"/>
                <w:color w:val="152A3B"/>
                <w:sz w:val="17"/>
              </w:rPr>
              <w:t>Jurisdiction comparison</w:t>
            </w:r>
          </w:p>
        </w:tc>
        <w:tc>
          <w:tcPr>
            <w:tcW w:type="dxa" w:w="7920"/>
            <w:vAlign w:val="center"/>
          </w:tcPr>
          <w:p>
            <w:pPr>
              <w:spacing w:after="0"/>
            </w:pPr>
            <w:r>
              <w:rPr>
                <w:rFonts w:ascii="Aptos" w:hAnsi="Aptos"/>
                <w:color w:val="152A3B"/>
                <w:sz w:val="17"/>
              </w:rPr>
              <w:t>BCBS baseline vs U.S. rules/proposals, SAMA and CBUAE.</w:t>
            </w:r>
          </w:p>
        </w:tc>
      </w:tr>
      <w:tr>
        <w:tc>
          <w:tcPr>
            <w:tcW w:type="dxa" w:w="2304"/>
            <w:shd w:fill="EEF5F7"/>
            <w:vAlign w:val="center"/>
          </w:tcPr>
          <w:p>
            <w:pPr>
              <w:spacing w:after="0"/>
            </w:pPr>
            <w:r>
              <w:rPr>
                <w:rFonts w:ascii="Aptos" w:hAnsi="Aptos"/>
                <w:color w:val="152A3B"/>
                <w:sz w:val="17"/>
              </w:rPr>
              <w:t>Reporting introduction</w:t>
            </w:r>
          </w:p>
        </w:tc>
        <w:tc>
          <w:tcPr>
            <w:tcW w:type="dxa" w:w="7920"/>
            <w:vAlign w:val="center"/>
          </w:tcPr>
          <w:p>
            <w:pPr>
              <w:spacing w:after="0"/>
            </w:pPr>
            <w:r>
              <w:rPr>
                <w:rFonts w:ascii="Aptos" w:hAnsi="Aptos"/>
                <w:color w:val="152A3B"/>
                <w:sz w:val="17"/>
              </w:rPr>
              <w:t>How calculated exposures aggregate into regulatory capital and reporting schedules.</w:t>
            </w:r>
          </w:p>
        </w:tc>
      </w:tr>
    </w:tbl>
    <w:p>
      <w:pPr>
        <w:spacing w:after="40"/>
      </w:pPr>
    </w:p>
    <w:p>
      <w:pPr>
        <w:pStyle w:val="Heading2"/>
        <w:spacing w:before="160" w:after="80"/>
      </w:pPr>
      <w:r>
        <w:rPr>
          <w:rFonts w:ascii="Aptos" w:hAnsi="Aptos"/>
          <w:b/>
          <w:color w:val="2CB9B9"/>
          <w:sz w:val="30"/>
        </w:rPr>
        <w:t>5.2 Jurisdiction design principles</w:t>
      </w:r>
    </w:p>
    <w:p>
      <w:pPr>
        <w:pStyle w:val="ListBullet"/>
        <w:spacing w:after="60"/>
      </w:pPr>
      <w:r>
        <w:rPr>
          <w:rFonts w:ascii="Aptos" w:hAnsi="Aptos"/>
          <w:b/>
          <w:color w:val="152A3B"/>
        </w:rPr>
        <w:t xml:space="preserve">BCBS: </w:t>
      </w:r>
      <w:r>
        <w:rPr>
          <w:rFonts w:ascii="Aptos" w:hAnsi="Aptos"/>
          <w:color w:val="152A3B"/>
        </w:rPr>
        <w:t>canonical conceptual and regulatory baseline. [S1]</w:t>
      </w:r>
    </w:p>
    <w:p>
      <w:pPr>
        <w:pStyle w:val="ListBullet"/>
        <w:spacing w:after="60"/>
      </w:pPr>
      <w:r>
        <w:rPr>
          <w:rFonts w:ascii="Aptos" w:hAnsi="Aptos"/>
          <w:b/>
          <w:color w:val="152A3B"/>
        </w:rPr>
        <w:t xml:space="preserve">United States: </w:t>
      </w:r>
      <w:r>
        <w:rPr>
          <w:rFonts w:ascii="Aptos" w:hAnsi="Aptos"/>
          <w:color w:val="152A3B"/>
        </w:rPr>
        <w:t>teach current requirements separately from the March 2026 proposals. As of August 2026, the Fed still presents the March package as proposed rulemaking; the UI must visibly label “PROPOSED.” [S2][S19]</w:t>
      </w:r>
    </w:p>
    <w:p>
      <w:pPr>
        <w:pStyle w:val="ListBullet"/>
        <w:spacing w:after="60"/>
      </w:pPr>
      <w:r>
        <w:rPr>
          <w:rFonts w:ascii="Aptos" w:hAnsi="Aptos"/>
          <w:b/>
          <w:color w:val="152A3B"/>
        </w:rPr>
        <w:t xml:space="preserve">Saudi Arabia: </w:t>
      </w:r>
      <w:r>
        <w:rPr>
          <w:rFonts w:ascii="Aptos" w:hAnsi="Aptos"/>
          <w:color w:val="152A3B"/>
        </w:rPr>
        <w:t>SAMA has an in-force Basel III credit-risk framework and prudential reporting requirements; Q17 is a practical learning target. [S3]</w:t>
      </w:r>
    </w:p>
    <w:p>
      <w:pPr>
        <w:pStyle w:val="ListBullet"/>
        <w:spacing w:after="60"/>
      </w:pPr>
      <w:r>
        <w:rPr>
          <w:rFonts w:ascii="Aptos" w:hAnsi="Aptos"/>
          <w:b/>
          <w:color w:val="152A3B"/>
        </w:rPr>
        <w:t xml:space="preserve">UAE: </w:t>
      </w:r>
      <w:r>
        <w:rPr>
          <w:rFonts w:ascii="Aptos" w:hAnsi="Aptos"/>
          <w:color w:val="152A3B"/>
        </w:rPr>
        <w:t>CBUAE capital standards and guidance are closely based on Basel but contain UAE-specific requirements. [S4]</w:t>
      </w:r>
    </w:p>
    <w:p>
      <w:pPr>
        <w:pStyle w:val="Heading1"/>
      </w:pPr>
      <w:r>
        <w:rPr>
          <w:rFonts w:ascii="Aptos" w:hAnsi="Aptos"/>
          <w:b/>
          <w:color w:val="081726"/>
          <w:sz w:val="44"/>
        </w:rPr>
        <w:t>6. Golden Lesson 001 — Corporate Exposure: From Loan to Regulatory Capital</w:t>
      </w:r>
    </w:p>
    <w:p>
      <w:pPr>
        <w:spacing w:after="120"/>
      </w:pPr>
      <w:r>
        <w:rPr>
          <w:rFonts w:ascii="Aptos" w:hAnsi="Aptos"/>
        </w:rPr>
        <w:t>The Golden Lesson is the product-development benchmark. We should not scale course production until one lesson proves the complete experience end to end.</w:t>
      </w:r>
    </w:p>
    <w:tbl>
      <w:tblPr>
        <w:tblStyle w:val="TableGrid"/>
        <w:tblW w:type="auto" w:w="0"/>
        <w:jc w:val="center"/>
        <w:tblLook w:firstColumn="1" w:firstRow="1" w:lastColumn="0" w:lastRow="0" w:noHBand="0" w:noVBand="1" w:val="04A0"/>
      </w:tblPr>
      <w:tblGrid>
        <w:gridCol w:w="5112"/>
        <w:gridCol w:w="5112"/>
      </w:tblGrid>
      <w:tr>
        <w:tc>
          <w:tcPr>
            <w:tcW w:type="dxa" w:w="1656"/>
            <w:shd w:fill="081726"/>
            <w:vAlign w:val="center"/>
          </w:tcPr>
          <w:p>
            <w:pPr>
              <w:jc w:val="center"/>
            </w:pPr>
            <w:r>
              <w:rPr>
                <w:rFonts w:ascii="Aptos" w:hAnsi="Aptos"/>
                <w:b/>
                <w:color w:val="FFFFFF"/>
                <w:sz w:val="16"/>
              </w:rPr>
              <w:t>Stage</w:t>
            </w:r>
          </w:p>
        </w:tc>
        <w:tc>
          <w:tcPr>
            <w:tcW w:type="dxa" w:w="8568"/>
            <w:shd w:fill="081726"/>
            <w:vAlign w:val="center"/>
          </w:tcPr>
          <w:p>
            <w:pPr>
              <w:jc w:val="center"/>
            </w:pPr>
            <w:r>
              <w:rPr>
                <w:rFonts w:ascii="Aptos" w:hAnsi="Aptos"/>
                <w:b/>
                <w:color w:val="FFFFFF"/>
                <w:sz w:val="16"/>
              </w:rPr>
              <w:t>Learner experience</w:t>
            </w:r>
          </w:p>
        </w:tc>
      </w:tr>
      <w:tr>
        <w:tc>
          <w:tcPr>
            <w:tcW w:type="dxa" w:w="1656"/>
            <w:shd w:fill="EEF5F7"/>
            <w:vAlign w:val="center"/>
          </w:tcPr>
          <w:p>
            <w:pPr>
              <w:spacing w:after="0"/>
            </w:pPr>
            <w:r>
              <w:rPr>
                <w:rFonts w:ascii="Aptos" w:hAnsi="Aptos"/>
                <w:color w:val="152A3B"/>
                <w:sz w:val="16"/>
              </w:rPr>
              <w:t>1. Context</w:t>
            </w:r>
          </w:p>
        </w:tc>
        <w:tc>
          <w:tcPr>
            <w:tcW w:type="dxa" w:w="8568"/>
            <w:vAlign w:val="center"/>
          </w:tcPr>
          <w:p>
            <w:pPr>
              <w:spacing w:after="0"/>
            </w:pPr>
            <w:r>
              <w:rPr>
                <w:rFonts w:ascii="Aptos" w:hAnsi="Aptos"/>
                <w:color w:val="152A3B"/>
                <w:sz w:val="16"/>
              </w:rPr>
              <w:t>A $10m term loan to Alpha Manufacturing appears in FinBank.</w:t>
            </w:r>
          </w:p>
        </w:tc>
      </w:tr>
      <w:tr>
        <w:tc>
          <w:tcPr>
            <w:tcW w:type="dxa" w:w="1656"/>
            <w:shd w:fill="EEF5F7"/>
            <w:vAlign w:val="center"/>
          </w:tcPr>
          <w:p>
            <w:pPr>
              <w:spacing w:after="0"/>
            </w:pPr>
            <w:r>
              <w:rPr>
                <w:rFonts w:ascii="Aptos" w:hAnsi="Aptos"/>
                <w:color w:val="152A3B"/>
                <w:sz w:val="16"/>
              </w:rPr>
              <w:t>2. Classify</w:t>
            </w:r>
          </w:p>
        </w:tc>
        <w:tc>
          <w:tcPr>
            <w:tcW w:type="dxa" w:w="8568"/>
            <w:vAlign w:val="center"/>
          </w:tcPr>
          <w:p>
            <w:pPr>
              <w:spacing w:after="0"/>
            </w:pPr>
            <w:r>
              <w:rPr>
                <w:rFonts w:ascii="Aptos" w:hAnsi="Aptos"/>
                <w:color w:val="152A3B"/>
                <w:sz w:val="16"/>
              </w:rPr>
              <w:t>Learner decides the regulatory exposure class before seeing the answer.</w:t>
            </w:r>
          </w:p>
        </w:tc>
      </w:tr>
      <w:tr>
        <w:tc>
          <w:tcPr>
            <w:tcW w:type="dxa" w:w="1656"/>
            <w:shd w:fill="EEF5F7"/>
            <w:vAlign w:val="center"/>
          </w:tcPr>
          <w:p>
            <w:pPr>
              <w:spacing w:after="0"/>
            </w:pPr>
            <w:r>
              <w:rPr>
                <w:rFonts w:ascii="Aptos" w:hAnsi="Aptos"/>
                <w:color w:val="152A3B"/>
                <w:sz w:val="16"/>
              </w:rPr>
              <w:t>3. Source</w:t>
            </w:r>
          </w:p>
        </w:tc>
        <w:tc>
          <w:tcPr>
            <w:tcW w:type="dxa" w:w="8568"/>
            <w:vAlign w:val="center"/>
          </w:tcPr>
          <w:p>
            <w:pPr>
              <w:spacing w:after="0"/>
            </w:pPr>
            <w:r>
              <w:rPr>
                <w:rFonts w:ascii="Aptos" w:hAnsi="Aptos"/>
                <w:color w:val="152A3B"/>
                <w:sz w:val="16"/>
              </w:rPr>
              <w:t>Relevant BCBS/SAMA/CBUAE/U.S. provisions are shown with plain-language explanation.</w:t>
            </w:r>
          </w:p>
        </w:tc>
      </w:tr>
      <w:tr>
        <w:tc>
          <w:tcPr>
            <w:tcW w:type="dxa" w:w="1656"/>
            <w:shd w:fill="EEF5F7"/>
            <w:vAlign w:val="center"/>
          </w:tcPr>
          <w:p>
            <w:pPr>
              <w:spacing w:after="0"/>
            </w:pPr>
            <w:r>
              <w:rPr>
                <w:rFonts w:ascii="Aptos" w:hAnsi="Aptos"/>
                <w:color w:val="152A3B"/>
                <w:sz w:val="16"/>
              </w:rPr>
              <w:t>4. Calculate</w:t>
            </w:r>
          </w:p>
        </w:tc>
        <w:tc>
          <w:tcPr>
            <w:tcW w:type="dxa" w:w="8568"/>
            <w:vAlign w:val="center"/>
          </w:tcPr>
          <w:p>
            <w:pPr>
              <w:spacing w:after="0"/>
            </w:pPr>
            <w:r>
              <w:rPr>
                <w:rFonts w:ascii="Aptos" w:hAnsi="Aptos"/>
                <w:color w:val="152A3B"/>
                <w:sz w:val="16"/>
              </w:rPr>
              <w:t>Learner sees EAD, risk weight, RWA and basic capital relationship using the deterministic engine.</w:t>
            </w:r>
          </w:p>
        </w:tc>
      </w:tr>
      <w:tr>
        <w:tc>
          <w:tcPr>
            <w:tcW w:type="dxa" w:w="1656"/>
            <w:shd w:fill="EEF5F7"/>
            <w:vAlign w:val="center"/>
          </w:tcPr>
          <w:p>
            <w:pPr>
              <w:spacing w:after="0"/>
            </w:pPr>
            <w:r>
              <w:rPr>
                <w:rFonts w:ascii="Aptos" w:hAnsi="Aptos"/>
                <w:color w:val="152A3B"/>
                <w:sz w:val="16"/>
              </w:rPr>
              <w:t>5. Manipulate</w:t>
            </w:r>
          </w:p>
        </w:tc>
        <w:tc>
          <w:tcPr>
            <w:tcW w:type="dxa" w:w="8568"/>
            <w:vAlign w:val="center"/>
          </w:tcPr>
          <w:p>
            <w:pPr>
              <w:spacing w:after="0"/>
            </w:pPr>
            <w:r>
              <w:rPr>
                <w:rFonts w:ascii="Aptos" w:hAnsi="Aptos"/>
                <w:color w:val="152A3B"/>
                <w:sz w:val="16"/>
              </w:rPr>
              <w:t>Change rating, revenue, collateral or jurisdiction and recalculate.</w:t>
            </w:r>
          </w:p>
        </w:tc>
      </w:tr>
      <w:tr>
        <w:tc>
          <w:tcPr>
            <w:tcW w:type="dxa" w:w="1656"/>
            <w:shd w:fill="EEF5F7"/>
            <w:vAlign w:val="center"/>
          </w:tcPr>
          <w:p>
            <w:pPr>
              <w:spacing w:after="0"/>
            </w:pPr>
            <w:r>
              <w:rPr>
                <w:rFonts w:ascii="Aptos" w:hAnsi="Aptos"/>
                <w:color w:val="152A3B"/>
                <w:sz w:val="16"/>
              </w:rPr>
              <w:t>6. Interrupt</w:t>
            </w:r>
          </w:p>
        </w:tc>
        <w:tc>
          <w:tcPr>
            <w:tcW w:type="dxa" w:w="8568"/>
            <w:vAlign w:val="center"/>
          </w:tcPr>
          <w:p>
            <w:pPr>
              <w:spacing w:after="0"/>
            </w:pPr>
            <w:r>
              <w:rPr>
                <w:rFonts w:ascii="Aptos" w:hAnsi="Aptos"/>
                <w:color w:val="152A3B"/>
                <w:sz w:val="16"/>
              </w:rPr>
              <w:t>Pause the lesson at any moment and ask by text or voice; tutor receives timestamp + example + rule context.</w:t>
            </w:r>
          </w:p>
        </w:tc>
      </w:tr>
      <w:tr>
        <w:tc>
          <w:tcPr>
            <w:tcW w:type="dxa" w:w="1656"/>
            <w:shd w:fill="EEF5F7"/>
            <w:vAlign w:val="center"/>
          </w:tcPr>
          <w:p>
            <w:pPr>
              <w:spacing w:after="0"/>
            </w:pPr>
            <w:r>
              <w:rPr>
                <w:rFonts w:ascii="Aptos" w:hAnsi="Aptos"/>
                <w:color w:val="152A3B"/>
                <w:sz w:val="16"/>
              </w:rPr>
              <w:t>7. Compare</w:t>
            </w:r>
          </w:p>
        </w:tc>
        <w:tc>
          <w:tcPr>
            <w:tcW w:type="dxa" w:w="8568"/>
            <w:vAlign w:val="center"/>
          </w:tcPr>
          <w:p>
            <w:pPr>
              <w:spacing w:after="0"/>
            </w:pPr>
            <w:r>
              <w:rPr>
                <w:rFonts w:ascii="Aptos" w:hAnsi="Aptos"/>
                <w:color w:val="152A3B"/>
                <w:sz w:val="16"/>
              </w:rPr>
              <w:t>Switch BCBS, SAMA, CBUAE and U.S. treatments and explain why they differ.</w:t>
            </w:r>
          </w:p>
        </w:tc>
      </w:tr>
      <w:tr>
        <w:tc>
          <w:tcPr>
            <w:tcW w:type="dxa" w:w="1656"/>
            <w:shd w:fill="EEF5F7"/>
            <w:vAlign w:val="center"/>
          </w:tcPr>
          <w:p>
            <w:pPr>
              <w:spacing w:after="0"/>
            </w:pPr>
            <w:r>
              <w:rPr>
                <w:rFonts w:ascii="Aptos" w:hAnsi="Aptos"/>
                <w:color w:val="152A3B"/>
                <w:sz w:val="16"/>
              </w:rPr>
              <w:t>8. Active check</w:t>
            </w:r>
          </w:p>
        </w:tc>
        <w:tc>
          <w:tcPr>
            <w:tcW w:type="dxa" w:w="8568"/>
            <w:vAlign w:val="center"/>
          </w:tcPr>
          <w:p>
            <w:pPr>
              <w:spacing w:after="0"/>
            </w:pPr>
            <w:r>
              <w:rPr>
                <w:rFonts w:ascii="Aptos" w:hAnsi="Aptos"/>
                <w:color w:val="152A3B"/>
                <w:sz w:val="16"/>
              </w:rPr>
              <w:t>Video auto-pauses and asks a conceptual question.</w:t>
            </w:r>
          </w:p>
        </w:tc>
      </w:tr>
      <w:tr>
        <w:tc>
          <w:tcPr>
            <w:tcW w:type="dxa" w:w="1656"/>
            <w:shd w:fill="EEF5F7"/>
            <w:vAlign w:val="center"/>
          </w:tcPr>
          <w:p>
            <w:pPr>
              <w:spacing w:after="0"/>
            </w:pPr>
            <w:r>
              <w:rPr>
                <w:rFonts w:ascii="Aptos" w:hAnsi="Aptos"/>
                <w:color w:val="152A3B"/>
                <w:sz w:val="16"/>
              </w:rPr>
              <w:t>9. Practice</w:t>
            </w:r>
          </w:p>
        </w:tc>
        <w:tc>
          <w:tcPr>
            <w:tcW w:type="dxa" w:w="8568"/>
            <w:vAlign w:val="center"/>
          </w:tcPr>
          <w:p>
            <w:pPr>
              <w:spacing w:after="0"/>
            </w:pPr>
            <w:r>
              <w:rPr>
                <w:rFonts w:ascii="Aptos" w:hAnsi="Aptos"/>
                <w:color w:val="152A3B"/>
                <w:sz w:val="16"/>
              </w:rPr>
              <w:t>Generate new corporate exposure cases.</w:t>
            </w:r>
          </w:p>
        </w:tc>
      </w:tr>
      <w:tr>
        <w:tc>
          <w:tcPr>
            <w:tcW w:type="dxa" w:w="1656"/>
            <w:shd w:fill="EEF5F7"/>
            <w:vAlign w:val="center"/>
          </w:tcPr>
          <w:p>
            <w:pPr>
              <w:spacing w:after="0"/>
            </w:pPr>
            <w:r>
              <w:rPr>
                <w:rFonts w:ascii="Aptos" w:hAnsi="Aptos"/>
                <w:color w:val="152A3B"/>
                <w:sz w:val="16"/>
              </w:rPr>
              <w:t>10. Voice viva</w:t>
            </w:r>
          </w:p>
        </w:tc>
        <w:tc>
          <w:tcPr>
            <w:tcW w:type="dxa" w:w="8568"/>
            <w:vAlign w:val="center"/>
          </w:tcPr>
          <w:p>
            <w:pPr>
              <w:spacing w:after="0"/>
            </w:pPr>
            <w:r>
              <w:rPr>
                <w:rFonts w:ascii="Aptos" w:hAnsi="Aptos"/>
                <w:color w:val="152A3B"/>
                <w:sz w:val="16"/>
              </w:rPr>
              <w:t>Tutor tests the learner verbally and updates mastery.</w:t>
            </w:r>
          </w:p>
        </w:tc>
      </w:tr>
    </w:tbl>
    <w:p>
      <w:pPr>
        <w:spacing w:after="40"/>
      </w:pPr>
    </w:p>
    <w:p>
      <w:pPr>
        <w:spacing w:after="60"/>
        <w:jc w:val="center"/>
      </w:pPr>
      <w:r>
        <w:drawing>
          <wp:inline xmlns:a="http://schemas.openxmlformats.org/drawingml/2006/main" xmlns:pic="http://schemas.openxmlformats.org/drawingml/2006/picture">
            <wp:extent cx="6492240" cy="3606800"/>
            <wp:docPr id="4" name="Picture 4"/>
            <wp:cNvGraphicFramePr>
              <a:graphicFrameLocks noChangeAspect="1"/>
            </wp:cNvGraphicFramePr>
            <a:graphic>
              <a:graphicData uri="http://schemas.openxmlformats.org/drawingml/2006/picture">
                <pic:pic>
                  <pic:nvPicPr>
                    <pic:cNvPr id="0" name="learning_loop.png"/>
                    <pic:cNvPicPr/>
                  </pic:nvPicPr>
                  <pic:blipFill>
                    <a:blip r:embed="rId14"/>
                    <a:stretch>
                      <a:fillRect/>
                    </a:stretch>
                  </pic:blipFill>
                  <pic:spPr>
                    <a:xfrm>
                      <a:off x="0" y="0"/>
                      <a:ext cx="6492240" cy="3606800"/>
                    </a:xfrm>
                    <a:prstGeom prst="rect"/>
                  </pic:spPr>
                </pic:pic>
              </a:graphicData>
            </a:graphic>
          </wp:inline>
        </w:drawing>
      </w:r>
    </w:p>
    <w:p>
      <w:pPr>
        <w:spacing w:after="160"/>
        <w:jc w:val="center"/>
      </w:pPr>
      <w:r>
        <w:rPr>
          <w:rFonts w:ascii="Aptos" w:hAnsi="Aptos"/>
          <w:color w:val="617789"/>
          <w:sz w:val="17"/>
        </w:rPr>
        <w:t>Figure 3 — Standard learning loop that every future Financial Pod can reuse.</w:t>
      </w:r>
    </w:p>
    <w:p>
      <w:pPr>
        <w:pStyle w:val="Heading2"/>
        <w:spacing w:before="160" w:after="80"/>
      </w:pPr>
      <w:r>
        <w:rPr>
          <w:rFonts w:ascii="Aptos" w:hAnsi="Aptos"/>
          <w:b/>
          <w:color w:val="2CB9B9"/>
          <w:sz w:val="30"/>
        </w:rPr>
        <w:t>6.1 Golden Lesson acceptance criteria</w:t>
      </w:r>
    </w:p>
    <w:tbl>
      <w:tblPr>
        <w:tblStyle w:val="TableGrid"/>
        <w:tblW w:type="auto" w:w="0"/>
        <w:jc w:val="center"/>
        <w:tblLook w:firstColumn="1" w:firstRow="1" w:lastColumn="0" w:lastRow="0" w:noHBand="0" w:noVBand="1" w:val="04A0"/>
      </w:tblPr>
      <w:tblGrid>
        <w:gridCol w:w="5112"/>
        <w:gridCol w:w="5112"/>
      </w:tblGrid>
      <w:tr>
        <w:tc>
          <w:tcPr>
            <w:tcW w:type="dxa" w:w="6768"/>
            <w:shd w:fill="081726"/>
            <w:vAlign w:val="center"/>
          </w:tcPr>
          <w:p>
            <w:pPr>
              <w:jc w:val="center"/>
            </w:pPr>
            <w:r>
              <w:rPr>
                <w:rFonts w:ascii="Aptos" w:hAnsi="Aptos"/>
                <w:b/>
                <w:color w:val="FFFFFF"/>
                <w:sz w:val="17"/>
              </w:rPr>
              <w:t>Capability</w:t>
            </w:r>
          </w:p>
        </w:tc>
        <w:tc>
          <w:tcPr>
            <w:tcW w:type="dxa" w:w="3456"/>
            <w:shd w:fill="081726"/>
            <w:vAlign w:val="center"/>
          </w:tcPr>
          <w:p>
            <w:pPr>
              <w:jc w:val="center"/>
            </w:pPr>
            <w:r>
              <w:rPr>
                <w:rFonts w:ascii="Aptos" w:hAnsi="Aptos"/>
                <w:b/>
                <w:color w:val="FFFFFF"/>
                <w:sz w:val="17"/>
              </w:rPr>
              <w:t>Gate</w:t>
            </w:r>
          </w:p>
        </w:tc>
      </w:tr>
      <w:tr>
        <w:tc>
          <w:tcPr>
            <w:tcW w:type="dxa" w:w="6768"/>
            <w:shd w:fill="EEF5F7"/>
            <w:vAlign w:val="center"/>
          </w:tcPr>
          <w:p>
            <w:pPr>
              <w:spacing w:after="0"/>
            </w:pPr>
            <w:r>
              <w:rPr>
                <w:rFonts w:ascii="Aptos" w:hAnsi="Aptos"/>
                <w:color w:val="152A3B"/>
                <w:sz w:val="17"/>
              </w:rPr>
              <w:t>English lesson</w:t>
            </w:r>
          </w:p>
        </w:tc>
        <w:tc>
          <w:tcPr>
            <w:tcW w:type="dxa" w:w="3456"/>
            <w:vAlign w:val="center"/>
          </w:tcPr>
          <w:p>
            <w:pPr>
              <w:spacing w:after="0"/>
            </w:pPr>
            <w:r>
              <w:rPr>
                <w:rFonts w:ascii="Aptos" w:hAnsi="Aptos"/>
                <w:color w:val="152A3B"/>
                <w:sz w:val="17"/>
              </w:rPr>
              <w:t>Required</w:t>
            </w:r>
          </w:p>
        </w:tc>
      </w:tr>
      <w:tr>
        <w:tc>
          <w:tcPr>
            <w:tcW w:type="dxa" w:w="6768"/>
            <w:shd w:fill="EEF5F7"/>
            <w:vAlign w:val="center"/>
          </w:tcPr>
          <w:p>
            <w:pPr>
              <w:spacing w:after="0"/>
            </w:pPr>
            <w:r>
              <w:rPr>
                <w:rFonts w:ascii="Aptos" w:hAnsi="Aptos"/>
                <w:color w:val="152A3B"/>
                <w:sz w:val="17"/>
              </w:rPr>
              <w:t>Arabic lesson</w:t>
            </w:r>
          </w:p>
        </w:tc>
        <w:tc>
          <w:tcPr>
            <w:tcW w:type="dxa" w:w="3456"/>
            <w:vAlign w:val="center"/>
          </w:tcPr>
          <w:p>
            <w:pPr>
              <w:spacing w:after="0"/>
            </w:pPr>
            <w:r>
              <w:rPr>
                <w:rFonts w:ascii="Aptos" w:hAnsi="Aptos"/>
                <w:color w:val="152A3B"/>
                <w:sz w:val="17"/>
              </w:rPr>
              <w:t>Required</w:t>
            </w:r>
          </w:p>
        </w:tc>
      </w:tr>
      <w:tr>
        <w:tc>
          <w:tcPr>
            <w:tcW w:type="dxa" w:w="6768"/>
            <w:shd w:fill="EEF5F7"/>
            <w:vAlign w:val="center"/>
          </w:tcPr>
          <w:p>
            <w:pPr>
              <w:spacing w:after="0"/>
            </w:pPr>
            <w:r>
              <w:rPr>
                <w:rFonts w:ascii="Aptos" w:hAnsi="Aptos"/>
                <w:color w:val="152A3B"/>
                <w:sz w:val="17"/>
              </w:rPr>
              <w:t>Your cloned English voice</w:t>
            </w:r>
          </w:p>
        </w:tc>
        <w:tc>
          <w:tcPr>
            <w:tcW w:type="dxa" w:w="3456"/>
            <w:vAlign w:val="center"/>
          </w:tcPr>
          <w:p>
            <w:pPr>
              <w:spacing w:after="0"/>
            </w:pPr>
            <w:r>
              <w:rPr>
                <w:rFonts w:ascii="Aptos" w:hAnsi="Aptos"/>
                <w:color w:val="152A3B"/>
                <w:sz w:val="17"/>
              </w:rPr>
              <w:t>Prototype</w:t>
            </w:r>
          </w:p>
        </w:tc>
      </w:tr>
      <w:tr>
        <w:tc>
          <w:tcPr>
            <w:tcW w:type="dxa" w:w="6768"/>
            <w:shd w:fill="EEF5F7"/>
            <w:vAlign w:val="center"/>
          </w:tcPr>
          <w:p>
            <w:pPr>
              <w:spacing w:after="0"/>
            </w:pPr>
            <w:r>
              <w:rPr>
                <w:rFonts w:ascii="Aptos" w:hAnsi="Aptos"/>
                <w:color w:val="152A3B"/>
                <w:sz w:val="17"/>
              </w:rPr>
              <w:t>Native Arabic voice comparison</w:t>
            </w:r>
          </w:p>
        </w:tc>
        <w:tc>
          <w:tcPr>
            <w:tcW w:type="dxa" w:w="3456"/>
            <w:vAlign w:val="center"/>
          </w:tcPr>
          <w:p>
            <w:pPr>
              <w:spacing w:after="0"/>
            </w:pPr>
            <w:r>
              <w:rPr>
                <w:rFonts w:ascii="Aptos" w:hAnsi="Aptos"/>
                <w:color w:val="152A3B"/>
                <w:sz w:val="17"/>
              </w:rPr>
              <w:t>Required</w:t>
            </w:r>
          </w:p>
        </w:tc>
      </w:tr>
      <w:tr>
        <w:tc>
          <w:tcPr>
            <w:tcW w:type="dxa" w:w="6768"/>
            <w:shd w:fill="EEF5F7"/>
            <w:vAlign w:val="center"/>
          </w:tcPr>
          <w:p>
            <w:pPr>
              <w:spacing w:after="0"/>
            </w:pPr>
            <w:r>
              <w:rPr>
                <w:rFonts w:ascii="Aptos" w:hAnsi="Aptos"/>
                <w:color w:val="152A3B"/>
                <w:sz w:val="17"/>
              </w:rPr>
              <w:t>Pause-anywhere chat</w:t>
            </w:r>
          </w:p>
        </w:tc>
        <w:tc>
          <w:tcPr>
            <w:tcW w:type="dxa" w:w="3456"/>
            <w:vAlign w:val="center"/>
          </w:tcPr>
          <w:p>
            <w:pPr>
              <w:spacing w:after="0"/>
            </w:pPr>
            <w:r>
              <w:rPr>
                <w:rFonts w:ascii="Aptos" w:hAnsi="Aptos"/>
                <w:color w:val="152A3B"/>
                <w:sz w:val="17"/>
              </w:rPr>
              <w:t>Required</w:t>
            </w:r>
          </w:p>
        </w:tc>
      </w:tr>
      <w:tr>
        <w:tc>
          <w:tcPr>
            <w:tcW w:type="dxa" w:w="6768"/>
            <w:shd w:fill="EEF5F7"/>
            <w:vAlign w:val="center"/>
          </w:tcPr>
          <w:p>
            <w:pPr>
              <w:spacing w:after="0"/>
            </w:pPr>
            <w:r>
              <w:rPr>
                <w:rFonts w:ascii="Aptos" w:hAnsi="Aptos"/>
                <w:color w:val="152A3B"/>
                <w:sz w:val="17"/>
              </w:rPr>
              <w:t>Realtime voice interruption</w:t>
            </w:r>
          </w:p>
        </w:tc>
        <w:tc>
          <w:tcPr>
            <w:tcW w:type="dxa" w:w="3456"/>
            <w:vAlign w:val="center"/>
          </w:tcPr>
          <w:p>
            <w:pPr>
              <w:spacing w:after="0"/>
            </w:pPr>
            <w:r>
              <w:rPr>
                <w:rFonts w:ascii="Aptos" w:hAnsi="Aptos"/>
                <w:color w:val="152A3B"/>
                <w:sz w:val="17"/>
              </w:rPr>
              <w:t>Required</w:t>
            </w:r>
          </w:p>
        </w:tc>
      </w:tr>
      <w:tr>
        <w:tc>
          <w:tcPr>
            <w:tcW w:type="dxa" w:w="6768"/>
            <w:shd w:fill="EEF5F7"/>
            <w:vAlign w:val="center"/>
          </w:tcPr>
          <w:p>
            <w:pPr>
              <w:spacing w:after="0"/>
            </w:pPr>
            <w:r>
              <w:rPr>
                <w:rFonts w:ascii="Aptos" w:hAnsi="Aptos"/>
                <w:color w:val="152A3B"/>
                <w:sz w:val="17"/>
              </w:rPr>
              <w:t>Timestamp-aware tutor</w:t>
            </w:r>
          </w:p>
        </w:tc>
        <w:tc>
          <w:tcPr>
            <w:tcW w:type="dxa" w:w="3456"/>
            <w:vAlign w:val="center"/>
          </w:tcPr>
          <w:p>
            <w:pPr>
              <w:spacing w:after="0"/>
            </w:pPr>
            <w:r>
              <w:rPr>
                <w:rFonts w:ascii="Aptos" w:hAnsi="Aptos"/>
                <w:color w:val="152A3B"/>
                <w:sz w:val="17"/>
              </w:rPr>
              <w:t>Required</w:t>
            </w:r>
          </w:p>
        </w:tc>
      </w:tr>
      <w:tr>
        <w:tc>
          <w:tcPr>
            <w:tcW w:type="dxa" w:w="6768"/>
            <w:shd w:fill="EEF5F7"/>
            <w:vAlign w:val="center"/>
          </w:tcPr>
          <w:p>
            <w:pPr>
              <w:spacing w:after="0"/>
            </w:pPr>
            <w:r>
              <w:rPr>
                <w:rFonts w:ascii="Aptos" w:hAnsi="Aptos"/>
                <w:color w:val="152A3B"/>
                <w:sz w:val="17"/>
              </w:rPr>
              <w:t>Official source citations</w:t>
            </w:r>
          </w:p>
        </w:tc>
        <w:tc>
          <w:tcPr>
            <w:tcW w:type="dxa" w:w="3456"/>
            <w:vAlign w:val="center"/>
          </w:tcPr>
          <w:p>
            <w:pPr>
              <w:spacing w:after="0"/>
            </w:pPr>
            <w:r>
              <w:rPr>
                <w:rFonts w:ascii="Aptos" w:hAnsi="Aptos"/>
                <w:color w:val="152A3B"/>
                <w:sz w:val="17"/>
              </w:rPr>
              <w:t>Required</w:t>
            </w:r>
          </w:p>
        </w:tc>
      </w:tr>
      <w:tr>
        <w:tc>
          <w:tcPr>
            <w:tcW w:type="dxa" w:w="6768"/>
            <w:shd w:fill="EEF5F7"/>
            <w:vAlign w:val="center"/>
          </w:tcPr>
          <w:p>
            <w:pPr>
              <w:spacing w:after="0"/>
            </w:pPr>
            <w:r>
              <w:rPr>
                <w:rFonts w:ascii="Aptos" w:hAnsi="Aptos"/>
                <w:color w:val="152A3B"/>
                <w:sz w:val="17"/>
              </w:rPr>
              <w:t>Interactive calculator</w:t>
            </w:r>
          </w:p>
        </w:tc>
        <w:tc>
          <w:tcPr>
            <w:tcW w:type="dxa" w:w="3456"/>
            <w:vAlign w:val="center"/>
          </w:tcPr>
          <w:p>
            <w:pPr>
              <w:spacing w:after="0"/>
            </w:pPr>
            <w:r>
              <w:rPr>
                <w:rFonts w:ascii="Aptos" w:hAnsi="Aptos"/>
                <w:color w:val="152A3B"/>
                <w:sz w:val="17"/>
              </w:rPr>
              <w:t>Required</w:t>
            </w:r>
          </w:p>
        </w:tc>
      </w:tr>
      <w:tr>
        <w:tc>
          <w:tcPr>
            <w:tcW w:type="dxa" w:w="6768"/>
            <w:shd w:fill="EEF5F7"/>
            <w:vAlign w:val="center"/>
          </w:tcPr>
          <w:p>
            <w:pPr>
              <w:spacing w:after="0"/>
            </w:pPr>
            <w:r>
              <w:rPr>
                <w:rFonts w:ascii="Aptos" w:hAnsi="Aptos"/>
                <w:color w:val="152A3B"/>
                <w:sz w:val="17"/>
              </w:rPr>
              <w:t>Jurisdiction switch</w:t>
            </w:r>
          </w:p>
        </w:tc>
        <w:tc>
          <w:tcPr>
            <w:tcW w:type="dxa" w:w="3456"/>
            <w:vAlign w:val="center"/>
          </w:tcPr>
          <w:p>
            <w:pPr>
              <w:spacing w:after="0"/>
            </w:pPr>
            <w:r>
              <w:rPr>
                <w:rFonts w:ascii="Aptos" w:hAnsi="Aptos"/>
                <w:color w:val="152A3B"/>
                <w:sz w:val="17"/>
              </w:rPr>
              <w:t>Required</w:t>
            </w:r>
          </w:p>
        </w:tc>
      </w:tr>
      <w:tr>
        <w:tc>
          <w:tcPr>
            <w:tcW w:type="dxa" w:w="6768"/>
            <w:shd w:fill="EEF5F7"/>
            <w:vAlign w:val="center"/>
          </w:tcPr>
          <w:p>
            <w:pPr>
              <w:spacing w:after="0"/>
            </w:pPr>
            <w:r>
              <w:rPr>
                <w:rFonts w:ascii="Aptos" w:hAnsi="Aptos"/>
                <w:color w:val="152A3B"/>
                <w:sz w:val="17"/>
              </w:rPr>
              <w:t>Active Mode question</w:t>
            </w:r>
          </w:p>
        </w:tc>
        <w:tc>
          <w:tcPr>
            <w:tcW w:type="dxa" w:w="3456"/>
            <w:vAlign w:val="center"/>
          </w:tcPr>
          <w:p>
            <w:pPr>
              <w:spacing w:after="0"/>
            </w:pPr>
            <w:r>
              <w:rPr>
                <w:rFonts w:ascii="Aptos" w:hAnsi="Aptos"/>
                <w:color w:val="152A3B"/>
                <w:sz w:val="17"/>
              </w:rPr>
              <w:t>Required</w:t>
            </w:r>
          </w:p>
        </w:tc>
      </w:tr>
      <w:tr>
        <w:tc>
          <w:tcPr>
            <w:tcW w:type="dxa" w:w="6768"/>
            <w:shd w:fill="EEF5F7"/>
            <w:vAlign w:val="center"/>
          </w:tcPr>
          <w:p>
            <w:pPr>
              <w:spacing w:after="0"/>
            </w:pPr>
            <w:r>
              <w:rPr>
                <w:rFonts w:ascii="Aptos" w:hAnsi="Aptos"/>
                <w:color w:val="152A3B"/>
                <w:sz w:val="17"/>
              </w:rPr>
              <w:t>Generated practice cases</w:t>
            </w:r>
          </w:p>
        </w:tc>
        <w:tc>
          <w:tcPr>
            <w:tcW w:type="dxa" w:w="3456"/>
            <w:vAlign w:val="center"/>
          </w:tcPr>
          <w:p>
            <w:pPr>
              <w:spacing w:after="0"/>
            </w:pPr>
            <w:r>
              <w:rPr>
                <w:rFonts w:ascii="Aptos" w:hAnsi="Aptos"/>
                <w:color w:val="152A3B"/>
                <w:sz w:val="17"/>
              </w:rPr>
              <w:t>Required</w:t>
            </w:r>
          </w:p>
        </w:tc>
      </w:tr>
      <w:tr>
        <w:tc>
          <w:tcPr>
            <w:tcW w:type="dxa" w:w="6768"/>
            <w:shd w:fill="EEF5F7"/>
            <w:vAlign w:val="center"/>
          </w:tcPr>
          <w:p>
            <w:pPr>
              <w:spacing w:after="0"/>
            </w:pPr>
            <w:r>
              <w:rPr>
                <w:rFonts w:ascii="Aptos" w:hAnsi="Aptos"/>
                <w:color w:val="152A3B"/>
                <w:sz w:val="17"/>
              </w:rPr>
              <w:t>Voice viva</w:t>
            </w:r>
          </w:p>
        </w:tc>
        <w:tc>
          <w:tcPr>
            <w:tcW w:type="dxa" w:w="3456"/>
            <w:vAlign w:val="center"/>
          </w:tcPr>
          <w:p>
            <w:pPr>
              <w:spacing w:after="0"/>
            </w:pPr>
            <w:r>
              <w:rPr>
                <w:rFonts w:ascii="Aptos" w:hAnsi="Aptos"/>
                <w:color w:val="152A3B"/>
                <w:sz w:val="17"/>
              </w:rPr>
              <w:t>Required</w:t>
            </w:r>
          </w:p>
        </w:tc>
      </w:tr>
      <w:tr>
        <w:tc>
          <w:tcPr>
            <w:tcW w:type="dxa" w:w="6768"/>
            <w:shd w:fill="EEF5F7"/>
            <w:vAlign w:val="center"/>
          </w:tcPr>
          <w:p>
            <w:pPr>
              <w:spacing w:after="0"/>
            </w:pPr>
            <w:r>
              <w:rPr>
                <w:rFonts w:ascii="Aptos" w:hAnsi="Aptos"/>
                <w:color w:val="152A3B"/>
                <w:sz w:val="17"/>
              </w:rPr>
              <w:t>Mastery update</w:t>
            </w:r>
          </w:p>
        </w:tc>
        <w:tc>
          <w:tcPr>
            <w:tcW w:type="dxa" w:w="3456"/>
            <w:vAlign w:val="center"/>
          </w:tcPr>
          <w:p>
            <w:pPr>
              <w:spacing w:after="0"/>
            </w:pPr>
            <w:r>
              <w:rPr>
                <w:rFonts w:ascii="Aptos" w:hAnsi="Aptos"/>
                <w:color w:val="152A3B"/>
                <w:sz w:val="17"/>
              </w:rPr>
              <w:t>Required</w:t>
            </w:r>
          </w:p>
        </w:tc>
      </w:tr>
    </w:tbl>
    <w:p>
      <w:pPr>
        <w:spacing w:after="40"/>
      </w:pPr>
    </w:p>
    <w:p>
      <w:pPr>
        <w:pStyle w:val="Heading1"/>
      </w:pPr>
      <w:r>
        <w:rPr>
          <w:rFonts w:ascii="Aptos" w:hAnsi="Aptos"/>
          <w:b/>
          <w:color w:val="081726"/>
          <w:sz w:val="44"/>
        </w:rPr>
        <w:t>7. Adaptive AI Tutor and Mastery Engine</w:t>
      </w:r>
    </w:p>
    <w:p>
      <w:pPr>
        <w:spacing w:after="120"/>
      </w:pPr>
      <w:r>
        <w:rPr>
          <w:rFonts w:ascii="Aptos" w:hAnsi="Aptos"/>
        </w:rPr>
        <w:t>The tutor should not assign simplistic permanent labels such as “visual learner.” It should adapt from observed evidence: concept mastery, misconceptions, preferred explanation depth, response latency, confidence, language, chat/voice behavior and retention over time. Research on intelligent tutoring suggests benefits are strongest when the interaction is deliberately designed around pedagogy and feedback rather than left as unrestricted chat. [S10]</w:t>
      </w:r>
    </w:p>
    <w:p>
      <w:pPr>
        <w:pStyle w:val="Heading2"/>
        <w:spacing w:before="160" w:after="80"/>
      </w:pPr>
      <w:r>
        <w:rPr>
          <w:rFonts w:ascii="Aptos" w:hAnsi="Aptos"/>
          <w:b/>
          <w:color w:val="2CB9B9"/>
          <w:sz w:val="30"/>
        </w:rPr>
        <w:t>7.1 Learner state</w:t>
      </w:r>
    </w:p>
    <w:tbl>
      <w:tblPr>
        <w:tblStyle w:val="TableGrid"/>
        <w:tblW w:type="auto" w:w="0"/>
        <w:jc w:val="center"/>
        <w:tblLook w:firstColumn="1" w:firstRow="1" w:lastColumn="0" w:lastRow="0" w:noHBand="0" w:noVBand="1" w:val="04A0"/>
      </w:tblPr>
      <w:tblGrid>
        <w:gridCol w:w="3408"/>
        <w:gridCol w:w="3408"/>
        <w:gridCol w:w="3408"/>
      </w:tblGrid>
      <w:tr>
        <w:tc>
          <w:tcPr>
            <w:tcW w:type="dxa" w:w="2088"/>
            <w:shd w:fill="081726"/>
            <w:vAlign w:val="center"/>
          </w:tcPr>
          <w:p>
            <w:pPr>
              <w:jc w:val="center"/>
            </w:pPr>
            <w:r>
              <w:rPr>
                <w:rFonts w:ascii="Aptos" w:hAnsi="Aptos"/>
                <w:b/>
                <w:color w:val="FFFFFF"/>
                <w:sz w:val="16"/>
              </w:rPr>
              <w:t>Dimension</w:t>
            </w:r>
          </w:p>
        </w:tc>
        <w:tc>
          <w:tcPr>
            <w:tcW w:type="dxa" w:w="3456"/>
            <w:shd w:fill="081726"/>
            <w:vAlign w:val="center"/>
          </w:tcPr>
          <w:p>
            <w:pPr>
              <w:jc w:val="center"/>
            </w:pPr>
            <w:r>
              <w:rPr>
                <w:rFonts w:ascii="Aptos" w:hAnsi="Aptos"/>
                <w:b/>
                <w:color w:val="FFFFFF"/>
                <w:sz w:val="16"/>
              </w:rPr>
              <w:t>Example signal</w:t>
            </w:r>
          </w:p>
        </w:tc>
        <w:tc>
          <w:tcPr>
            <w:tcW w:type="dxa" w:w="4680"/>
            <w:shd w:fill="081726"/>
            <w:vAlign w:val="center"/>
          </w:tcPr>
          <w:p>
            <w:pPr>
              <w:jc w:val="center"/>
            </w:pPr>
            <w:r>
              <w:rPr>
                <w:rFonts w:ascii="Aptos" w:hAnsi="Aptos"/>
                <w:b/>
                <w:color w:val="FFFFFF"/>
                <w:sz w:val="16"/>
              </w:rPr>
              <w:t>Tutor adaptation</w:t>
            </w:r>
          </w:p>
        </w:tc>
      </w:tr>
      <w:tr>
        <w:tc>
          <w:tcPr>
            <w:tcW w:type="dxa" w:w="2088"/>
            <w:shd w:fill="EEF5F7"/>
            <w:vAlign w:val="center"/>
          </w:tcPr>
          <w:p>
            <w:pPr>
              <w:spacing w:after="0"/>
            </w:pPr>
            <w:r>
              <w:rPr>
                <w:rFonts w:ascii="Aptos" w:hAnsi="Aptos"/>
                <w:color w:val="152A3B"/>
                <w:sz w:val="16"/>
              </w:rPr>
              <w:t>Mastery</w:t>
            </w:r>
          </w:p>
        </w:tc>
        <w:tc>
          <w:tcPr>
            <w:tcW w:type="dxa" w:w="3456"/>
            <w:vAlign w:val="center"/>
          </w:tcPr>
          <w:p>
            <w:pPr>
              <w:spacing w:after="0"/>
            </w:pPr>
            <w:r>
              <w:rPr>
                <w:rFonts w:ascii="Aptos" w:hAnsi="Aptos"/>
                <w:color w:val="152A3B"/>
                <w:sz w:val="16"/>
              </w:rPr>
              <w:t>CRE classification 62%</w:t>
            </w:r>
          </w:p>
        </w:tc>
        <w:tc>
          <w:tcPr>
            <w:tcW w:type="dxa" w:w="4680"/>
            <w:vAlign w:val="center"/>
          </w:tcPr>
          <w:p>
            <w:pPr>
              <w:spacing w:after="0"/>
            </w:pPr>
            <w:r>
              <w:rPr>
                <w:rFonts w:ascii="Aptos" w:hAnsi="Aptos"/>
                <w:color w:val="152A3B"/>
                <w:sz w:val="16"/>
              </w:rPr>
              <w:t>Return to prerequisite and generate targeted cases.</w:t>
            </w:r>
          </w:p>
        </w:tc>
      </w:tr>
      <w:tr>
        <w:tc>
          <w:tcPr>
            <w:tcW w:type="dxa" w:w="2088"/>
            <w:shd w:fill="EEF5F7"/>
            <w:vAlign w:val="center"/>
          </w:tcPr>
          <w:p>
            <w:pPr>
              <w:spacing w:after="0"/>
            </w:pPr>
            <w:r>
              <w:rPr>
                <w:rFonts w:ascii="Aptos" w:hAnsi="Aptos"/>
                <w:color w:val="152A3B"/>
                <w:sz w:val="16"/>
              </w:rPr>
              <w:t>Misconception</w:t>
            </w:r>
          </w:p>
        </w:tc>
        <w:tc>
          <w:tcPr>
            <w:tcW w:type="dxa" w:w="3456"/>
            <w:vAlign w:val="center"/>
          </w:tcPr>
          <w:p>
            <w:pPr>
              <w:spacing w:after="0"/>
            </w:pPr>
            <w:r>
              <w:rPr>
                <w:rFonts w:ascii="Aptos" w:hAnsi="Aptos"/>
                <w:color w:val="152A3B"/>
                <w:sz w:val="16"/>
              </w:rPr>
              <w:t>“EAD always equals outstanding balance”</w:t>
            </w:r>
          </w:p>
        </w:tc>
        <w:tc>
          <w:tcPr>
            <w:tcW w:type="dxa" w:w="4680"/>
            <w:vAlign w:val="center"/>
          </w:tcPr>
          <w:p>
            <w:pPr>
              <w:spacing w:after="0"/>
            </w:pPr>
            <w:r>
              <w:rPr>
                <w:rFonts w:ascii="Aptos" w:hAnsi="Aptos"/>
                <w:color w:val="152A3B"/>
                <w:sz w:val="16"/>
              </w:rPr>
              <w:t>Deliberately introduce off-balance-sheet examples.</w:t>
            </w:r>
          </w:p>
        </w:tc>
      </w:tr>
      <w:tr>
        <w:tc>
          <w:tcPr>
            <w:tcW w:type="dxa" w:w="2088"/>
            <w:shd w:fill="EEF5F7"/>
            <w:vAlign w:val="center"/>
          </w:tcPr>
          <w:p>
            <w:pPr>
              <w:spacing w:after="0"/>
            </w:pPr>
            <w:r>
              <w:rPr>
                <w:rFonts w:ascii="Aptos" w:hAnsi="Aptos"/>
                <w:color w:val="152A3B"/>
                <w:sz w:val="16"/>
              </w:rPr>
              <w:t>Explanation preference</w:t>
            </w:r>
          </w:p>
        </w:tc>
        <w:tc>
          <w:tcPr>
            <w:tcW w:type="dxa" w:w="3456"/>
            <w:vAlign w:val="center"/>
          </w:tcPr>
          <w:p>
            <w:pPr>
              <w:spacing w:after="0"/>
            </w:pPr>
            <w:r>
              <w:rPr>
                <w:rFonts w:ascii="Aptos" w:hAnsi="Aptos"/>
                <w:color w:val="152A3B"/>
                <w:sz w:val="16"/>
              </w:rPr>
              <w:t>Worked examples produce higher subsequent accuracy</w:t>
            </w:r>
          </w:p>
        </w:tc>
        <w:tc>
          <w:tcPr>
            <w:tcW w:type="dxa" w:w="4680"/>
            <w:vAlign w:val="center"/>
          </w:tcPr>
          <w:p>
            <w:pPr>
              <w:spacing w:after="0"/>
            </w:pPr>
            <w:r>
              <w:rPr>
                <w:rFonts w:ascii="Aptos" w:hAnsi="Aptos"/>
                <w:color w:val="152A3B"/>
                <w:sz w:val="16"/>
              </w:rPr>
              <w:t>Lead with example before abstract text.</w:t>
            </w:r>
          </w:p>
        </w:tc>
      </w:tr>
      <w:tr>
        <w:tc>
          <w:tcPr>
            <w:tcW w:type="dxa" w:w="2088"/>
            <w:shd w:fill="EEF5F7"/>
            <w:vAlign w:val="center"/>
          </w:tcPr>
          <w:p>
            <w:pPr>
              <w:spacing w:after="0"/>
            </w:pPr>
            <w:r>
              <w:rPr>
                <w:rFonts w:ascii="Aptos" w:hAnsi="Aptos"/>
                <w:color w:val="152A3B"/>
                <w:sz w:val="16"/>
              </w:rPr>
              <w:t>Language</w:t>
            </w:r>
          </w:p>
        </w:tc>
        <w:tc>
          <w:tcPr>
            <w:tcW w:type="dxa" w:w="3456"/>
            <w:vAlign w:val="center"/>
          </w:tcPr>
          <w:p>
            <w:pPr>
              <w:spacing w:after="0"/>
            </w:pPr>
            <w:r>
              <w:rPr>
                <w:rFonts w:ascii="Aptos" w:hAnsi="Aptos"/>
                <w:color w:val="152A3B"/>
                <w:sz w:val="16"/>
              </w:rPr>
              <w:t>Arabic preferred; English terms retained</w:t>
            </w:r>
          </w:p>
        </w:tc>
        <w:tc>
          <w:tcPr>
            <w:tcW w:type="dxa" w:w="4680"/>
            <w:vAlign w:val="center"/>
          </w:tcPr>
          <w:p>
            <w:pPr>
              <w:spacing w:after="0"/>
            </w:pPr>
            <w:r>
              <w:rPr>
                <w:rFonts w:ascii="Aptos" w:hAnsi="Aptos"/>
                <w:color w:val="152A3B"/>
                <w:sz w:val="16"/>
              </w:rPr>
              <w:t>Use MSA explanation with English banking abbreviations.</w:t>
            </w:r>
          </w:p>
        </w:tc>
      </w:tr>
      <w:tr>
        <w:tc>
          <w:tcPr>
            <w:tcW w:type="dxa" w:w="2088"/>
            <w:shd w:fill="EEF5F7"/>
            <w:vAlign w:val="center"/>
          </w:tcPr>
          <w:p>
            <w:pPr>
              <w:spacing w:after="0"/>
            </w:pPr>
            <w:r>
              <w:rPr>
                <w:rFonts w:ascii="Aptos" w:hAnsi="Aptos"/>
                <w:color w:val="152A3B"/>
                <w:sz w:val="16"/>
              </w:rPr>
              <w:t>Confidence vs correctness</w:t>
            </w:r>
          </w:p>
        </w:tc>
        <w:tc>
          <w:tcPr>
            <w:tcW w:type="dxa" w:w="3456"/>
            <w:vAlign w:val="center"/>
          </w:tcPr>
          <w:p>
            <w:pPr>
              <w:spacing w:after="0"/>
            </w:pPr>
            <w:r>
              <w:rPr>
                <w:rFonts w:ascii="Aptos" w:hAnsi="Aptos"/>
                <w:color w:val="152A3B"/>
                <w:sz w:val="16"/>
              </w:rPr>
              <w:t>High confidence / wrong answer</w:t>
            </w:r>
          </w:p>
        </w:tc>
        <w:tc>
          <w:tcPr>
            <w:tcW w:type="dxa" w:w="4680"/>
            <w:vAlign w:val="center"/>
          </w:tcPr>
          <w:p>
            <w:pPr>
              <w:spacing w:after="0"/>
            </w:pPr>
            <w:r>
              <w:rPr>
                <w:rFonts w:ascii="Aptos" w:hAnsi="Aptos"/>
                <w:color w:val="152A3B"/>
                <w:sz w:val="16"/>
              </w:rPr>
              <w:t>Use Socratic challenge and request reasoning.</w:t>
            </w:r>
          </w:p>
        </w:tc>
      </w:tr>
      <w:tr>
        <w:tc>
          <w:tcPr>
            <w:tcW w:type="dxa" w:w="2088"/>
            <w:shd w:fill="EEF5F7"/>
            <w:vAlign w:val="center"/>
          </w:tcPr>
          <w:p>
            <w:pPr>
              <w:spacing w:after="0"/>
            </w:pPr>
            <w:r>
              <w:rPr>
                <w:rFonts w:ascii="Aptos" w:hAnsi="Aptos"/>
                <w:color w:val="152A3B"/>
                <w:sz w:val="16"/>
              </w:rPr>
              <w:t>Retention</w:t>
            </w:r>
          </w:p>
        </w:tc>
        <w:tc>
          <w:tcPr>
            <w:tcW w:type="dxa" w:w="3456"/>
            <w:vAlign w:val="center"/>
          </w:tcPr>
          <w:p>
            <w:pPr>
              <w:spacing w:after="0"/>
            </w:pPr>
            <w:r>
              <w:rPr>
                <w:rFonts w:ascii="Aptos" w:hAnsi="Aptos"/>
                <w:color w:val="152A3B"/>
                <w:sz w:val="16"/>
              </w:rPr>
              <w:t>Concept decays after 7 days</w:t>
            </w:r>
          </w:p>
        </w:tc>
        <w:tc>
          <w:tcPr>
            <w:tcW w:type="dxa" w:w="4680"/>
            <w:vAlign w:val="center"/>
          </w:tcPr>
          <w:p>
            <w:pPr>
              <w:spacing w:after="0"/>
            </w:pPr>
            <w:r>
              <w:rPr>
                <w:rFonts w:ascii="Aptos" w:hAnsi="Aptos"/>
                <w:color w:val="152A3B"/>
                <w:sz w:val="16"/>
              </w:rPr>
              <w:t>Schedule spaced review.</w:t>
            </w:r>
          </w:p>
        </w:tc>
      </w:tr>
      <w:tr>
        <w:tc>
          <w:tcPr>
            <w:tcW w:type="dxa" w:w="2088"/>
            <w:shd w:fill="EEF5F7"/>
            <w:vAlign w:val="center"/>
          </w:tcPr>
          <w:p>
            <w:pPr>
              <w:spacing w:after="0"/>
            </w:pPr>
            <w:r>
              <w:rPr>
                <w:rFonts w:ascii="Aptos" w:hAnsi="Aptos"/>
                <w:color w:val="152A3B"/>
                <w:sz w:val="16"/>
              </w:rPr>
              <w:t>Interaction mode</w:t>
            </w:r>
          </w:p>
        </w:tc>
        <w:tc>
          <w:tcPr>
            <w:tcW w:type="dxa" w:w="3456"/>
            <w:vAlign w:val="center"/>
          </w:tcPr>
          <w:p>
            <w:pPr>
              <w:spacing w:after="0"/>
            </w:pPr>
            <w:r>
              <w:rPr>
                <w:rFonts w:ascii="Aptos" w:hAnsi="Aptos"/>
                <w:color w:val="152A3B"/>
                <w:sz w:val="16"/>
              </w:rPr>
              <w:t>Voice used heavily</w:t>
            </w:r>
          </w:p>
        </w:tc>
        <w:tc>
          <w:tcPr>
            <w:tcW w:type="dxa" w:w="4680"/>
            <w:vAlign w:val="center"/>
          </w:tcPr>
          <w:p>
            <w:pPr>
              <w:spacing w:after="0"/>
            </w:pPr>
            <w:r>
              <w:rPr>
                <w:rFonts w:ascii="Aptos" w:hAnsi="Aptos"/>
                <w:color w:val="152A3B"/>
                <w:sz w:val="16"/>
              </w:rPr>
              <w:t>Offer voice-first practice and viva.</w:t>
            </w:r>
          </w:p>
        </w:tc>
      </w:tr>
    </w:tbl>
    <w:p>
      <w:pPr>
        <w:spacing w:after="40"/>
      </w:pPr>
    </w:p>
    <w:p>
      <w:pPr>
        <w:pStyle w:val="Heading2"/>
        <w:spacing w:before="160" w:after="80"/>
      </w:pPr>
      <w:r>
        <w:rPr>
          <w:rFonts w:ascii="Aptos" w:hAnsi="Aptos"/>
          <w:b/>
          <w:color w:val="2CB9B9"/>
          <w:sz w:val="30"/>
        </w:rPr>
        <w:t>7.2 Tutor modes</w:t>
      </w:r>
    </w:p>
    <w:p>
      <w:pPr>
        <w:pStyle w:val="ListBullet"/>
        <w:spacing w:after="60"/>
      </w:pPr>
      <w:r>
        <w:rPr>
          <w:rFonts w:ascii="Aptos" w:hAnsi="Aptos"/>
          <w:color w:val="152A3B"/>
        </w:rPr>
        <w:t>Teacher</w:t>
      </w:r>
    </w:p>
    <w:p>
      <w:pPr>
        <w:pStyle w:val="ListBullet"/>
        <w:spacing w:after="60"/>
      </w:pPr>
      <w:r>
        <w:rPr>
          <w:rFonts w:ascii="Aptos" w:hAnsi="Aptos"/>
          <w:color w:val="152A3B"/>
        </w:rPr>
        <w:t>Socratic Tutor</w:t>
      </w:r>
    </w:p>
    <w:p>
      <w:pPr>
        <w:pStyle w:val="ListBullet"/>
        <w:spacing w:after="60"/>
      </w:pPr>
      <w:r>
        <w:rPr>
          <w:rFonts w:ascii="Aptos" w:hAnsi="Aptos"/>
          <w:color w:val="152A3B"/>
        </w:rPr>
        <w:t>Calculation Coach</w:t>
      </w:r>
    </w:p>
    <w:p>
      <w:pPr>
        <w:pStyle w:val="ListBullet"/>
        <w:spacing w:after="60"/>
      </w:pPr>
      <w:r>
        <w:rPr>
          <w:rFonts w:ascii="Aptos" w:hAnsi="Aptos"/>
          <w:color w:val="152A3B"/>
        </w:rPr>
        <w:t>Practitioner</w:t>
      </w:r>
    </w:p>
    <w:p>
      <w:pPr>
        <w:pStyle w:val="ListBullet"/>
        <w:spacing w:after="60"/>
      </w:pPr>
      <w:r>
        <w:rPr>
          <w:rFonts w:ascii="Aptos" w:hAnsi="Aptos"/>
          <w:color w:val="152A3B"/>
        </w:rPr>
        <w:t>Examiner / Voice Viva</w:t>
      </w:r>
    </w:p>
    <w:p>
      <w:pPr>
        <w:pStyle w:val="ListBullet"/>
        <w:spacing w:after="60"/>
      </w:pPr>
      <w:r>
        <w:rPr>
          <w:rFonts w:ascii="Aptos" w:hAnsi="Aptos"/>
          <w:color w:val="152A3B"/>
        </w:rPr>
        <w:t>Interview Simulator</w:t>
      </w:r>
    </w:p>
    <w:p>
      <w:pPr>
        <w:pStyle w:val="ListBullet"/>
        <w:spacing w:after="60"/>
      </w:pPr>
      <w:r>
        <w:rPr>
          <w:rFonts w:ascii="Aptos" w:hAnsi="Aptos"/>
          <w:color w:val="152A3B"/>
        </w:rPr>
        <w:t>Jurisdiction Expert</w:t>
      </w:r>
    </w:p>
    <w:p>
      <w:pPr>
        <w:pStyle w:val="ListBullet"/>
        <w:spacing w:after="60"/>
      </w:pPr>
      <w:r>
        <w:rPr>
          <w:rFonts w:ascii="Aptos" w:hAnsi="Aptos"/>
          <w:color w:val="152A3B"/>
        </w:rPr>
        <w:t>Whiteboard Explainer</w:t>
      </w:r>
    </w:p>
    <w:p>
      <w:pPr>
        <w:pStyle w:val="Heading1"/>
      </w:pPr>
      <w:r>
        <w:rPr>
          <w:rFonts w:ascii="Aptos" w:hAnsi="Aptos"/>
          <w:b/>
          <w:color w:val="081726"/>
          <w:sz w:val="44"/>
        </w:rPr>
        <w:t>8. Multilingual, Voice and Digital Instructor Strategy</w:t>
      </w:r>
    </w:p>
    <w:p>
      <w:pPr>
        <w:spacing w:after="120"/>
      </w:pPr>
      <w:r>
        <w:rPr>
          <w:rFonts w:ascii="Aptos" w:hAnsi="Aptos"/>
        </w:rPr>
        <w:t>Launch languages should be English and Arabic. Additional languages should be added from demand data, with likely candidates including Hindi, French, Spanish and Portuguese. The regulatory and calculation layers remain language-neutral; only teaching, narration and UI localization change.</w:t>
      </w:r>
    </w:p>
    <w:tbl>
      <w:tblPr>
        <w:tblStyle w:val="TableGrid"/>
        <w:tblW w:type="auto" w:w="0"/>
        <w:jc w:val="center"/>
        <w:tblLook w:firstColumn="1" w:firstRow="1" w:lastColumn="0" w:lastRow="0" w:noHBand="0" w:noVBand="1" w:val="04A0"/>
      </w:tblPr>
      <w:tblGrid>
        <w:gridCol w:w="5112"/>
        <w:gridCol w:w="5112"/>
      </w:tblGrid>
      <w:tr>
        <w:tc>
          <w:tcPr>
            <w:tcW w:type="dxa" w:w="2304"/>
            <w:shd w:fill="081726"/>
            <w:vAlign w:val="center"/>
          </w:tcPr>
          <w:p>
            <w:pPr>
              <w:jc w:val="center"/>
            </w:pPr>
            <w:r>
              <w:rPr>
                <w:rFonts w:ascii="Aptos" w:hAnsi="Aptos"/>
                <w:b/>
                <w:color w:val="FFFFFF"/>
                <w:sz w:val="16"/>
              </w:rPr>
              <w:t>Layer</w:t>
            </w:r>
          </w:p>
        </w:tc>
        <w:tc>
          <w:tcPr>
            <w:tcW w:type="dxa" w:w="7920"/>
            <w:shd w:fill="081726"/>
            <w:vAlign w:val="center"/>
          </w:tcPr>
          <w:p>
            <w:pPr>
              <w:jc w:val="center"/>
            </w:pPr>
            <w:r>
              <w:rPr>
                <w:rFonts w:ascii="Aptos" w:hAnsi="Aptos"/>
                <w:b/>
                <w:color w:val="FFFFFF"/>
                <w:sz w:val="16"/>
              </w:rPr>
              <w:t>Launch design</w:t>
            </w:r>
          </w:p>
        </w:tc>
      </w:tr>
      <w:tr>
        <w:tc>
          <w:tcPr>
            <w:tcW w:type="dxa" w:w="2304"/>
            <w:shd w:fill="EEF5F7"/>
            <w:vAlign w:val="center"/>
          </w:tcPr>
          <w:p>
            <w:pPr>
              <w:spacing w:after="0"/>
            </w:pPr>
            <w:r>
              <w:rPr>
                <w:rFonts w:ascii="Aptos" w:hAnsi="Aptos"/>
                <w:color w:val="152A3B"/>
                <w:sz w:val="16"/>
              </w:rPr>
              <w:t>Formal Arabic</w:t>
            </w:r>
          </w:p>
        </w:tc>
        <w:tc>
          <w:tcPr>
            <w:tcW w:type="dxa" w:w="7920"/>
            <w:vAlign w:val="center"/>
          </w:tcPr>
          <w:p>
            <w:pPr>
              <w:spacing w:after="0"/>
            </w:pPr>
            <w:r>
              <w:rPr>
                <w:rFonts w:ascii="Aptos" w:hAnsi="Aptos"/>
                <w:color w:val="152A3B"/>
                <w:sz w:val="16"/>
              </w:rPr>
              <w:t>Modern Standard Arabic for professional/regulatory instruction.</w:t>
            </w:r>
          </w:p>
        </w:tc>
      </w:tr>
      <w:tr>
        <w:tc>
          <w:tcPr>
            <w:tcW w:type="dxa" w:w="2304"/>
            <w:shd w:fill="EEF5F7"/>
            <w:vAlign w:val="center"/>
          </w:tcPr>
          <w:p>
            <w:pPr>
              <w:spacing w:after="0"/>
            </w:pPr>
            <w:r>
              <w:rPr>
                <w:rFonts w:ascii="Aptos" w:hAnsi="Aptos"/>
                <w:color w:val="152A3B"/>
                <w:sz w:val="16"/>
              </w:rPr>
              <w:t>Terminology</w:t>
            </w:r>
          </w:p>
        </w:tc>
        <w:tc>
          <w:tcPr>
            <w:tcW w:type="dxa" w:w="7920"/>
            <w:vAlign w:val="center"/>
          </w:tcPr>
          <w:p>
            <w:pPr>
              <w:spacing w:after="0"/>
            </w:pPr>
            <w:r>
              <w:rPr>
                <w:rFonts w:ascii="Aptos" w:hAnsi="Aptos"/>
                <w:color w:val="152A3B"/>
                <w:sz w:val="16"/>
              </w:rPr>
              <w:t>Preserve major English abbreviations and optionally show Arabic + English financial terms.</w:t>
            </w:r>
          </w:p>
        </w:tc>
      </w:tr>
      <w:tr>
        <w:tc>
          <w:tcPr>
            <w:tcW w:type="dxa" w:w="2304"/>
            <w:shd w:fill="EEF5F7"/>
            <w:vAlign w:val="center"/>
          </w:tcPr>
          <w:p>
            <w:pPr>
              <w:spacing w:after="0"/>
            </w:pPr>
            <w:r>
              <w:rPr>
                <w:rFonts w:ascii="Aptos" w:hAnsi="Aptos"/>
                <w:color w:val="152A3B"/>
                <w:sz w:val="16"/>
              </w:rPr>
              <w:t>Conversation</w:t>
            </w:r>
          </w:p>
        </w:tc>
        <w:tc>
          <w:tcPr>
            <w:tcW w:type="dxa" w:w="7920"/>
            <w:vAlign w:val="center"/>
          </w:tcPr>
          <w:p>
            <w:pPr>
              <w:spacing w:after="0"/>
            </w:pPr>
            <w:r>
              <w:rPr>
                <w:rFonts w:ascii="Aptos" w:hAnsi="Aptos"/>
                <w:color w:val="152A3B"/>
                <w:sz w:val="16"/>
              </w:rPr>
              <w:t>Support Arabic, English and mixed Arabic-English questions.</w:t>
            </w:r>
          </w:p>
        </w:tc>
      </w:tr>
      <w:tr>
        <w:tc>
          <w:tcPr>
            <w:tcW w:type="dxa" w:w="2304"/>
            <w:shd w:fill="EEF5F7"/>
            <w:vAlign w:val="center"/>
          </w:tcPr>
          <w:p>
            <w:pPr>
              <w:spacing w:after="0"/>
            </w:pPr>
            <w:r>
              <w:rPr>
                <w:rFonts w:ascii="Aptos" w:hAnsi="Aptos"/>
                <w:color w:val="152A3B"/>
                <w:sz w:val="16"/>
              </w:rPr>
              <w:t>Regulatory source</w:t>
            </w:r>
          </w:p>
        </w:tc>
        <w:tc>
          <w:tcPr>
            <w:tcW w:type="dxa" w:w="7920"/>
            <w:vAlign w:val="center"/>
          </w:tcPr>
          <w:p>
            <w:pPr>
              <w:spacing w:after="0"/>
            </w:pPr>
            <w:r>
              <w:rPr>
                <w:rFonts w:ascii="Aptos" w:hAnsi="Aptos"/>
                <w:color w:val="152A3B"/>
                <w:sz w:val="16"/>
              </w:rPr>
              <w:t>Show original source text where relevant and local-language explanation separately.</w:t>
            </w:r>
          </w:p>
        </w:tc>
      </w:tr>
      <w:tr>
        <w:tc>
          <w:tcPr>
            <w:tcW w:type="dxa" w:w="2304"/>
            <w:shd w:fill="EEF5F7"/>
            <w:vAlign w:val="center"/>
          </w:tcPr>
          <w:p>
            <w:pPr>
              <w:spacing w:after="0"/>
            </w:pPr>
            <w:r>
              <w:rPr>
                <w:rFonts w:ascii="Aptos" w:hAnsi="Aptos"/>
                <w:color w:val="152A3B"/>
                <w:sz w:val="16"/>
              </w:rPr>
              <w:t>Voice choice</w:t>
            </w:r>
          </w:p>
        </w:tc>
        <w:tc>
          <w:tcPr>
            <w:tcW w:type="dxa" w:w="7920"/>
            <w:vAlign w:val="center"/>
          </w:tcPr>
          <w:p>
            <w:pPr>
              <w:spacing w:after="0"/>
            </w:pPr>
            <w:r>
              <w:rPr>
                <w:rFonts w:ascii="Aptos" w:hAnsi="Aptos"/>
                <w:color w:val="152A3B"/>
                <w:sz w:val="16"/>
              </w:rPr>
              <w:t>Founder cloned voice for English; test multilingual clone; offer native Arabic professional voice.</w:t>
            </w:r>
          </w:p>
        </w:tc>
      </w:tr>
      <w:tr>
        <w:tc>
          <w:tcPr>
            <w:tcW w:type="dxa" w:w="2304"/>
            <w:shd w:fill="EEF5F7"/>
            <w:vAlign w:val="center"/>
          </w:tcPr>
          <w:p>
            <w:pPr>
              <w:spacing w:after="0"/>
            </w:pPr>
            <w:r>
              <w:rPr>
                <w:rFonts w:ascii="Aptos" w:hAnsi="Aptos"/>
                <w:color w:val="152A3B"/>
                <w:sz w:val="16"/>
              </w:rPr>
              <w:t>Subtitles / transcript</w:t>
            </w:r>
          </w:p>
        </w:tc>
        <w:tc>
          <w:tcPr>
            <w:tcW w:type="dxa" w:w="7920"/>
            <w:vAlign w:val="center"/>
          </w:tcPr>
          <w:p>
            <w:pPr>
              <w:spacing w:after="0"/>
            </w:pPr>
            <w:r>
              <w:rPr>
                <w:rFonts w:ascii="Aptos" w:hAnsi="Aptos"/>
                <w:color w:val="152A3B"/>
                <w:sz w:val="16"/>
              </w:rPr>
              <w:t>English and Arabic always available at launch.</w:t>
            </w:r>
          </w:p>
        </w:tc>
      </w:tr>
    </w:tbl>
    <w:p>
      <w:pPr>
        <w:spacing w:after="40"/>
      </w:pPr>
    </w:p>
    <w:p>
      <w:pPr>
        <w:spacing w:after="120"/>
      </w:pPr>
      <w:r>
        <w:rPr>
          <w:rFonts w:ascii="Aptos" w:hAnsi="Aptos"/>
        </w:rPr>
        <w:t>Current voice platforms can clone a user’s own voice and generate multilingual speech; ElevenLabs markets Arabic TTS, multilingual voice cloning and 70+ language voice generation. HeyGen markets multilingual avatar/digital-twin workflows and realtime avatar interaction. These are implementation accelerators, not strategic moats. [S11][S12][S13]</w:t>
      </w:r>
    </w:p>
    <w:tbl>
      <w:tblPr>
        <w:tblW w:type="auto" w:w="0"/>
        <w:jc w:val="center"/>
        <w:tblLayout w:type="fixed"/>
        <w:tblLook w:firstColumn="1" w:firstRow="1" w:lastColumn="0" w:lastRow="0" w:noHBand="0" w:noVBand="1" w:val="04A0"/>
      </w:tblPr>
      <w:tblGrid>
        <w:gridCol w:w="9792"/>
      </w:tblGrid>
      <w:tr>
        <w:tc>
          <w:tcPr>
            <w:tcW w:type="dxa" w:w="10224"/>
            <w:shd w:fill="EAF7F7"/>
            <w:tcBorders>
              <w:top w:val="single" w:sz="12" w:color="2CB9B9"/>
              <w:left w:val="single" w:sz="12" w:color="2CB9B9"/>
              <w:bottom w:val="single" w:sz="12" w:color="2CB9B9"/>
              <w:right w:val="single" w:sz="12" w:color="2CB9B9"/>
            </w:tcBorders>
          </w:tcPr>
          <w:p>
            <w:pPr>
              <w:spacing w:after="60"/>
            </w:pPr>
            <w:r>
              <w:rPr>
                <w:rFonts w:ascii="Aptos" w:hAnsi="Aptos"/>
                <w:b/>
                <w:color w:val="2CB9B9"/>
                <w:sz w:val="24"/>
              </w:rPr>
              <w:t>Brand option</w:t>
            </w:r>
            <w:r>
              <w:rPr>
                <w:rFonts w:ascii="Aptos" w:hAnsi="Aptos"/>
                <w:color w:val="152A3B"/>
                <w:sz w:val="21"/>
              </w:rPr>
              <w:br/>
              <w:t>A consistent founder tutor persona can create continuity across Basel, ALM, FTP and future Pods, but the platform should also provide native-language professional voices when that improves pronunciation and learner trust.</w:t>
            </w:r>
          </w:p>
        </w:tc>
      </w:tr>
    </w:tbl>
    <w:p>
      <w:pPr>
        <w:spacing w:after="20"/>
      </w:pPr>
    </w:p>
    <w:p>
      <w:pPr>
        <w:pStyle w:val="Heading1"/>
      </w:pPr>
      <w:r>
        <w:rPr>
          <w:rFonts w:ascii="Aptos" w:hAnsi="Aptos"/>
          <w:b/>
          <w:color w:val="081726"/>
          <w:sz w:val="44"/>
        </w:rPr>
        <w:t>9. FinBank Digital Twin and Hands-On Labs</w:t>
      </w:r>
    </w:p>
    <w:p>
      <w:pPr>
        <w:spacing w:after="120"/>
      </w:pPr>
      <w:r>
        <w:rPr>
          <w:rFonts w:ascii="Aptos" w:hAnsi="Aptos"/>
        </w:rPr>
        <w:t>FinBank should be a persistent synthetic universal bank whose products and customers reappear across the platform. This is more valuable than disconnected case studies because the learner develops a mental model of how the bank works end-to-end.</w:t>
      </w:r>
    </w:p>
    <w:p>
      <w:pPr>
        <w:pStyle w:val="ListBullet"/>
        <w:spacing w:after="60"/>
      </w:pPr>
      <w:r>
        <w:rPr>
          <w:rFonts w:ascii="Aptos" w:hAnsi="Aptos"/>
          <w:color w:val="152A3B"/>
        </w:rPr>
        <w:t>A mortgage can be used for Basel RWA, ALM duration/IRRBB, FTP funding cost, profitability/RAROC and liquidity analysis.</w:t>
      </w:r>
    </w:p>
    <w:p>
      <w:pPr>
        <w:pStyle w:val="ListBullet"/>
        <w:spacing w:after="60"/>
      </w:pPr>
      <w:r>
        <w:rPr>
          <w:rFonts w:ascii="Aptos" w:hAnsi="Aptos"/>
          <w:color w:val="152A3B"/>
        </w:rPr>
        <w:t>A corporate customer can appear in Basel, profitability, regulatory reporting and AML/KYC casework.</w:t>
      </w:r>
    </w:p>
    <w:p>
      <w:pPr>
        <w:pStyle w:val="ListBullet"/>
        <w:spacing w:after="60"/>
      </w:pPr>
      <w:r>
        <w:rPr>
          <w:rFonts w:ascii="Aptos" w:hAnsi="Aptos"/>
          <w:color w:val="152A3B"/>
        </w:rPr>
        <w:t>A deposit can appear in ALM, FTP, liquidity and customer-profitability modules.</w:t>
      </w:r>
    </w:p>
    <w:p>
      <w:pPr>
        <w:pStyle w:val="ListBullet"/>
        <w:spacing w:after="60"/>
      </w:pPr>
      <w:r>
        <w:rPr>
          <w:rFonts w:ascii="Aptos" w:hAnsi="Aptos"/>
          <w:color w:val="152A3B"/>
        </w:rPr>
        <w:t>The same synthetic regulatory data can power reporting exercises, reconciliation and validation labs.</w:t>
      </w:r>
    </w:p>
    <w:p>
      <w:pPr>
        <w:pStyle w:val="Heading2"/>
        <w:spacing w:before="160" w:after="80"/>
      </w:pPr>
      <w:r>
        <w:rPr>
          <w:rFonts w:ascii="Aptos" w:hAnsi="Aptos"/>
          <w:b/>
          <w:color w:val="2CB9B9"/>
          <w:sz w:val="30"/>
        </w:rPr>
        <w:t>9.1 FinBank data layers</w:t>
      </w:r>
    </w:p>
    <w:tbl>
      <w:tblPr>
        <w:tblStyle w:val="TableGrid"/>
        <w:tblW w:type="auto" w:w="0"/>
        <w:jc w:val="center"/>
        <w:tblLook w:firstColumn="1" w:firstRow="1" w:lastColumn="0" w:lastRow="0" w:noHBand="0" w:noVBand="1" w:val="04A0"/>
      </w:tblPr>
      <w:tblGrid>
        <w:gridCol w:w="5112"/>
        <w:gridCol w:w="5112"/>
      </w:tblGrid>
      <w:tr>
        <w:tc>
          <w:tcPr>
            <w:tcW w:type="dxa" w:w="1944"/>
            <w:shd w:fill="081726"/>
            <w:vAlign w:val="center"/>
          </w:tcPr>
          <w:p>
            <w:pPr>
              <w:jc w:val="center"/>
            </w:pPr>
            <w:r>
              <w:rPr>
                <w:rFonts w:ascii="Aptos" w:hAnsi="Aptos"/>
                <w:b/>
                <w:color w:val="FFFFFF"/>
                <w:sz w:val="16"/>
              </w:rPr>
              <w:t>Layer</w:t>
            </w:r>
          </w:p>
        </w:tc>
        <w:tc>
          <w:tcPr>
            <w:tcW w:type="dxa" w:w="8280"/>
            <w:shd w:fill="081726"/>
            <w:vAlign w:val="center"/>
          </w:tcPr>
          <w:p>
            <w:pPr>
              <w:jc w:val="center"/>
            </w:pPr>
            <w:r>
              <w:rPr>
                <w:rFonts w:ascii="Aptos" w:hAnsi="Aptos"/>
                <w:b/>
                <w:color w:val="FFFFFF"/>
                <w:sz w:val="16"/>
              </w:rPr>
              <w:t>Representative entities</w:t>
            </w:r>
          </w:p>
        </w:tc>
      </w:tr>
      <w:tr>
        <w:tc>
          <w:tcPr>
            <w:tcW w:type="dxa" w:w="1944"/>
            <w:shd w:fill="EEF5F7"/>
            <w:vAlign w:val="center"/>
          </w:tcPr>
          <w:p>
            <w:pPr>
              <w:spacing w:after="0"/>
            </w:pPr>
            <w:r>
              <w:rPr>
                <w:rFonts w:ascii="Aptos" w:hAnsi="Aptos"/>
                <w:color w:val="152A3B"/>
                <w:sz w:val="16"/>
              </w:rPr>
              <w:t>Party</w:t>
            </w:r>
          </w:p>
        </w:tc>
        <w:tc>
          <w:tcPr>
            <w:tcW w:type="dxa" w:w="8280"/>
            <w:vAlign w:val="center"/>
          </w:tcPr>
          <w:p>
            <w:pPr>
              <w:spacing w:after="0"/>
            </w:pPr>
            <w:r>
              <w:rPr>
                <w:rFonts w:ascii="Aptos" w:hAnsi="Aptos"/>
                <w:color w:val="152A3B"/>
                <w:sz w:val="16"/>
              </w:rPr>
              <w:t>Customer, counterparty, legal entity, guarantor, issuer.</w:t>
            </w:r>
          </w:p>
        </w:tc>
      </w:tr>
      <w:tr>
        <w:tc>
          <w:tcPr>
            <w:tcW w:type="dxa" w:w="1944"/>
            <w:shd w:fill="EEF5F7"/>
            <w:vAlign w:val="center"/>
          </w:tcPr>
          <w:p>
            <w:pPr>
              <w:spacing w:after="0"/>
            </w:pPr>
            <w:r>
              <w:rPr>
                <w:rFonts w:ascii="Aptos" w:hAnsi="Aptos"/>
                <w:color w:val="152A3B"/>
                <w:sz w:val="16"/>
              </w:rPr>
              <w:t>Product</w:t>
            </w:r>
          </w:p>
        </w:tc>
        <w:tc>
          <w:tcPr>
            <w:tcW w:type="dxa" w:w="8280"/>
            <w:vAlign w:val="center"/>
          </w:tcPr>
          <w:p>
            <w:pPr>
              <w:spacing w:after="0"/>
            </w:pPr>
            <w:r>
              <w:rPr>
                <w:rFonts w:ascii="Aptos" w:hAnsi="Aptos"/>
                <w:color w:val="152A3B"/>
                <w:sz w:val="16"/>
              </w:rPr>
              <w:t>Loan, mortgage, credit card, deposit, security, derivative, commitment.</w:t>
            </w:r>
          </w:p>
        </w:tc>
      </w:tr>
      <w:tr>
        <w:tc>
          <w:tcPr>
            <w:tcW w:type="dxa" w:w="1944"/>
            <w:shd w:fill="EEF5F7"/>
            <w:vAlign w:val="center"/>
          </w:tcPr>
          <w:p>
            <w:pPr>
              <w:spacing w:after="0"/>
            </w:pPr>
            <w:r>
              <w:rPr>
                <w:rFonts w:ascii="Aptos" w:hAnsi="Aptos"/>
                <w:color w:val="152A3B"/>
                <w:sz w:val="16"/>
              </w:rPr>
              <w:t>Risk</w:t>
            </w:r>
          </w:p>
        </w:tc>
        <w:tc>
          <w:tcPr>
            <w:tcW w:type="dxa" w:w="8280"/>
            <w:vAlign w:val="center"/>
          </w:tcPr>
          <w:p>
            <w:pPr>
              <w:spacing w:after="0"/>
            </w:pPr>
            <w:r>
              <w:rPr>
                <w:rFonts w:ascii="Aptos" w:hAnsi="Aptos"/>
                <w:color w:val="152A3B"/>
                <w:sz w:val="16"/>
              </w:rPr>
              <w:t>Rating, collateral, LTV, default status, maturity, CCF, EAD.</w:t>
            </w:r>
          </w:p>
        </w:tc>
      </w:tr>
      <w:tr>
        <w:tc>
          <w:tcPr>
            <w:tcW w:type="dxa" w:w="1944"/>
            <w:shd w:fill="EEF5F7"/>
            <w:vAlign w:val="center"/>
          </w:tcPr>
          <w:p>
            <w:pPr>
              <w:spacing w:after="0"/>
            </w:pPr>
            <w:r>
              <w:rPr>
                <w:rFonts w:ascii="Aptos" w:hAnsi="Aptos"/>
                <w:color w:val="152A3B"/>
                <w:sz w:val="16"/>
              </w:rPr>
              <w:t>Treasury</w:t>
            </w:r>
          </w:p>
        </w:tc>
        <w:tc>
          <w:tcPr>
            <w:tcW w:type="dxa" w:w="8280"/>
            <w:vAlign w:val="center"/>
          </w:tcPr>
          <w:p>
            <w:pPr>
              <w:spacing w:after="0"/>
            </w:pPr>
            <w:r>
              <w:rPr>
                <w:rFonts w:ascii="Aptos" w:hAnsi="Aptos"/>
                <w:color w:val="152A3B"/>
                <w:sz w:val="16"/>
              </w:rPr>
              <w:t>Rate, repricing date, tenor, transfer price, liquidity spread.</w:t>
            </w:r>
          </w:p>
        </w:tc>
      </w:tr>
      <w:tr>
        <w:tc>
          <w:tcPr>
            <w:tcW w:type="dxa" w:w="1944"/>
            <w:shd w:fill="EEF5F7"/>
            <w:vAlign w:val="center"/>
          </w:tcPr>
          <w:p>
            <w:pPr>
              <w:spacing w:after="0"/>
            </w:pPr>
            <w:r>
              <w:rPr>
                <w:rFonts w:ascii="Aptos" w:hAnsi="Aptos"/>
                <w:color w:val="152A3B"/>
                <w:sz w:val="16"/>
              </w:rPr>
              <w:t>Finance</w:t>
            </w:r>
          </w:p>
        </w:tc>
        <w:tc>
          <w:tcPr>
            <w:tcW w:type="dxa" w:w="8280"/>
            <w:vAlign w:val="center"/>
          </w:tcPr>
          <w:p>
            <w:pPr>
              <w:spacing w:after="0"/>
            </w:pPr>
            <w:r>
              <w:rPr>
                <w:rFonts w:ascii="Aptos" w:hAnsi="Aptos"/>
                <w:color w:val="152A3B"/>
                <w:sz w:val="16"/>
              </w:rPr>
              <w:t>Revenue, interest, funding cost, expenses, allocated capital.</w:t>
            </w:r>
          </w:p>
        </w:tc>
      </w:tr>
      <w:tr>
        <w:tc>
          <w:tcPr>
            <w:tcW w:type="dxa" w:w="1944"/>
            <w:shd w:fill="EEF5F7"/>
            <w:vAlign w:val="center"/>
          </w:tcPr>
          <w:p>
            <w:pPr>
              <w:spacing w:after="0"/>
            </w:pPr>
            <w:r>
              <w:rPr>
                <w:rFonts w:ascii="Aptos" w:hAnsi="Aptos"/>
                <w:color w:val="152A3B"/>
                <w:sz w:val="16"/>
              </w:rPr>
              <w:t>Regulatory</w:t>
            </w:r>
          </w:p>
        </w:tc>
        <w:tc>
          <w:tcPr>
            <w:tcW w:type="dxa" w:w="8280"/>
            <w:vAlign w:val="center"/>
          </w:tcPr>
          <w:p>
            <w:pPr>
              <w:spacing w:after="0"/>
            </w:pPr>
            <w:r>
              <w:rPr>
                <w:rFonts w:ascii="Aptos" w:hAnsi="Aptos"/>
                <w:color w:val="152A3B"/>
                <w:sz w:val="16"/>
              </w:rPr>
              <w:t>Exposure class, risk weight, RWA, capital, report mapping.</w:t>
            </w:r>
          </w:p>
        </w:tc>
      </w:tr>
      <w:tr>
        <w:tc>
          <w:tcPr>
            <w:tcW w:type="dxa" w:w="1944"/>
            <w:shd w:fill="EEF5F7"/>
            <w:vAlign w:val="center"/>
          </w:tcPr>
          <w:p>
            <w:pPr>
              <w:spacing w:after="0"/>
            </w:pPr>
            <w:r>
              <w:rPr>
                <w:rFonts w:ascii="Aptos" w:hAnsi="Aptos"/>
                <w:color w:val="152A3B"/>
                <w:sz w:val="16"/>
              </w:rPr>
              <w:t>AML</w:t>
            </w:r>
          </w:p>
        </w:tc>
        <w:tc>
          <w:tcPr>
            <w:tcW w:type="dxa" w:w="8280"/>
            <w:vAlign w:val="center"/>
          </w:tcPr>
          <w:p>
            <w:pPr>
              <w:spacing w:after="0"/>
            </w:pPr>
            <w:r>
              <w:rPr>
                <w:rFonts w:ascii="Aptos" w:hAnsi="Aptos"/>
                <w:color w:val="152A3B"/>
                <w:sz w:val="16"/>
              </w:rPr>
              <w:t>Customer risk, KYC attributes, transactions, alerts, sanctions flags.</w:t>
            </w:r>
          </w:p>
        </w:tc>
      </w:tr>
    </w:tbl>
    <w:p>
      <w:pPr>
        <w:spacing w:after="40"/>
      </w:pPr>
    </w:p>
    <w:p>
      <w:pPr>
        <w:pStyle w:val="Heading1"/>
      </w:pPr>
      <w:r>
        <w:rPr>
          <w:rFonts w:ascii="Aptos" w:hAnsi="Aptos"/>
          <w:b/>
          <w:color w:val="081726"/>
          <w:sz w:val="44"/>
        </w:rPr>
        <w:t>10. Knowledge Architecture and Regulatory Grounding</w:t>
      </w:r>
    </w:p>
    <w:p>
      <w:pPr>
        <w:spacing w:after="120"/>
      </w:pPr>
      <w:r>
        <w:rPr>
          <w:rFonts w:ascii="Aptos" w:hAnsi="Aptos"/>
        </w:rPr>
        <w:t>The same regulated knowledge foundation can support both learning and the separate Capital Change Assurance concept. The knowledge graph should capture relationships; the rule/calculation engines should produce numbers; the AI tutor should interpret and teach.</w:t>
      </w:r>
    </w:p>
    <w:tbl>
      <w:tblPr>
        <w:tblStyle w:val="TableGrid"/>
        <w:tblW w:type="auto" w:w="0"/>
        <w:jc w:val="center"/>
        <w:tblLook w:firstColumn="1" w:firstRow="1" w:lastColumn="0" w:lastRow="0" w:noHBand="0" w:noVBand="1" w:val="04A0"/>
      </w:tblPr>
      <w:tblGrid>
        <w:gridCol w:w="5112"/>
        <w:gridCol w:w="5112"/>
      </w:tblGrid>
      <w:tr>
        <w:tc>
          <w:tcPr>
            <w:tcW w:type="dxa" w:w="2304"/>
            <w:shd w:fill="081726"/>
            <w:vAlign w:val="center"/>
          </w:tcPr>
          <w:p>
            <w:pPr>
              <w:jc w:val="center"/>
            </w:pPr>
            <w:r>
              <w:rPr>
                <w:rFonts w:ascii="Aptos" w:hAnsi="Aptos"/>
                <w:b/>
                <w:color w:val="FFFFFF"/>
                <w:sz w:val="16"/>
              </w:rPr>
              <w:t>Layer</w:t>
            </w:r>
          </w:p>
        </w:tc>
        <w:tc>
          <w:tcPr>
            <w:tcW w:type="dxa" w:w="7920"/>
            <w:shd w:fill="081726"/>
            <w:vAlign w:val="center"/>
          </w:tcPr>
          <w:p>
            <w:pPr>
              <w:jc w:val="center"/>
            </w:pPr>
            <w:r>
              <w:rPr>
                <w:rFonts w:ascii="Aptos" w:hAnsi="Aptos"/>
                <w:b/>
                <w:color w:val="FFFFFF"/>
                <w:sz w:val="16"/>
              </w:rPr>
              <w:t>Responsibility</w:t>
            </w:r>
          </w:p>
        </w:tc>
      </w:tr>
      <w:tr>
        <w:tc>
          <w:tcPr>
            <w:tcW w:type="dxa" w:w="2304"/>
            <w:shd w:fill="EEF5F7"/>
            <w:vAlign w:val="center"/>
          </w:tcPr>
          <w:p>
            <w:pPr>
              <w:spacing w:after="0"/>
            </w:pPr>
            <w:r>
              <w:rPr>
                <w:rFonts w:ascii="Aptos" w:hAnsi="Aptos"/>
                <w:color w:val="152A3B"/>
                <w:sz w:val="16"/>
              </w:rPr>
              <w:t>Regulatory Knowledge Graph</w:t>
            </w:r>
          </w:p>
        </w:tc>
        <w:tc>
          <w:tcPr>
            <w:tcW w:type="dxa" w:w="7920"/>
            <w:vAlign w:val="center"/>
          </w:tcPr>
          <w:p>
            <w:pPr>
              <w:spacing w:after="0"/>
            </w:pPr>
            <w:r>
              <w:rPr>
                <w:rFonts w:ascii="Aptos" w:hAnsi="Aptos"/>
                <w:color w:val="152A3B"/>
                <w:sz w:val="16"/>
              </w:rPr>
              <w:t>Rule, concept, jurisdiction, effective date, product, data field, calculation component, reporting mapping, source citation.</w:t>
            </w:r>
          </w:p>
        </w:tc>
      </w:tr>
      <w:tr>
        <w:tc>
          <w:tcPr>
            <w:tcW w:type="dxa" w:w="2304"/>
            <w:shd w:fill="EEF5F7"/>
            <w:vAlign w:val="center"/>
          </w:tcPr>
          <w:p>
            <w:pPr>
              <w:spacing w:after="0"/>
            </w:pPr>
            <w:r>
              <w:rPr>
                <w:rFonts w:ascii="Aptos" w:hAnsi="Aptos"/>
                <w:color w:val="152A3B"/>
                <w:sz w:val="16"/>
              </w:rPr>
              <w:t>Learning Graph</w:t>
            </w:r>
          </w:p>
        </w:tc>
        <w:tc>
          <w:tcPr>
            <w:tcW w:type="dxa" w:w="7920"/>
            <w:vAlign w:val="center"/>
          </w:tcPr>
          <w:p>
            <w:pPr>
              <w:spacing w:after="0"/>
            </w:pPr>
            <w:r>
              <w:rPr>
                <w:rFonts w:ascii="Aptos" w:hAnsi="Aptos"/>
                <w:color w:val="152A3B"/>
                <w:sz w:val="16"/>
              </w:rPr>
              <w:t>Prerequisites, lesson, example, misconception, exercise, difficulty, mastery objective.</w:t>
            </w:r>
          </w:p>
        </w:tc>
      </w:tr>
      <w:tr>
        <w:tc>
          <w:tcPr>
            <w:tcW w:type="dxa" w:w="2304"/>
            <w:shd w:fill="EEF5F7"/>
            <w:vAlign w:val="center"/>
          </w:tcPr>
          <w:p>
            <w:pPr>
              <w:spacing w:after="0"/>
            </w:pPr>
            <w:r>
              <w:rPr>
                <w:rFonts w:ascii="Aptos" w:hAnsi="Aptos"/>
                <w:color w:val="152A3B"/>
                <w:sz w:val="16"/>
              </w:rPr>
              <w:t>Rule Engine</w:t>
            </w:r>
          </w:p>
        </w:tc>
        <w:tc>
          <w:tcPr>
            <w:tcW w:type="dxa" w:w="7920"/>
            <w:vAlign w:val="center"/>
          </w:tcPr>
          <w:p>
            <w:pPr>
              <w:spacing w:after="0"/>
            </w:pPr>
            <w:r>
              <w:rPr>
                <w:rFonts w:ascii="Aptos" w:hAnsi="Aptos"/>
                <w:color w:val="152A3B"/>
                <w:sz w:val="16"/>
              </w:rPr>
              <w:t>Determine which rule applies under a versioned jurisdiction/ruleset.</w:t>
            </w:r>
          </w:p>
        </w:tc>
      </w:tr>
      <w:tr>
        <w:tc>
          <w:tcPr>
            <w:tcW w:type="dxa" w:w="2304"/>
            <w:shd w:fill="EEF5F7"/>
            <w:vAlign w:val="center"/>
          </w:tcPr>
          <w:p>
            <w:pPr>
              <w:spacing w:after="0"/>
            </w:pPr>
            <w:r>
              <w:rPr>
                <w:rFonts w:ascii="Aptos" w:hAnsi="Aptos"/>
                <w:color w:val="152A3B"/>
                <w:sz w:val="16"/>
              </w:rPr>
              <w:t>Finance Engine</w:t>
            </w:r>
          </w:p>
        </w:tc>
        <w:tc>
          <w:tcPr>
            <w:tcW w:type="dxa" w:w="7920"/>
            <w:vAlign w:val="center"/>
          </w:tcPr>
          <w:p>
            <w:pPr>
              <w:spacing w:after="0"/>
            </w:pPr>
            <w:r>
              <w:rPr>
                <w:rFonts w:ascii="Aptos" w:hAnsi="Aptos"/>
                <w:color w:val="152A3B"/>
                <w:sz w:val="16"/>
              </w:rPr>
              <w:t>Perform deterministic EAD, RW, RWA, capital and later ALM/FTP/profitability calculations.</w:t>
            </w:r>
          </w:p>
        </w:tc>
      </w:tr>
      <w:tr>
        <w:tc>
          <w:tcPr>
            <w:tcW w:type="dxa" w:w="2304"/>
            <w:shd w:fill="EEF5F7"/>
            <w:vAlign w:val="center"/>
          </w:tcPr>
          <w:p>
            <w:pPr>
              <w:spacing w:after="0"/>
            </w:pPr>
            <w:r>
              <w:rPr>
                <w:rFonts w:ascii="Aptos" w:hAnsi="Aptos"/>
                <w:color w:val="152A3B"/>
                <w:sz w:val="16"/>
              </w:rPr>
              <w:t>Tutor Orchestrator</w:t>
            </w:r>
          </w:p>
        </w:tc>
        <w:tc>
          <w:tcPr>
            <w:tcW w:type="dxa" w:w="7920"/>
            <w:vAlign w:val="center"/>
          </w:tcPr>
          <w:p>
            <w:pPr>
              <w:spacing w:after="0"/>
            </w:pPr>
            <w:r>
              <w:rPr>
                <w:rFonts w:ascii="Aptos" w:hAnsi="Aptos"/>
                <w:color w:val="152A3B"/>
                <w:sz w:val="16"/>
              </w:rPr>
              <w:t>Use context and tools to teach, not to invent regulated outputs.</w:t>
            </w:r>
          </w:p>
        </w:tc>
      </w:tr>
      <w:tr>
        <w:tc>
          <w:tcPr>
            <w:tcW w:type="dxa" w:w="2304"/>
            <w:shd w:fill="EEF5F7"/>
            <w:vAlign w:val="center"/>
          </w:tcPr>
          <w:p>
            <w:pPr>
              <w:spacing w:after="0"/>
            </w:pPr>
            <w:r>
              <w:rPr>
                <w:rFonts w:ascii="Aptos" w:hAnsi="Aptos"/>
                <w:color w:val="152A3B"/>
                <w:sz w:val="16"/>
              </w:rPr>
              <w:t>Content CMS</w:t>
            </w:r>
          </w:p>
        </w:tc>
        <w:tc>
          <w:tcPr>
            <w:tcW w:type="dxa" w:w="7920"/>
            <w:vAlign w:val="center"/>
          </w:tcPr>
          <w:p>
            <w:pPr>
              <w:spacing w:after="0"/>
            </w:pPr>
            <w:r>
              <w:rPr>
                <w:rFonts w:ascii="Aptos" w:hAnsi="Aptos"/>
                <w:color w:val="152A3B"/>
                <w:sz w:val="16"/>
              </w:rPr>
              <w:t>Version lessons with their source rules and SME approvals.</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10224"/>
            <w:shd w:fill="EAF7F7"/>
            <w:tcBorders>
              <w:top w:val="single" w:sz="12" w:color="2CB9B9"/>
              <w:left w:val="single" w:sz="12" w:color="2CB9B9"/>
              <w:bottom w:val="single" w:sz="12" w:color="2CB9B9"/>
              <w:right w:val="single" w:sz="12" w:color="2CB9B9"/>
            </w:tcBorders>
          </w:tcPr>
          <w:p>
            <w:pPr>
              <w:spacing w:after="60"/>
            </w:pPr>
            <w:r>
              <w:rPr>
                <w:rFonts w:ascii="Aptos" w:hAnsi="Aptos"/>
                <w:b/>
                <w:color w:val="2CB9B9"/>
                <w:sz w:val="24"/>
              </w:rPr>
              <w:t>Architectural rule</w:t>
            </w:r>
            <w:r>
              <w:rPr>
                <w:rFonts w:ascii="Aptos" w:hAnsi="Aptos"/>
                <w:color w:val="152A3B"/>
                <w:sz w:val="21"/>
              </w:rPr>
              <w:br/>
              <w:t>Do not put capital calculations inside the LLM. Do not treat the knowledge graph as the calculator. The tutor calls deterministic tools and cites the authoritative source.</w:t>
            </w:r>
          </w:p>
        </w:tc>
      </w:tr>
    </w:tbl>
    <w:p>
      <w:pPr>
        <w:spacing w:after="20"/>
      </w:pPr>
    </w:p>
    <w:p>
      <w:pPr>
        <w:pStyle w:val="Heading1"/>
      </w:pPr>
      <w:r>
        <w:rPr>
          <w:rFonts w:ascii="Aptos" w:hAnsi="Aptos"/>
          <w:b/>
          <w:color w:val="081726"/>
          <w:sz w:val="44"/>
        </w:rPr>
        <w:t>11. AI Video and Content Production Factory</w:t>
      </w:r>
    </w:p>
    <w:p>
      <w:pPr>
        <w:spacing w:after="60"/>
        <w:jc w:val="center"/>
      </w:pPr>
      <w:r>
        <w:drawing>
          <wp:inline xmlns:a="http://schemas.openxmlformats.org/drawingml/2006/main" xmlns:pic="http://schemas.openxmlformats.org/drawingml/2006/picture">
            <wp:extent cx="6492240" cy="3606800"/>
            <wp:docPr id="5" name="Picture 5"/>
            <wp:cNvGraphicFramePr>
              <a:graphicFrameLocks noChangeAspect="1"/>
            </wp:cNvGraphicFramePr>
            <a:graphic>
              <a:graphicData uri="http://schemas.openxmlformats.org/drawingml/2006/picture">
                <pic:pic>
                  <pic:nvPicPr>
                    <pic:cNvPr id="0" name="content_factory.png"/>
                    <pic:cNvPicPr/>
                  </pic:nvPicPr>
                  <pic:blipFill>
                    <a:blip r:embed="rId15"/>
                    <a:stretch>
                      <a:fillRect/>
                    </a:stretch>
                  </pic:blipFill>
                  <pic:spPr>
                    <a:xfrm>
                      <a:off x="0" y="0"/>
                      <a:ext cx="6492240" cy="3606800"/>
                    </a:xfrm>
                    <a:prstGeom prst="rect"/>
                  </pic:spPr>
                </pic:pic>
              </a:graphicData>
            </a:graphic>
          </wp:inline>
        </w:drawing>
      </w:r>
    </w:p>
    <w:p>
      <w:pPr>
        <w:spacing w:after="160"/>
        <w:jc w:val="center"/>
      </w:pPr>
      <w:r>
        <w:rPr>
          <w:rFonts w:ascii="Aptos" w:hAnsi="Aptos"/>
          <w:color w:val="617789"/>
          <w:sz w:val="17"/>
        </w:rPr>
        <w:t>Figure 4 — Reusable regulation-to-lesson production workflow.</w:t>
      </w:r>
    </w:p>
    <w:p>
      <w:pPr>
        <w:pStyle w:val="Heading2"/>
        <w:spacing w:before="160" w:after="80"/>
      </w:pPr>
      <w:r>
        <w:rPr>
          <w:rFonts w:ascii="Aptos" w:hAnsi="Aptos"/>
          <w:b/>
          <w:color w:val="2CB9B9"/>
          <w:sz w:val="30"/>
        </w:rPr>
        <w:t>11.1 Video design principle</w:t>
      </w:r>
    </w:p>
    <w:p>
      <w:pPr>
        <w:spacing w:after="120"/>
      </w:pPr>
      <w:r>
        <w:rPr>
          <w:rFonts w:ascii="Aptos" w:hAnsi="Aptos"/>
        </w:rPr>
        <w:t>World-class financial training should not be a talking avatar for ten minutes. The lesson should mix a small amount of instructor presence with precise diagrams, programmatic calculation animation, interactive whiteboards, regulatory-source walkthroughs and active questions.</w:t>
      </w:r>
    </w:p>
    <w:tbl>
      <w:tblPr>
        <w:tblStyle w:val="TableGrid"/>
        <w:tblW w:type="auto" w:w="0"/>
        <w:jc w:val="center"/>
        <w:tblLook w:firstColumn="1" w:firstRow="1" w:lastColumn="0" w:lastRow="0" w:noHBand="0" w:noVBand="1" w:val="04A0"/>
      </w:tblPr>
      <w:tblGrid>
        <w:gridCol w:w="5112"/>
        <w:gridCol w:w="5112"/>
      </w:tblGrid>
      <w:tr>
        <w:tc>
          <w:tcPr>
            <w:tcW w:type="dxa" w:w="2376"/>
            <w:shd w:fill="081726"/>
            <w:vAlign w:val="center"/>
          </w:tcPr>
          <w:p>
            <w:pPr>
              <w:jc w:val="center"/>
            </w:pPr>
            <w:r>
              <w:rPr>
                <w:rFonts w:ascii="Aptos" w:hAnsi="Aptos"/>
                <w:b/>
                <w:color w:val="FFFFFF"/>
                <w:sz w:val="16"/>
              </w:rPr>
              <w:t>Media component</w:t>
            </w:r>
          </w:p>
        </w:tc>
        <w:tc>
          <w:tcPr>
            <w:tcW w:type="dxa" w:w="7848"/>
            <w:shd w:fill="081726"/>
            <w:vAlign w:val="center"/>
          </w:tcPr>
          <w:p>
            <w:pPr>
              <w:jc w:val="center"/>
            </w:pPr>
            <w:r>
              <w:rPr>
                <w:rFonts w:ascii="Aptos" w:hAnsi="Aptos"/>
                <w:b/>
                <w:color w:val="FFFFFF"/>
                <w:sz w:val="16"/>
              </w:rPr>
              <w:t>Recommended role</w:t>
            </w:r>
          </w:p>
        </w:tc>
      </w:tr>
      <w:tr>
        <w:tc>
          <w:tcPr>
            <w:tcW w:type="dxa" w:w="2376"/>
            <w:shd w:fill="EEF5F7"/>
            <w:vAlign w:val="center"/>
          </w:tcPr>
          <w:p>
            <w:pPr>
              <w:spacing w:after="0"/>
            </w:pPr>
            <w:r>
              <w:rPr>
                <w:rFonts w:ascii="Aptos" w:hAnsi="Aptos"/>
                <w:color w:val="152A3B"/>
                <w:sz w:val="16"/>
              </w:rPr>
              <w:t>Nano Banana 2 / image generation</w:t>
            </w:r>
          </w:p>
        </w:tc>
        <w:tc>
          <w:tcPr>
            <w:tcW w:type="dxa" w:w="7848"/>
            <w:vAlign w:val="center"/>
          </w:tcPr>
          <w:p>
            <w:pPr>
              <w:spacing w:after="0"/>
            </w:pPr>
            <w:r>
              <w:rPr>
                <w:rFonts w:ascii="Aptos" w:hAnsi="Aptos"/>
                <w:color w:val="152A3B"/>
                <w:sz w:val="16"/>
              </w:rPr>
              <w:t>Concept art, infographics, course thumbnails, stylized bank/product visuals. Google describes Nano Banana 2 as an image-generation/editing model. [S14]</w:t>
            </w:r>
          </w:p>
        </w:tc>
      </w:tr>
      <w:tr>
        <w:tc>
          <w:tcPr>
            <w:tcW w:type="dxa" w:w="2376"/>
            <w:shd w:fill="EEF5F7"/>
            <w:vAlign w:val="center"/>
          </w:tcPr>
          <w:p>
            <w:pPr>
              <w:spacing w:after="0"/>
            </w:pPr>
            <w:r>
              <w:rPr>
                <w:rFonts w:ascii="Aptos" w:hAnsi="Aptos"/>
                <w:color w:val="152A3B"/>
                <w:sz w:val="16"/>
              </w:rPr>
              <w:t>Remotion / SVG / Manim</w:t>
            </w:r>
          </w:p>
        </w:tc>
        <w:tc>
          <w:tcPr>
            <w:tcW w:type="dxa" w:w="7848"/>
            <w:vAlign w:val="center"/>
          </w:tcPr>
          <w:p>
            <w:pPr>
              <w:spacing w:after="0"/>
            </w:pPr>
            <w:r>
              <w:rPr>
                <w:rFonts w:ascii="Aptos" w:hAnsi="Aptos"/>
                <w:color w:val="152A3B"/>
                <w:sz w:val="16"/>
              </w:rPr>
              <w:t>Authoritative financial formulas, tables, charts, animated decision trees and exact numbers.</w:t>
            </w:r>
          </w:p>
        </w:tc>
      </w:tr>
      <w:tr>
        <w:tc>
          <w:tcPr>
            <w:tcW w:type="dxa" w:w="2376"/>
            <w:shd w:fill="EEF5F7"/>
            <w:vAlign w:val="center"/>
          </w:tcPr>
          <w:p>
            <w:pPr>
              <w:spacing w:after="0"/>
            </w:pPr>
            <w:r>
              <w:rPr>
                <w:rFonts w:ascii="Aptos" w:hAnsi="Aptos"/>
                <w:color w:val="152A3B"/>
                <w:sz w:val="16"/>
              </w:rPr>
              <w:t>HeyGen / avatar tool</w:t>
            </w:r>
          </w:p>
        </w:tc>
        <w:tc>
          <w:tcPr>
            <w:tcW w:type="dxa" w:w="7848"/>
            <w:vAlign w:val="center"/>
          </w:tcPr>
          <w:p>
            <w:pPr>
              <w:spacing w:after="0"/>
            </w:pPr>
            <w:r>
              <w:rPr>
                <w:rFonts w:ascii="Aptos" w:hAnsi="Aptos"/>
                <w:color w:val="152A3B"/>
                <w:sz w:val="16"/>
              </w:rPr>
              <w:t>Instructor introductions, transitions, summarized teaching moments and optional digital twin. [S13]</w:t>
            </w:r>
          </w:p>
        </w:tc>
      </w:tr>
      <w:tr>
        <w:tc>
          <w:tcPr>
            <w:tcW w:type="dxa" w:w="2376"/>
            <w:shd w:fill="EEF5F7"/>
            <w:vAlign w:val="center"/>
          </w:tcPr>
          <w:p>
            <w:pPr>
              <w:spacing w:after="0"/>
            </w:pPr>
            <w:r>
              <w:rPr>
                <w:rFonts w:ascii="Aptos" w:hAnsi="Aptos"/>
                <w:color w:val="152A3B"/>
                <w:sz w:val="16"/>
              </w:rPr>
              <w:t>Veo 3.1 / video generation</w:t>
            </w:r>
          </w:p>
        </w:tc>
        <w:tc>
          <w:tcPr>
            <w:tcW w:type="dxa" w:w="7848"/>
            <w:vAlign w:val="center"/>
          </w:tcPr>
          <w:p>
            <w:pPr>
              <w:spacing w:after="0"/>
            </w:pPr>
            <w:r>
              <w:rPr>
                <w:rFonts w:ascii="Aptos" w:hAnsi="Aptos"/>
                <w:color w:val="152A3B"/>
                <w:sz w:val="16"/>
              </w:rPr>
              <w:t>Selective cinematic scenes, intros and visual storytelling—not authoritative calculations. Google positions Veo 3.1 as a video-generation model. [S15]</w:t>
            </w:r>
          </w:p>
        </w:tc>
      </w:tr>
      <w:tr>
        <w:tc>
          <w:tcPr>
            <w:tcW w:type="dxa" w:w="2376"/>
            <w:shd w:fill="EEF5F7"/>
            <w:vAlign w:val="center"/>
          </w:tcPr>
          <w:p>
            <w:pPr>
              <w:spacing w:after="0"/>
            </w:pPr>
            <w:r>
              <w:rPr>
                <w:rFonts w:ascii="Aptos" w:hAnsi="Aptos"/>
                <w:color w:val="152A3B"/>
                <w:sz w:val="16"/>
              </w:rPr>
              <w:t>ElevenLabs / voice layer</w:t>
            </w:r>
          </w:p>
        </w:tc>
        <w:tc>
          <w:tcPr>
            <w:tcW w:type="dxa" w:w="7848"/>
            <w:vAlign w:val="center"/>
          </w:tcPr>
          <w:p>
            <w:pPr>
              <w:spacing w:after="0"/>
            </w:pPr>
            <w:r>
              <w:rPr>
                <w:rFonts w:ascii="Aptos" w:hAnsi="Aptos"/>
                <w:color w:val="152A3B"/>
                <w:sz w:val="16"/>
              </w:rPr>
              <w:t>Narration, multilingual cloned voice, realtime voice tutor. [S11][S12]</w:t>
            </w:r>
          </w:p>
        </w:tc>
      </w:tr>
      <w:tr>
        <w:tc>
          <w:tcPr>
            <w:tcW w:type="dxa" w:w="2376"/>
            <w:shd w:fill="EEF5F7"/>
            <w:vAlign w:val="center"/>
          </w:tcPr>
          <w:p>
            <w:pPr>
              <w:spacing w:after="0"/>
            </w:pPr>
            <w:r>
              <w:rPr>
                <w:rFonts w:ascii="Aptos" w:hAnsi="Aptos"/>
                <w:color w:val="152A3B"/>
                <w:sz w:val="16"/>
              </w:rPr>
              <w:t>FFmpeg / composition</w:t>
            </w:r>
          </w:p>
        </w:tc>
        <w:tc>
          <w:tcPr>
            <w:tcW w:type="dxa" w:w="7848"/>
            <w:vAlign w:val="center"/>
          </w:tcPr>
          <w:p>
            <w:pPr>
              <w:spacing w:after="0"/>
            </w:pPr>
            <w:r>
              <w:rPr>
                <w:rFonts w:ascii="Aptos" w:hAnsi="Aptos"/>
                <w:color w:val="152A3B"/>
                <w:sz w:val="16"/>
              </w:rPr>
              <w:t>Assemble final rendered scenes, captions and audio.</w:t>
            </w:r>
          </w:p>
        </w:tc>
      </w:tr>
    </w:tbl>
    <w:p>
      <w:pPr>
        <w:spacing w:after="40"/>
      </w:pPr>
    </w:p>
    <w:p>
      <w:pPr>
        <w:pStyle w:val="Heading2"/>
        <w:spacing w:before="160" w:after="80"/>
      </w:pPr>
      <w:r>
        <w:rPr>
          <w:rFonts w:ascii="Aptos" w:hAnsi="Aptos"/>
          <w:b/>
          <w:color w:val="2CB9B9"/>
          <w:sz w:val="30"/>
        </w:rPr>
        <w:t>11.2 Semantic timeline</w:t>
      </w:r>
    </w:p>
    <w:p>
      <w:pPr>
        <w:spacing w:after="120"/>
      </w:pPr>
      <w:r>
        <w:rPr>
          <w:rFonts w:ascii="Aptos" w:hAnsi="Aptos"/>
        </w:rPr>
        <w:t>Every lesson scene should carry machine-readable metadata: start/end timestamp, concept ID, rule IDs, example ID, jurisdiction, calculator/tool and on-screen visual. This is what lets a learner pause at 06:42 and ask “why did the tutor use that risk weight?” without forcing the AI to guess from the entire video.</w:t>
      </w:r>
    </w:p>
    <w:p>
      <w:pPr>
        <w:pStyle w:val="Heading1"/>
      </w:pPr>
      <w:r>
        <w:rPr>
          <w:rFonts w:ascii="Aptos" w:hAnsi="Aptos"/>
          <w:b/>
          <w:color w:val="081726"/>
          <w:sz w:val="44"/>
        </w:rPr>
        <w:t>12. Technology Stack and Infrastructure</w:t>
      </w:r>
    </w:p>
    <w:p>
      <w:pPr>
        <w:spacing w:after="60"/>
        <w:jc w:val="center"/>
      </w:pPr>
      <w:r>
        <w:drawing>
          <wp:inline xmlns:a="http://schemas.openxmlformats.org/drawingml/2006/main" xmlns:pic="http://schemas.openxmlformats.org/drawingml/2006/picture">
            <wp:extent cx="6492240" cy="3606800"/>
            <wp:docPr id="6" name="Picture 6"/>
            <wp:cNvGraphicFramePr>
              <a:graphicFrameLocks noChangeAspect="1"/>
            </wp:cNvGraphicFramePr>
            <a:graphic>
              <a:graphicData uri="http://schemas.openxmlformats.org/drawingml/2006/picture">
                <pic:pic>
                  <pic:nvPicPr>
                    <pic:cNvPr id="0" name="platform_architecture.png"/>
                    <pic:cNvPicPr/>
                  </pic:nvPicPr>
                  <pic:blipFill>
                    <a:blip r:embed="rId16"/>
                    <a:stretch>
                      <a:fillRect/>
                    </a:stretch>
                  </pic:blipFill>
                  <pic:spPr>
                    <a:xfrm>
                      <a:off x="0" y="0"/>
                      <a:ext cx="6492240" cy="3606800"/>
                    </a:xfrm>
                    <a:prstGeom prst="rect"/>
                  </pic:spPr>
                </pic:pic>
              </a:graphicData>
            </a:graphic>
          </wp:inline>
        </w:drawing>
      </w:r>
    </w:p>
    <w:p>
      <w:pPr>
        <w:spacing w:after="160"/>
        <w:jc w:val="center"/>
      </w:pPr>
      <w:r>
        <w:rPr>
          <w:rFonts w:ascii="Aptos" w:hAnsi="Aptos"/>
          <w:color w:val="617789"/>
          <w:sz w:val="17"/>
        </w:rPr>
        <w:t>Figure 5 — Proposed platform architecture for the MVP and scalable production platform.</w:t>
      </w:r>
    </w:p>
    <w:p>
      <w:pPr>
        <w:pStyle w:val="Heading2"/>
        <w:spacing w:before="160" w:after="80"/>
      </w:pPr>
      <w:r>
        <w:rPr>
          <w:rFonts w:ascii="Aptos" w:hAnsi="Aptos"/>
          <w:b/>
          <w:color w:val="2CB9B9"/>
          <w:sz w:val="30"/>
        </w:rPr>
        <w:t>12.1 Recommended V1 stack</w:t>
      </w:r>
    </w:p>
    <w:tbl>
      <w:tblPr>
        <w:tblStyle w:val="TableGrid"/>
        <w:tblW w:type="auto" w:w="0"/>
        <w:jc w:val="center"/>
        <w:tblLook w:firstColumn="1" w:firstRow="1" w:lastColumn="0" w:lastRow="0" w:noHBand="0" w:noVBand="1" w:val="04A0"/>
      </w:tblPr>
      <w:tblGrid>
        <w:gridCol w:w="3408"/>
        <w:gridCol w:w="3408"/>
        <w:gridCol w:w="3408"/>
      </w:tblGrid>
      <w:tr>
        <w:tc>
          <w:tcPr>
            <w:tcW w:type="dxa" w:w="1800"/>
            <w:shd w:fill="081726"/>
            <w:vAlign w:val="center"/>
          </w:tcPr>
          <w:p>
            <w:pPr>
              <w:jc w:val="center"/>
            </w:pPr>
            <w:r>
              <w:rPr>
                <w:rFonts w:ascii="Aptos" w:hAnsi="Aptos"/>
                <w:b/>
                <w:color w:val="FFFFFF"/>
                <w:sz w:val="15"/>
              </w:rPr>
              <w:t>Layer</w:t>
            </w:r>
          </w:p>
        </w:tc>
        <w:tc>
          <w:tcPr>
            <w:tcW w:type="dxa" w:w="3240"/>
            <w:shd w:fill="081726"/>
            <w:vAlign w:val="center"/>
          </w:tcPr>
          <w:p>
            <w:pPr>
              <w:jc w:val="center"/>
            </w:pPr>
            <w:r>
              <w:rPr>
                <w:rFonts w:ascii="Aptos" w:hAnsi="Aptos"/>
                <w:b/>
                <w:color w:val="FFFFFF"/>
                <w:sz w:val="15"/>
              </w:rPr>
              <w:t>Recommendation</w:t>
            </w:r>
          </w:p>
        </w:tc>
        <w:tc>
          <w:tcPr>
            <w:tcW w:type="dxa" w:w="4968"/>
            <w:shd w:fill="081726"/>
            <w:vAlign w:val="center"/>
          </w:tcPr>
          <w:p>
            <w:pPr>
              <w:jc w:val="center"/>
            </w:pPr>
            <w:r>
              <w:rPr>
                <w:rFonts w:ascii="Aptos" w:hAnsi="Aptos"/>
                <w:b/>
                <w:color w:val="FFFFFF"/>
                <w:sz w:val="15"/>
              </w:rPr>
              <w:t>Reason</w:t>
            </w:r>
          </w:p>
        </w:tc>
      </w:tr>
      <w:tr>
        <w:tc>
          <w:tcPr>
            <w:tcW w:type="dxa" w:w="1800"/>
            <w:shd w:fill="EEF5F7"/>
            <w:vAlign w:val="center"/>
          </w:tcPr>
          <w:p>
            <w:pPr>
              <w:spacing w:after="0"/>
            </w:pPr>
            <w:r>
              <w:rPr>
                <w:rFonts w:ascii="Aptos" w:hAnsi="Aptos"/>
                <w:color w:val="152A3B"/>
                <w:sz w:val="15"/>
              </w:rPr>
              <w:t>Web</w:t>
            </w:r>
          </w:p>
        </w:tc>
        <w:tc>
          <w:tcPr>
            <w:tcW w:type="dxa" w:w="3240"/>
            <w:vAlign w:val="center"/>
          </w:tcPr>
          <w:p>
            <w:pPr>
              <w:spacing w:after="0"/>
            </w:pPr>
            <w:r>
              <w:rPr>
                <w:rFonts w:ascii="Aptos" w:hAnsi="Aptos"/>
                <w:color w:val="152A3B"/>
                <w:sz w:val="15"/>
              </w:rPr>
              <w:t>Next.js + React + TypeScript + Tailwind</w:t>
            </w:r>
          </w:p>
        </w:tc>
        <w:tc>
          <w:tcPr>
            <w:tcW w:type="dxa" w:w="4968"/>
            <w:vAlign w:val="center"/>
          </w:tcPr>
          <w:p>
            <w:pPr>
              <w:spacing w:after="0"/>
            </w:pPr>
            <w:r>
              <w:rPr>
                <w:rFonts w:ascii="Aptos" w:hAnsi="Aptos"/>
                <w:color w:val="152A3B"/>
                <w:sz w:val="15"/>
              </w:rPr>
              <w:t>Fast product iteration; strong interactive-video and lab UX.</w:t>
            </w:r>
          </w:p>
        </w:tc>
      </w:tr>
      <w:tr>
        <w:tc>
          <w:tcPr>
            <w:tcW w:type="dxa" w:w="1800"/>
            <w:shd w:fill="EEF5F7"/>
            <w:vAlign w:val="center"/>
          </w:tcPr>
          <w:p>
            <w:pPr>
              <w:spacing w:after="0"/>
            </w:pPr>
            <w:r>
              <w:rPr>
                <w:rFonts w:ascii="Aptos" w:hAnsi="Aptos"/>
                <w:color w:val="152A3B"/>
                <w:sz w:val="15"/>
              </w:rPr>
              <w:t>Backend</w:t>
            </w:r>
          </w:p>
        </w:tc>
        <w:tc>
          <w:tcPr>
            <w:tcW w:type="dxa" w:w="3240"/>
            <w:vAlign w:val="center"/>
          </w:tcPr>
          <w:p>
            <w:pPr>
              <w:spacing w:after="0"/>
            </w:pPr>
            <w:r>
              <w:rPr>
                <w:rFonts w:ascii="Aptos" w:hAnsi="Aptos"/>
                <w:color w:val="152A3B"/>
                <w:sz w:val="15"/>
              </w:rPr>
              <w:t>Python + FastAPI</w:t>
            </w:r>
          </w:p>
        </w:tc>
        <w:tc>
          <w:tcPr>
            <w:tcW w:type="dxa" w:w="4968"/>
            <w:vAlign w:val="center"/>
          </w:tcPr>
          <w:p>
            <w:pPr>
              <w:spacing w:after="0"/>
            </w:pPr>
            <w:r>
              <w:rPr>
                <w:rFonts w:ascii="Aptos" w:hAnsi="Aptos"/>
                <w:color w:val="152A3B"/>
                <w:sz w:val="15"/>
              </w:rPr>
              <w:t>Matches existing finance-engine work and AI ecosystem.</w:t>
            </w:r>
          </w:p>
        </w:tc>
      </w:tr>
      <w:tr>
        <w:tc>
          <w:tcPr>
            <w:tcW w:type="dxa" w:w="1800"/>
            <w:shd w:fill="EEF5F7"/>
            <w:vAlign w:val="center"/>
          </w:tcPr>
          <w:p>
            <w:pPr>
              <w:spacing w:after="0"/>
            </w:pPr>
            <w:r>
              <w:rPr>
                <w:rFonts w:ascii="Aptos" w:hAnsi="Aptos"/>
                <w:color w:val="152A3B"/>
                <w:sz w:val="15"/>
              </w:rPr>
              <w:t>Primary DB</w:t>
            </w:r>
          </w:p>
        </w:tc>
        <w:tc>
          <w:tcPr>
            <w:tcW w:type="dxa" w:w="3240"/>
            <w:vAlign w:val="center"/>
          </w:tcPr>
          <w:p>
            <w:pPr>
              <w:spacing w:after="0"/>
            </w:pPr>
            <w:r>
              <w:rPr>
                <w:rFonts w:ascii="Aptos" w:hAnsi="Aptos"/>
                <w:color w:val="152A3B"/>
                <w:sz w:val="15"/>
              </w:rPr>
              <w:t>PostgreSQL</w:t>
            </w:r>
          </w:p>
        </w:tc>
        <w:tc>
          <w:tcPr>
            <w:tcW w:type="dxa" w:w="4968"/>
            <w:vAlign w:val="center"/>
          </w:tcPr>
          <w:p>
            <w:pPr>
              <w:spacing w:after="0"/>
            </w:pPr>
            <w:r>
              <w:rPr>
                <w:rFonts w:ascii="Aptos" w:hAnsi="Aptos"/>
                <w:color w:val="152A3B"/>
                <w:sz w:val="15"/>
              </w:rPr>
              <w:t>Course, learner, transaction and governance data.</w:t>
            </w:r>
          </w:p>
        </w:tc>
      </w:tr>
      <w:tr>
        <w:tc>
          <w:tcPr>
            <w:tcW w:type="dxa" w:w="1800"/>
            <w:shd w:fill="EEF5F7"/>
            <w:vAlign w:val="center"/>
          </w:tcPr>
          <w:p>
            <w:pPr>
              <w:spacing w:after="0"/>
            </w:pPr>
            <w:r>
              <w:rPr>
                <w:rFonts w:ascii="Aptos" w:hAnsi="Aptos"/>
                <w:color w:val="152A3B"/>
                <w:sz w:val="15"/>
              </w:rPr>
              <w:t>Retrieval</w:t>
            </w:r>
          </w:p>
        </w:tc>
        <w:tc>
          <w:tcPr>
            <w:tcW w:type="dxa" w:w="3240"/>
            <w:vAlign w:val="center"/>
          </w:tcPr>
          <w:p>
            <w:pPr>
              <w:spacing w:after="0"/>
            </w:pPr>
            <w:r>
              <w:rPr>
                <w:rFonts w:ascii="Aptos" w:hAnsi="Aptos"/>
                <w:color w:val="152A3B"/>
                <w:sz w:val="15"/>
              </w:rPr>
              <w:t>pgvector initially</w:t>
            </w:r>
          </w:p>
        </w:tc>
        <w:tc>
          <w:tcPr>
            <w:tcW w:type="dxa" w:w="4968"/>
            <w:vAlign w:val="center"/>
          </w:tcPr>
          <w:p>
            <w:pPr>
              <w:spacing w:after="0"/>
            </w:pPr>
            <w:r>
              <w:rPr>
                <w:rFonts w:ascii="Aptos" w:hAnsi="Aptos"/>
                <w:color w:val="152A3B"/>
                <w:sz w:val="15"/>
              </w:rPr>
              <w:t>Avoid unnecessary platform sprawl during MVP.</w:t>
            </w:r>
          </w:p>
        </w:tc>
      </w:tr>
      <w:tr>
        <w:tc>
          <w:tcPr>
            <w:tcW w:type="dxa" w:w="1800"/>
            <w:shd w:fill="EEF5F7"/>
            <w:vAlign w:val="center"/>
          </w:tcPr>
          <w:p>
            <w:pPr>
              <w:spacing w:after="0"/>
            </w:pPr>
            <w:r>
              <w:rPr>
                <w:rFonts w:ascii="Aptos" w:hAnsi="Aptos"/>
                <w:color w:val="152A3B"/>
                <w:sz w:val="15"/>
              </w:rPr>
              <w:t>Graph</w:t>
            </w:r>
          </w:p>
        </w:tc>
        <w:tc>
          <w:tcPr>
            <w:tcW w:type="dxa" w:w="3240"/>
            <w:vAlign w:val="center"/>
          </w:tcPr>
          <w:p>
            <w:pPr>
              <w:spacing w:after="0"/>
            </w:pPr>
            <w:r>
              <w:rPr>
                <w:rFonts w:ascii="Aptos" w:hAnsi="Aptos"/>
                <w:color w:val="152A3B"/>
                <w:sz w:val="15"/>
              </w:rPr>
              <w:t>Neo4j or graph abstraction later</w:t>
            </w:r>
          </w:p>
        </w:tc>
        <w:tc>
          <w:tcPr>
            <w:tcW w:type="dxa" w:w="4968"/>
            <w:vAlign w:val="center"/>
          </w:tcPr>
          <w:p>
            <w:pPr>
              <w:spacing w:after="0"/>
            </w:pPr>
            <w:r>
              <w:rPr>
                <w:rFonts w:ascii="Aptos" w:hAnsi="Aptos"/>
                <w:color w:val="152A3B"/>
                <w:sz w:val="15"/>
              </w:rPr>
              <w:t>Add when multi-jurisdiction rule relationships justify it.</w:t>
            </w:r>
          </w:p>
        </w:tc>
      </w:tr>
      <w:tr>
        <w:tc>
          <w:tcPr>
            <w:tcW w:type="dxa" w:w="1800"/>
            <w:shd w:fill="EEF5F7"/>
            <w:vAlign w:val="center"/>
          </w:tcPr>
          <w:p>
            <w:pPr>
              <w:spacing w:after="0"/>
            </w:pPr>
            <w:r>
              <w:rPr>
                <w:rFonts w:ascii="Aptos" w:hAnsi="Aptos"/>
                <w:color w:val="152A3B"/>
                <w:sz w:val="15"/>
              </w:rPr>
              <w:t>Cache / sessions</w:t>
            </w:r>
          </w:p>
        </w:tc>
        <w:tc>
          <w:tcPr>
            <w:tcW w:type="dxa" w:w="3240"/>
            <w:vAlign w:val="center"/>
          </w:tcPr>
          <w:p>
            <w:pPr>
              <w:spacing w:after="0"/>
            </w:pPr>
            <w:r>
              <w:rPr>
                <w:rFonts w:ascii="Aptos" w:hAnsi="Aptos"/>
                <w:color w:val="152A3B"/>
                <w:sz w:val="15"/>
              </w:rPr>
              <w:t>Redis</w:t>
            </w:r>
          </w:p>
        </w:tc>
        <w:tc>
          <w:tcPr>
            <w:tcW w:type="dxa" w:w="4968"/>
            <w:vAlign w:val="center"/>
          </w:tcPr>
          <w:p>
            <w:pPr>
              <w:spacing w:after="0"/>
            </w:pPr>
            <w:r>
              <w:rPr>
                <w:rFonts w:ascii="Aptos" w:hAnsi="Aptos"/>
                <w:color w:val="152A3B"/>
                <w:sz w:val="15"/>
              </w:rPr>
              <w:t>Realtime session state, rate limits and tutor context.</w:t>
            </w:r>
          </w:p>
        </w:tc>
      </w:tr>
      <w:tr>
        <w:tc>
          <w:tcPr>
            <w:tcW w:type="dxa" w:w="1800"/>
            <w:shd w:fill="EEF5F7"/>
            <w:vAlign w:val="center"/>
          </w:tcPr>
          <w:p>
            <w:pPr>
              <w:spacing w:after="0"/>
            </w:pPr>
            <w:r>
              <w:rPr>
                <w:rFonts w:ascii="Aptos" w:hAnsi="Aptos"/>
                <w:color w:val="152A3B"/>
                <w:sz w:val="15"/>
              </w:rPr>
              <w:t>Async / workflow</w:t>
            </w:r>
          </w:p>
        </w:tc>
        <w:tc>
          <w:tcPr>
            <w:tcW w:type="dxa" w:w="3240"/>
            <w:vAlign w:val="center"/>
          </w:tcPr>
          <w:p>
            <w:pPr>
              <w:spacing w:after="0"/>
            </w:pPr>
            <w:r>
              <w:rPr>
                <w:rFonts w:ascii="Aptos" w:hAnsi="Aptos"/>
                <w:color w:val="152A3B"/>
                <w:sz w:val="15"/>
              </w:rPr>
              <w:t>Celery initially; Temporal when workflows become complex</w:t>
            </w:r>
          </w:p>
        </w:tc>
        <w:tc>
          <w:tcPr>
            <w:tcW w:type="dxa" w:w="4968"/>
            <w:vAlign w:val="center"/>
          </w:tcPr>
          <w:p>
            <w:pPr>
              <w:spacing w:after="0"/>
            </w:pPr>
            <w:r>
              <w:rPr>
                <w:rFonts w:ascii="Aptos" w:hAnsi="Aptos"/>
                <w:color w:val="152A3B"/>
                <w:sz w:val="15"/>
              </w:rPr>
              <w:t>Content generation and background processing.</w:t>
            </w:r>
          </w:p>
        </w:tc>
      </w:tr>
      <w:tr>
        <w:tc>
          <w:tcPr>
            <w:tcW w:type="dxa" w:w="1800"/>
            <w:shd w:fill="EEF5F7"/>
            <w:vAlign w:val="center"/>
          </w:tcPr>
          <w:p>
            <w:pPr>
              <w:spacing w:after="0"/>
            </w:pPr>
            <w:r>
              <w:rPr>
                <w:rFonts w:ascii="Aptos" w:hAnsi="Aptos"/>
                <w:color w:val="152A3B"/>
                <w:sz w:val="15"/>
              </w:rPr>
              <w:t>Finance calculations</w:t>
            </w:r>
          </w:p>
        </w:tc>
        <w:tc>
          <w:tcPr>
            <w:tcW w:type="dxa" w:w="3240"/>
            <w:vAlign w:val="center"/>
          </w:tcPr>
          <w:p>
            <w:pPr>
              <w:spacing w:after="0"/>
            </w:pPr>
            <w:r>
              <w:rPr>
                <w:rFonts w:ascii="Aptos" w:hAnsi="Aptos"/>
                <w:color w:val="152A3B"/>
                <w:sz w:val="15"/>
              </w:rPr>
              <w:t>Python; optionally Polars for vectorized labs</w:t>
            </w:r>
          </w:p>
        </w:tc>
        <w:tc>
          <w:tcPr>
            <w:tcW w:type="dxa" w:w="4968"/>
            <w:vAlign w:val="center"/>
          </w:tcPr>
          <w:p>
            <w:pPr>
              <w:spacing w:after="0"/>
            </w:pPr>
            <w:r>
              <w:rPr>
                <w:rFonts w:ascii="Aptos" w:hAnsi="Aptos"/>
                <w:color w:val="152A3B"/>
                <w:sz w:val="15"/>
              </w:rPr>
              <w:t>Deterministic and reuse existing capital engine.</w:t>
            </w:r>
          </w:p>
        </w:tc>
      </w:tr>
      <w:tr>
        <w:tc>
          <w:tcPr>
            <w:tcW w:type="dxa" w:w="1800"/>
            <w:shd w:fill="EEF5F7"/>
            <w:vAlign w:val="center"/>
          </w:tcPr>
          <w:p>
            <w:pPr>
              <w:spacing w:after="0"/>
            </w:pPr>
            <w:r>
              <w:rPr>
                <w:rFonts w:ascii="Aptos" w:hAnsi="Aptos"/>
                <w:color w:val="152A3B"/>
                <w:sz w:val="15"/>
              </w:rPr>
              <w:t>Large compute</w:t>
            </w:r>
          </w:p>
        </w:tc>
        <w:tc>
          <w:tcPr>
            <w:tcW w:type="dxa" w:w="3240"/>
            <w:vAlign w:val="center"/>
          </w:tcPr>
          <w:p>
            <w:pPr>
              <w:spacing w:after="0"/>
            </w:pPr>
            <w:r>
              <w:rPr>
                <w:rFonts w:ascii="Aptos" w:hAnsi="Aptos"/>
                <w:color w:val="152A3B"/>
                <w:sz w:val="15"/>
              </w:rPr>
              <w:t>Spark only if enterprise simulations require it</w:t>
            </w:r>
          </w:p>
        </w:tc>
        <w:tc>
          <w:tcPr>
            <w:tcW w:type="dxa" w:w="4968"/>
            <w:vAlign w:val="center"/>
          </w:tcPr>
          <w:p>
            <w:pPr>
              <w:spacing w:after="0"/>
            </w:pPr>
            <w:r>
              <w:rPr>
                <w:rFonts w:ascii="Aptos" w:hAnsi="Aptos"/>
                <w:color w:val="152A3B"/>
                <w:sz w:val="15"/>
              </w:rPr>
              <w:t>Not needed for ordinary learner portfolios.</w:t>
            </w:r>
          </w:p>
        </w:tc>
      </w:tr>
      <w:tr>
        <w:tc>
          <w:tcPr>
            <w:tcW w:type="dxa" w:w="1800"/>
            <w:shd w:fill="EEF5F7"/>
            <w:vAlign w:val="center"/>
          </w:tcPr>
          <w:p>
            <w:pPr>
              <w:spacing w:after="0"/>
            </w:pPr>
            <w:r>
              <w:rPr>
                <w:rFonts w:ascii="Aptos" w:hAnsi="Aptos"/>
                <w:color w:val="152A3B"/>
                <w:sz w:val="15"/>
              </w:rPr>
              <w:t>Media</w:t>
            </w:r>
          </w:p>
        </w:tc>
        <w:tc>
          <w:tcPr>
            <w:tcW w:type="dxa" w:w="3240"/>
            <w:vAlign w:val="center"/>
          </w:tcPr>
          <w:p>
            <w:pPr>
              <w:spacing w:after="0"/>
            </w:pPr>
            <w:r>
              <w:rPr>
                <w:rFonts w:ascii="Aptos" w:hAnsi="Aptos"/>
                <w:color w:val="152A3B"/>
                <w:sz w:val="15"/>
              </w:rPr>
              <w:t>Object storage + CDN/HLS</w:t>
            </w:r>
          </w:p>
        </w:tc>
        <w:tc>
          <w:tcPr>
            <w:tcW w:type="dxa" w:w="4968"/>
            <w:vAlign w:val="center"/>
          </w:tcPr>
          <w:p>
            <w:pPr>
              <w:spacing w:after="0"/>
            </w:pPr>
            <w:r>
              <w:rPr>
                <w:rFonts w:ascii="Aptos" w:hAnsi="Aptos"/>
                <w:color w:val="152A3B"/>
                <w:sz w:val="15"/>
              </w:rPr>
              <w:t>Pre-render once, serve cheaply at scale.</w:t>
            </w:r>
          </w:p>
        </w:tc>
      </w:tr>
      <w:tr>
        <w:tc>
          <w:tcPr>
            <w:tcW w:type="dxa" w:w="1800"/>
            <w:shd w:fill="EEF5F7"/>
            <w:vAlign w:val="center"/>
          </w:tcPr>
          <w:p>
            <w:pPr>
              <w:spacing w:after="0"/>
            </w:pPr>
            <w:r>
              <w:rPr>
                <w:rFonts w:ascii="Aptos" w:hAnsi="Aptos"/>
                <w:color w:val="152A3B"/>
                <w:sz w:val="15"/>
              </w:rPr>
              <w:t>Observability</w:t>
            </w:r>
          </w:p>
        </w:tc>
        <w:tc>
          <w:tcPr>
            <w:tcW w:type="dxa" w:w="3240"/>
            <w:vAlign w:val="center"/>
          </w:tcPr>
          <w:p>
            <w:pPr>
              <w:spacing w:after="0"/>
            </w:pPr>
            <w:r>
              <w:rPr>
                <w:rFonts w:ascii="Aptos" w:hAnsi="Aptos"/>
                <w:color w:val="152A3B"/>
                <w:sz w:val="15"/>
              </w:rPr>
              <w:t>OpenTelemetry + managed monitoring</w:t>
            </w:r>
          </w:p>
        </w:tc>
        <w:tc>
          <w:tcPr>
            <w:tcW w:type="dxa" w:w="4968"/>
            <w:vAlign w:val="center"/>
          </w:tcPr>
          <w:p>
            <w:pPr>
              <w:spacing w:after="0"/>
            </w:pPr>
            <w:r>
              <w:rPr>
                <w:rFonts w:ascii="Aptos" w:hAnsi="Aptos"/>
                <w:color w:val="152A3B"/>
                <w:sz w:val="15"/>
              </w:rPr>
              <w:t>Tutor latency, errors, cost and learning-event tracing.</w:t>
            </w:r>
          </w:p>
        </w:tc>
      </w:tr>
      <w:tr>
        <w:tc>
          <w:tcPr>
            <w:tcW w:type="dxa" w:w="1800"/>
            <w:shd w:fill="EEF5F7"/>
            <w:vAlign w:val="center"/>
          </w:tcPr>
          <w:p>
            <w:pPr>
              <w:spacing w:after="0"/>
            </w:pPr>
            <w:r>
              <w:rPr>
                <w:rFonts w:ascii="Aptos" w:hAnsi="Aptos"/>
                <w:color w:val="152A3B"/>
                <w:sz w:val="15"/>
              </w:rPr>
              <w:t>AI</w:t>
            </w:r>
          </w:p>
        </w:tc>
        <w:tc>
          <w:tcPr>
            <w:tcW w:type="dxa" w:w="3240"/>
            <w:vAlign w:val="center"/>
          </w:tcPr>
          <w:p>
            <w:pPr>
              <w:spacing w:after="0"/>
            </w:pPr>
            <w:r>
              <w:rPr>
                <w:rFonts w:ascii="Aptos" w:hAnsi="Aptos"/>
                <w:color w:val="152A3B"/>
                <w:sz w:val="15"/>
              </w:rPr>
              <w:t>Model-agnostic gateway</w:t>
            </w:r>
          </w:p>
        </w:tc>
        <w:tc>
          <w:tcPr>
            <w:tcW w:type="dxa" w:w="4968"/>
            <w:vAlign w:val="center"/>
          </w:tcPr>
          <w:p>
            <w:pPr>
              <w:spacing w:after="0"/>
            </w:pPr>
            <w:r>
              <w:rPr>
                <w:rFonts w:ascii="Aptos" w:hAnsi="Aptos"/>
                <w:color w:val="152A3B"/>
                <w:sz w:val="15"/>
              </w:rPr>
              <w:t>Avoid hard coupling to one LLM or media provider.</w:t>
            </w:r>
          </w:p>
        </w:tc>
      </w:tr>
    </w:tbl>
    <w:p>
      <w:pPr>
        <w:spacing w:after="40"/>
      </w:pPr>
    </w:p>
    <w:p>
      <w:pPr>
        <w:pStyle w:val="Heading2"/>
        <w:spacing w:before="160" w:after="80"/>
      </w:pPr>
      <w:r>
        <w:rPr>
          <w:rFonts w:ascii="Aptos" w:hAnsi="Aptos"/>
          <w:b/>
          <w:color w:val="2CB9B9"/>
          <w:sz w:val="30"/>
        </w:rPr>
        <w:t>12.2 Infrastructure strategy</w:t>
      </w:r>
    </w:p>
    <w:p>
      <w:pPr>
        <w:pStyle w:val="ListBullet"/>
        <w:spacing w:after="60"/>
      </w:pPr>
      <w:r>
        <w:rPr>
          <w:rFonts w:ascii="Aptos" w:hAnsi="Aptos"/>
          <w:b/>
          <w:color w:val="152A3B"/>
        </w:rPr>
        <w:t xml:space="preserve">Pre-render once: </w:t>
      </w:r>
      <w:r>
        <w:rPr>
          <w:rFonts w:ascii="Aptos" w:hAnsi="Aptos"/>
          <w:color w:val="152A3B"/>
        </w:rPr>
        <w:t>lesson video, diagrams, captions and localized media should be generated offline and cached/CDN-delivered.</w:t>
      </w:r>
    </w:p>
    <w:p>
      <w:pPr>
        <w:pStyle w:val="ListBullet"/>
        <w:spacing w:after="60"/>
      </w:pPr>
      <w:r>
        <w:rPr>
          <w:rFonts w:ascii="Aptos" w:hAnsi="Aptos"/>
          <w:b/>
          <w:color w:val="152A3B"/>
        </w:rPr>
        <w:t xml:space="preserve">Realtime only where it adds value: </w:t>
      </w:r>
      <w:r>
        <w:rPr>
          <w:rFonts w:ascii="Aptos" w:hAnsi="Aptos"/>
          <w:color w:val="152A3B"/>
        </w:rPr>
        <w:t>chat, voice, whiteboard, calculations, mastery updates and optional live avatar.</w:t>
      </w:r>
    </w:p>
    <w:p>
      <w:pPr>
        <w:pStyle w:val="ListBullet"/>
        <w:spacing w:after="60"/>
      </w:pPr>
      <w:r>
        <w:rPr>
          <w:rFonts w:ascii="Aptos" w:hAnsi="Aptos"/>
          <w:b/>
          <w:color w:val="152A3B"/>
        </w:rPr>
        <w:t xml:space="preserve">Control unit economics: </w:t>
      </w:r>
      <w:r>
        <w:rPr>
          <w:rFonts w:ascii="Aptos" w:hAnsi="Aptos"/>
          <w:color w:val="152A3B"/>
        </w:rPr>
        <w:t>text should be inexpensive; voice and live-avatar usage can be quota-based or premium.</w:t>
      </w:r>
    </w:p>
    <w:p>
      <w:pPr>
        <w:pStyle w:val="ListBullet"/>
        <w:spacing w:after="60"/>
      </w:pPr>
      <w:r>
        <w:rPr>
          <w:rFonts w:ascii="Aptos" w:hAnsi="Aptos"/>
          <w:b/>
          <w:color w:val="152A3B"/>
        </w:rPr>
        <w:t xml:space="preserve">Avoid premature cluster complexity: </w:t>
      </w:r>
      <w:r>
        <w:rPr>
          <w:rFonts w:ascii="Aptos" w:hAnsi="Aptos"/>
          <w:color w:val="152A3B"/>
        </w:rPr>
        <w:t>Python/Polars/Postgres are sufficient for synthetic learning portfolios; Spark becomes relevant only for very large enterprise portfolio simulations.</w:t>
      </w:r>
    </w:p>
    <w:p>
      <w:pPr>
        <w:pStyle w:val="Heading1"/>
      </w:pPr>
      <w:r>
        <w:rPr>
          <w:rFonts w:ascii="Aptos" w:hAnsi="Aptos"/>
          <w:b/>
          <w:color w:val="081726"/>
          <w:sz w:val="44"/>
        </w:rPr>
        <w:t>13. SME / Banker Partnership and Content Governance</w:t>
      </w:r>
    </w:p>
    <w:p>
      <w:pPr>
        <w:spacing w:after="120"/>
      </w:pPr>
      <w:r>
        <w:rPr>
          <w:rFonts w:ascii="Aptos" w:hAnsi="Aptos"/>
        </w:rPr>
        <w:t>Bankers and practitioners are important, but they do not need to be co-founders. Financial Pods should build a structured reviewer and advisory network that separates regulatory accuracy from practical workflow relevance.</w:t>
      </w:r>
    </w:p>
    <w:tbl>
      <w:tblPr>
        <w:tblStyle w:val="TableGrid"/>
        <w:tblW w:type="auto" w:w="0"/>
        <w:jc w:val="center"/>
        <w:tblLook w:firstColumn="1" w:firstRow="1" w:lastColumn="0" w:lastRow="0" w:noHBand="0" w:noVBand="1" w:val="04A0"/>
      </w:tblPr>
      <w:tblGrid>
        <w:gridCol w:w="3408"/>
        <w:gridCol w:w="3408"/>
        <w:gridCol w:w="3408"/>
      </w:tblGrid>
      <w:tr>
        <w:tc>
          <w:tcPr>
            <w:tcW w:type="dxa" w:w="2304"/>
            <w:shd w:fill="081726"/>
            <w:vAlign w:val="center"/>
          </w:tcPr>
          <w:p>
            <w:pPr>
              <w:jc w:val="center"/>
            </w:pPr>
            <w:r>
              <w:rPr>
                <w:rFonts w:ascii="Aptos" w:hAnsi="Aptos"/>
                <w:b/>
                <w:color w:val="FFFFFF"/>
                <w:sz w:val="16"/>
              </w:rPr>
              <w:t>Group</w:t>
            </w:r>
          </w:p>
        </w:tc>
        <w:tc>
          <w:tcPr>
            <w:tcW w:type="dxa" w:w="4464"/>
            <w:shd w:fill="081726"/>
            <w:vAlign w:val="center"/>
          </w:tcPr>
          <w:p>
            <w:pPr>
              <w:jc w:val="center"/>
            </w:pPr>
            <w:r>
              <w:rPr>
                <w:rFonts w:ascii="Aptos" w:hAnsi="Aptos"/>
                <w:b/>
                <w:color w:val="FFFFFF"/>
                <w:sz w:val="16"/>
              </w:rPr>
              <w:t>Role</w:t>
            </w:r>
          </w:p>
        </w:tc>
        <w:tc>
          <w:tcPr>
            <w:tcW w:type="dxa" w:w="3240"/>
            <w:shd w:fill="081726"/>
            <w:vAlign w:val="center"/>
          </w:tcPr>
          <w:p>
            <w:pPr>
              <w:jc w:val="center"/>
            </w:pPr>
            <w:r>
              <w:rPr>
                <w:rFonts w:ascii="Aptos" w:hAnsi="Aptos"/>
                <w:b/>
                <w:color w:val="FFFFFF"/>
                <w:sz w:val="16"/>
              </w:rPr>
              <w:t>Initial target</w:t>
            </w:r>
          </w:p>
        </w:tc>
      </w:tr>
      <w:tr>
        <w:tc>
          <w:tcPr>
            <w:tcW w:type="dxa" w:w="2304"/>
            <w:shd w:fill="EEF5F7"/>
            <w:vAlign w:val="center"/>
          </w:tcPr>
          <w:p>
            <w:pPr>
              <w:spacing w:after="0"/>
            </w:pPr>
            <w:r>
              <w:rPr>
                <w:rFonts w:ascii="Aptos" w:hAnsi="Aptos"/>
                <w:color w:val="152A3B"/>
                <w:sz w:val="16"/>
              </w:rPr>
              <w:t>Regulatory Content Council</w:t>
            </w:r>
          </w:p>
        </w:tc>
        <w:tc>
          <w:tcPr>
            <w:tcW w:type="dxa" w:w="4464"/>
            <w:vAlign w:val="center"/>
          </w:tcPr>
          <w:p>
            <w:pPr>
              <w:spacing w:after="0"/>
            </w:pPr>
            <w:r>
              <w:rPr>
                <w:rFonts w:ascii="Aptos" w:hAnsi="Aptos"/>
                <w:color w:val="152A3B"/>
                <w:sz w:val="16"/>
              </w:rPr>
              <w:t>Validate BCBS, U.S., SAMA and CBUAE interpretations, examples and calculations.</w:t>
            </w:r>
          </w:p>
        </w:tc>
        <w:tc>
          <w:tcPr>
            <w:tcW w:type="dxa" w:w="3240"/>
            <w:vAlign w:val="center"/>
          </w:tcPr>
          <w:p>
            <w:pPr>
              <w:spacing w:after="0"/>
            </w:pPr>
            <w:r>
              <w:rPr>
                <w:rFonts w:ascii="Aptos" w:hAnsi="Aptos"/>
                <w:color w:val="152A3B"/>
                <w:sz w:val="16"/>
              </w:rPr>
              <w:t>US capital SME; Saudi/SAMA SME; UAE/CBUAE SME; validation/reporting practitioner.</w:t>
            </w:r>
          </w:p>
        </w:tc>
      </w:tr>
      <w:tr>
        <w:tc>
          <w:tcPr>
            <w:tcW w:type="dxa" w:w="2304"/>
            <w:shd w:fill="EEF5F7"/>
            <w:vAlign w:val="center"/>
          </w:tcPr>
          <w:p>
            <w:pPr>
              <w:spacing w:after="0"/>
            </w:pPr>
            <w:r>
              <w:rPr>
                <w:rFonts w:ascii="Aptos" w:hAnsi="Aptos"/>
                <w:color w:val="152A3B"/>
                <w:sz w:val="16"/>
              </w:rPr>
              <w:t>Industry Learning Council</w:t>
            </w:r>
          </w:p>
        </w:tc>
        <w:tc>
          <w:tcPr>
            <w:tcW w:type="dxa" w:w="4464"/>
            <w:vAlign w:val="center"/>
          </w:tcPr>
          <w:p>
            <w:pPr>
              <w:spacing w:after="0"/>
            </w:pPr>
            <w:r>
              <w:rPr>
                <w:rFonts w:ascii="Aptos" w:hAnsi="Aptos"/>
                <w:color w:val="152A3B"/>
                <w:sz w:val="16"/>
              </w:rPr>
              <w:t>Ensure the course feels like real bank work and identify skill gaps.</w:t>
            </w:r>
          </w:p>
        </w:tc>
        <w:tc>
          <w:tcPr>
            <w:tcW w:type="dxa" w:w="3240"/>
            <w:vAlign w:val="center"/>
          </w:tcPr>
          <w:p>
            <w:pPr>
              <w:spacing w:after="0"/>
            </w:pPr>
            <w:r>
              <w:rPr>
                <w:rFonts w:ascii="Aptos" w:hAnsi="Aptos"/>
                <w:color w:val="152A3B"/>
                <w:sz w:val="16"/>
              </w:rPr>
              <w:t>Capital manager/analyst; consulting practitioner; bank L&amp;D/training buyer.</w:t>
            </w:r>
          </w:p>
        </w:tc>
      </w:tr>
      <w:tr>
        <w:tc>
          <w:tcPr>
            <w:tcW w:type="dxa" w:w="2304"/>
            <w:shd w:fill="EEF5F7"/>
            <w:vAlign w:val="center"/>
          </w:tcPr>
          <w:p>
            <w:pPr>
              <w:spacing w:after="0"/>
            </w:pPr>
            <w:r>
              <w:rPr>
                <w:rFonts w:ascii="Aptos" w:hAnsi="Aptos"/>
                <w:color w:val="152A3B"/>
                <w:sz w:val="16"/>
              </w:rPr>
              <w:t>Beta practitioner panel</w:t>
            </w:r>
          </w:p>
        </w:tc>
        <w:tc>
          <w:tcPr>
            <w:tcW w:type="dxa" w:w="4464"/>
            <w:vAlign w:val="center"/>
          </w:tcPr>
          <w:p>
            <w:pPr>
              <w:spacing w:after="0"/>
            </w:pPr>
            <w:r>
              <w:rPr>
                <w:rFonts w:ascii="Aptos" w:hAnsi="Aptos"/>
                <w:color w:val="152A3B"/>
                <w:sz w:val="16"/>
              </w:rPr>
              <w:t>Use the Golden Lesson and expose confusion, UX gaps and willingness to pay.</w:t>
            </w:r>
          </w:p>
        </w:tc>
        <w:tc>
          <w:tcPr>
            <w:tcW w:type="dxa" w:w="3240"/>
            <w:vAlign w:val="center"/>
          </w:tcPr>
          <w:p>
            <w:pPr>
              <w:spacing w:after="0"/>
            </w:pPr>
            <w:r>
              <w:rPr>
                <w:rFonts w:ascii="Aptos" w:hAnsi="Aptos"/>
                <w:color w:val="152A3B"/>
                <w:sz w:val="16"/>
              </w:rPr>
              <w:t>10–20 practitioners across regions.</w:t>
            </w:r>
          </w:p>
        </w:tc>
      </w:tr>
    </w:tbl>
    <w:p>
      <w:pPr>
        <w:spacing w:after="40"/>
      </w:pPr>
    </w:p>
    <w:p>
      <w:pPr>
        <w:pStyle w:val="Heading2"/>
        <w:spacing w:before="160" w:after="80"/>
      </w:pPr>
      <w:r>
        <w:rPr>
          <w:rFonts w:ascii="Aptos" w:hAnsi="Aptos"/>
          <w:b/>
          <w:color w:val="2CB9B9"/>
          <w:sz w:val="30"/>
        </w:rPr>
        <w:t>13.1 Content governance workflow</w:t>
      </w:r>
    </w:p>
    <w:p>
      <w:pPr>
        <w:spacing w:after="80"/>
        <w:ind w:left="0" w:firstLine="0"/>
      </w:pPr>
      <w:r>
        <w:rPr>
          <w:rFonts w:ascii="Aptos" w:hAnsi="Aptos"/>
          <w:b/>
          <w:color w:val="081726"/>
        </w:rPr>
        <w:t xml:space="preserve">1.  </w:t>
      </w:r>
      <w:r>
        <w:rPr>
          <w:rFonts w:ascii="Aptos" w:hAnsi="Aptos"/>
          <w:color w:val="152A3B"/>
        </w:rPr>
        <w:t>Ingest and version the official regulation.</w:t>
      </w:r>
    </w:p>
    <w:p>
      <w:pPr>
        <w:spacing w:after="80"/>
        <w:ind w:left="0" w:firstLine="0"/>
      </w:pPr>
      <w:r>
        <w:rPr>
          <w:rFonts w:ascii="Aptos" w:hAnsi="Aptos"/>
          <w:b/>
          <w:color w:val="081726"/>
        </w:rPr>
        <w:t xml:space="preserve">2.  </w:t>
      </w:r>
      <w:r>
        <w:rPr>
          <w:rFonts w:ascii="Aptos" w:hAnsi="Aptos"/>
          <w:color w:val="152A3B"/>
        </w:rPr>
        <w:t>Create a structured rule object with citations and jurisdiction metadata.</w:t>
      </w:r>
    </w:p>
    <w:p>
      <w:pPr>
        <w:spacing w:after="80"/>
        <w:ind w:left="0" w:firstLine="0"/>
      </w:pPr>
      <w:r>
        <w:rPr>
          <w:rFonts w:ascii="Aptos" w:hAnsi="Aptos"/>
          <w:b/>
          <w:color w:val="081726"/>
        </w:rPr>
        <w:t xml:space="preserve">3.  </w:t>
      </w:r>
      <w:r>
        <w:rPr>
          <w:rFonts w:ascii="Aptos" w:hAnsi="Aptos"/>
          <w:color w:val="152A3B"/>
        </w:rPr>
        <w:t>Generate a first lesson/script/exercise draft.</w:t>
      </w:r>
    </w:p>
    <w:p>
      <w:pPr>
        <w:spacing w:after="80"/>
        <w:ind w:left="0" w:firstLine="0"/>
      </w:pPr>
      <w:r>
        <w:rPr>
          <w:rFonts w:ascii="Aptos" w:hAnsi="Aptos"/>
          <w:b/>
          <w:color w:val="081726"/>
        </w:rPr>
        <w:t xml:space="preserve">4.  </w:t>
      </w:r>
      <w:r>
        <w:rPr>
          <w:rFonts w:ascii="Aptos" w:hAnsi="Aptos"/>
          <w:color w:val="152A3B"/>
        </w:rPr>
        <w:t>Run deterministic examples and automated validation checks.</w:t>
      </w:r>
    </w:p>
    <w:p>
      <w:pPr>
        <w:spacing w:after="80"/>
        <w:ind w:left="0" w:firstLine="0"/>
      </w:pPr>
      <w:r>
        <w:rPr>
          <w:rFonts w:ascii="Aptos" w:hAnsi="Aptos"/>
          <w:b/>
          <w:color w:val="081726"/>
        </w:rPr>
        <w:t xml:space="preserve">5.  </w:t>
      </w:r>
      <w:r>
        <w:rPr>
          <w:rFonts w:ascii="Aptos" w:hAnsi="Aptos"/>
          <w:color w:val="152A3B"/>
        </w:rPr>
        <w:t>SME reviews rule interpretation and expected outputs.</w:t>
      </w:r>
    </w:p>
    <w:p>
      <w:pPr>
        <w:spacing w:after="80"/>
        <w:ind w:left="0" w:firstLine="0"/>
      </w:pPr>
      <w:r>
        <w:rPr>
          <w:rFonts w:ascii="Aptos" w:hAnsi="Aptos"/>
          <w:b/>
          <w:color w:val="081726"/>
        </w:rPr>
        <w:t xml:space="preserve">6.  </w:t>
      </w:r>
      <w:r>
        <w:rPr>
          <w:rFonts w:ascii="Aptos" w:hAnsi="Aptos"/>
          <w:color w:val="152A3B"/>
        </w:rPr>
        <w:t>Second QA pass confirms terminology, jurisdiction and pedagogical clarity.</w:t>
      </w:r>
    </w:p>
    <w:p>
      <w:pPr>
        <w:spacing w:after="80"/>
        <w:ind w:left="0" w:firstLine="0"/>
      </w:pPr>
      <w:r>
        <w:rPr>
          <w:rFonts w:ascii="Aptos" w:hAnsi="Aptos"/>
          <w:b/>
          <w:color w:val="081726"/>
        </w:rPr>
        <w:t xml:space="preserve">7.  </w:t>
      </w:r>
      <w:r>
        <w:rPr>
          <w:rFonts w:ascii="Aptos" w:hAnsi="Aptos"/>
          <w:color w:val="152A3B"/>
        </w:rPr>
        <w:t>Generate media and semantic timeline.</w:t>
      </w:r>
    </w:p>
    <w:p>
      <w:pPr>
        <w:spacing w:after="80"/>
        <w:ind w:left="0" w:firstLine="0"/>
      </w:pPr>
      <w:r>
        <w:rPr>
          <w:rFonts w:ascii="Aptos" w:hAnsi="Aptos"/>
          <w:b/>
          <w:color w:val="081726"/>
        </w:rPr>
        <w:t xml:space="preserve">8.  </w:t>
      </w:r>
      <w:r>
        <w:rPr>
          <w:rFonts w:ascii="Aptos" w:hAnsi="Aptos"/>
          <w:color w:val="152A3B"/>
        </w:rPr>
        <w:t>Publish with rule version, reviewer status and effective-date metadata.</w:t>
      </w:r>
    </w:p>
    <w:p>
      <w:pPr>
        <w:spacing w:after="80"/>
        <w:ind w:left="0" w:firstLine="0"/>
      </w:pPr>
      <w:r>
        <w:rPr>
          <w:rFonts w:ascii="Aptos" w:hAnsi="Aptos"/>
          <w:b/>
          <w:color w:val="081726"/>
        </w:rPr>
        <w:t xml:space="preserve">9.  </w:t>
      </w:r>
      <w:r>
        <w:rPr>
          <w:rFonts w:ascii="Aptos" w:hAnsi="Aptos"/>
          <w:color w:val="152A3B"/>
        </w:rPr>
        <w:t>When the regulation changes, flag affected lessons, calculators, quizzes and practice cases for review.</w:t>
      </w:r>
    </w:p>
    <w:p>
      <w:pPr>
        <w:pStyle w:val="Heading1"/>
      </w:pPr>
      <w:r>
        <w:rPr>
          <w:rFonts w:ascii="Aptos" w:hAnsi="Aptos"/>
          <w:b/>
          <w:color w:val="081726"/>
          <w:sz w:val="44"/>
        </w:rPr>
        <w:t>14. Monetization and Go-to-Market</w:t>
      </w:r>
    </w:p>
    <w:p>
      <w:pPr>
        <w:spacing w:after="120"/>
      </w:pPr>
      <w:r>
        <w:rPr>
          <w:rFonts w:ascii="Aptos" w:hAnsi="Aptos"/>
        </w:rPr>
        <w:t>The product can monetize through both individuals and institutions. The fastest validation path is likely B2C/professional learners and paid practitioner programs; enterprise bank training becomes more attractive after the platform proves content accuracy, learning outcomes and engagement.</w:t>
      </w:r>
    </w:p>
    <w:tbl>
      <w:tblPr>
        <w:tblStyle w:val="TableGrid"/>
        <w:tblW w:type="auto" w:w="0"/>
        <w:jc w:val="center"/>
        <w:tblLook w:firstColumn="1" w:firstRow="1" w:lastColumn="0" w:lastRow="0" w:noHBand="0" w:noVBand="1" w:val="04A0"/>
      </w:tblPr>
      <w:tblGrid>
        <w:gridCol w:w="3408"/>
        <w:gridCol w:w="3408"/>
        <w:gridCol w:w="3408"/>
      </w:tblGrid>
      <w:tr>
        <w:tc>
          <w:tcPr>
            <w:tcW w:type="dxa" w:w="2520"/>
            <w:shd w:fill="081726"/>
            <w:vAlign w:val="center"/>
          </w:tcPr>
          <w:p>
            <w:pPr>
              <w:jc w:val="center"/>
            </w:pPr>
            <w:r>
              <w:rPr>
                <w:rFonts w:ascii="Aptos" w:hAnsi="Aptos"/>
                <w:b/>
                <w:color w:val="FFFFFF"/>
                <w:sz w:val="16"/>
              </w:rPr>
              <w:t>Offer</w:t>
            </w:r>
          </w:p>
        </w:tc>
        <w:tc>
          <w:tcPr>
            <w:tcW w:type="dxa" w:w="2448"/>
            <w:shd w:fill="081726"/>
            <w:vAlign w:val="center"/>
          </w:tcPr>
          <w:p>
            <w:pPr>
              <w:jc w:val="center"/>
            </w:pPr>
            <w:r>
              <w:rPr>
                <w:rFonts w:ascii="Aptos" w:hAnsi="Aptos"/>
                <w:b/>
                <w:color w:val="FFFFFF"/>
                <w:sz w:val="16"/>
              </w:rPr>
              <w:t>Pricing hypothesis to test</w:t>
            </w:r>
          </w:p>
        </w:tc>
        <w:tc>
          <w:tcPr>
            <w:tcW w:type="dxa" w:w="4320"/>
            <w:shd w:fill="081726"/>
            <w:vAlign w:val="center"/>
          </w:tcPr>
          <w:p>
            <w:pPr>
              <w:jc w:val="center"/>
            </w:pPr>
            <w:r>
              <w:rPr>
                <w:rFonts w:ascii="Aptos" w:hAnsi="Aptos"/>
                <w:b/>
                <w:color w:val="FFFFFF"/>
                <w:sz w:val="16"/>
              </w:rPr>
              <w:t>Buyer / objective</w:t>
            </w:r>
          </w:p>
        </w:tc>
      </w:tr>
      <w:tr>
        <w:tc>
          <w:tcPr>
            <w:tcW w:type="dxa" w:w="2520"/>
            <w:shd w:fill="EEF5F7"/>
            <w:vAlign w:val="center"/>
          </w:tcPr>
          <w:p>
            <w:pPr>
              <w:spacing w:after="0"/>
            </w:pPr>
            <w:r>
              <w:rPr>
                <w:rFonts w:ascii="Aptos" w:hAnsi="Aptos"/>
                <w:color w:val="152A3B"/>
                <w:sz w:val="16"/>
              </w:rPr>
              <w:t>Free Foundations</w:t>
            </w:r>
          </w:p>
        </w:tc>
        <w:tc>
          <w:tcPr>
            <w:tcW w:type="dxa" w:w="2448"/>
            <w:vAlign w:val="center"/>
          </w:tcPr>
          <w:p>
            <w:pPr>
              <w:spacing w:after="0"/>
            </w:pPr>
            <w:r>
              <w:rPr>
                <w:rFonts w:ascii="Aptos" w:hAnsi="Aptos"/>
                <w:color w:val="152A3B"/>
                <w:sz w:val="16"/>
              </w:rPr>
              <w:t>$0</w:t>
            </w:r>
          </w:p>
        </w:tc>
        <w:tc>
          <w:tcPr>
            <w:tcW w:type="dxa" w:w="4320"/>
            <w:vAlign w:val="center"/>
          </w:tcPr>
          <w:p>
            <w:pPr>
              <w:spacing w:after="0"/>
            </w:pPr>
            <w:r>
              <w:rPr>
                <w:rFonts w:ascii="Aptos" w:hAnsi="Aptos"/>
                <w:color w:val="152A3B"/>
                <w:sz w:val="16"/>
              </w:rPr>
              <w:t>Acquire learners and demonstrate product experience.</w:t>
            </w:r>
          </w:p>
        </w:tc>
      </w:tr>
      <w:tr>
        <w:tc>
          <w:tcPr>
            <w:tcW w:type="dxa" w:w="2520"/>
            <w:shd w:fill="EEF5F7"/>
            <w:vAlign w:val="center"/>
          </w:tcPr>
          <w:p>
            <w:pPr>
              <w:spacing w:after="0"/>
            </w:pPr>
            <w:r>
              <w:rPr>
                <w:rFonts w:ascii="Aptos" w:hAnsi="Aptos"/>
                <w:color w:val="152A3B"/>
                <w:sz w:val="16"/>
              </w:rPr>
              <w:t>Individual</w:t>
            </w:r>
          </w:p>
        </w:tc>
        <w:tc>
          <w:tcPr>
            <w:tcW w:type="dxa" w:w="2448"/>
            <w:vAlign w:val="center"/>
          </w:tcPr>
          <w:p>
            <w:pPr>
              <w:spacing w:after="0"/>
            </w:pPr>
            <w:r>
              <w:rPr>
                <w:rFonts w:ascii="Aptos" w:hAnsi="Aptos"/>
                <w:color w:val="152A3B"/>
                <w:sz w:val="16"/>
              </w:rPr>
              <w:t>$29–49/month</w:t>
            </w:r>
          </w:p>
        </w:tc>
        <w:tc>
          <w:tcPr>
            <w:tcW w:type="dxa" w:w="4320"/>
            <w:vAlign w:val="center"/>
          </w:tcPr>
          <w:p>
            <w:pPr>
              <w:spacing w:after="0"/>
            </w:pPr>
            <w:r>
              <w:rPr>
                <w:rFonts w:ascii="Aptos" w:hAnsi="Aptos"/>
                <w:color w:val="152A3B"/>
                <w:sz w:val="16"/>
              </w:rPr>
              <w:t>Learners who want core content + chat.</w:t>
            </w:r>
          </w:p>
        </w:tc>
      </w:tr>
      <w:tr>
        <w:tc>
          <w:tcPr>
            <w:tcW w:type="dxa" w:w="2520"/>
            <w:shd w:fill="EEF5F7"/>
            <w:vAlign w:val="center"/>
          </w:tcPr>
          <w:p>
            <w:pPr>
              <w:spacing w:after="0"/>
            </w:pPr>
            <w:r>
              <w:rPr>
                <w:rFonts w:ascii="Aptos" w:hAnsi="Aptos"/>
                <w:color w:val="152A3B"/>
                <w:sz w:val="16"/>
              </w:rPr>
              <w:t>Professional</w:t>
            </w:r>
          </w:p>
        </w:tc>
        <w:tc>
          <w:tcPr>
            <w:tcW w:type="dxa" w:w="2448"/>
            <w:vAlign w:val="center"/>
          </w:tcPr>
          <w:p>
            <w:pPr>
              <w:spacing w:after="0"/>
            </w:pPr>
            <w:r>
              <w:rPr>
                <w:rFonts w:ascii="Aptos" w:hAnsi="Aptos"/>
                <w:color w:val="152A3B"/>
                <w:sz w:val="16"/>
              </w:rPr>
              <w:t>$59–79/month</w:t>
            </w:r>
          </w:p>
        </w:tc>
        <w:tc>
          <w:tcPr>
            <w:tcW w:type="dxa" w:w="4320"/>
            <w:vAlign w:val="center"/>
          </w:tcPr>
          <w:p>
            <w:pPr>
              <w:spacing w:after="0"/>
            </w:pPr>
            <w:r>
              <w:rPr>
                <w:rFonts w:ascii="Aptos" w:hAnsi="Aptos"/>
                <w:color w:val="152A3B"/>
                <w:sz w:val="16"/>
              </w:rPr>
              <w:t>Voice, labs, jurisdictions, practice.</w:t>
            </w:r>
          </w:p>
        </w:tc>
      </w:tr>
      <w:tr>
        <w:tc>
          <w:tcPr>
            <w:tcW w:type="dxa" w:w="2520"/>
            <w:shd w:fill="EEF5F7"/>
            <w:vAlign w:val="center"/>
          </w:tcPr>
          <w:p>
            <w:pPr>
              <w:spacing w:after="0"/>
            </w:pPr>
            <w:r>
              <w:rPr>
                <w:rFonts w:ascii="Aptos" w:hAnsi="Aptos"/>
                <w:color w:val="152A3B"/>
                <w:sz w:val="16"/>
              </w:rPr>
              <w:t>Professional+</w:t>
            </w:r>
          </w:p>
        </w:tc>
        <w:tc>
          <w:tcPr>
            <w:tcW w:type="dxa" w:w="2448"/>
            <w:vAlign w:val="center"/>
          </w:tcPr>
          <w:p>
            <w:pPr>
              <w:spacing w:after="0"/>
            </w:pPr>
            <w:r>
              <w:rPr>
                <w:rFonts w:ascii="Aptos" w:hAnsi="Aptos"/>
                <w:color w:val="152A3B"/>
                <w:sz w:val="16"/>
              </w:rPr>
              <w:t>$99/month</w:t>
            </w:r>
          </w:p>
        </w:tc>
        <w:tc>
          <w:tcPr>
            <w:tcW w:type="dxa" w:w="4320"/>
            <w:vAlign w:val="center"/>
          </w:tcPr>
          <w:p>
            <w:pPr>
              <w:spacing w:after="0"/>
            </w:pPr>
            <w:r>
              <w:rPr>
                <w:rFonts w:ascii="Aptos" w:hAnsi="Aptos"/>
                <w:color w:val="152A3B"/>
                <w:sz w:val="16"/>
              </w:rPr>
              <w:t>Heavy voice/viva and premium career features.</w:t>
            </w:r>
          </w:p>
        </w:tc>
      </w:tr>
      <w:tr>
        <w:tc>
          <w:tcPr>
            <w:tcW w:type="dxa" w:w="2520"/>
            <w:shd w:fill="EEF5F7"/>
            <w:vAlign w:val="center"/>
          </w:tcPr>
          <w:p>
            <w:pPr>
              <w:spacing w:after="0"/>
            </w:pPr>
            <w:r>
              <w:rPr>
                <w:rFonts w:ascii="Aptos" w:hAnsi="Aptos"/>
                <w:color w:val="152A3B"/>
                <w:sz w:val="16"/>
              </w:rPr>
              <w:t>Annual membership</w:t>
            </w:r>
          </w:p>
        </w:tc>
        <w:tc>
          <w:tcPr>
            <w:tcW w:type="dxa" w:w="2448"/>
            <w:vAlign w:val="center"/>
          </w:tcPr>
          <w:p>
            <w:pPr>
              <w:spacing w:after="0"/>
            </w:pPr>
            <w:r>
              <w:rPr>
                <w:rFonts w:ascii="Aptos" w:hAnsi="Aptos"/>
                <w:color w:val="152A3B"/>
                <w:sz w:val="16"/>
              </w:rPr>
              <w:t>$499–799/year</w:t>
            </w:r>
          </w:p>
        </w:tc>
        <w:tc>
          <w:tcPr>
            <w:tcW w:type="dxa" w:w="4320"/>
            <w:vAlign w:val="center"/>
          </w:tcPr>
          <w:p>
            <w:pPr>
              <w:spacing w:after="0"/>
            </w:pPr>
            <w:r>
              <w:rPr>
                <w:rFonts w:ascii="Aptos" w:hAnsi="Aptos"/>
                <w:color w:val="152A3B"/>
                <w:sz w:val="16"/>
              </w:rPr>
              <w:t>Cross-Pod professional access.</w:t>
            </w:r>
          </w:p>
        </w:tc>
      </w:tr>
      <w:tr>
        <w:tc>
          <w:tcPr>
            <w:tcW w:type="dxa" w:w="2520"/>
            <w:shd w:fill="EEF5F7"/>
            <w:vAlign w:val="center"/>
          </w:tcPr>
          <w:p>
            <w:pPr>
              <w:spacing w:after="0"/>
            </w:pPr>
            <w:r>
              <w:rPr>
                <w:rFonts w:ascii="Aptos" w:hAnsi="Aptos"/>
                <w:color w:val="152A3B"/>
                <w:sz w:val="16"/>
              </w:rPr>
              <w:t>Jurisdiction / practitioner program</w:t>
            </w:r>
          </w:p>
        </w:tc>
        <w:tc>
          <w:tcPr>
            <w:tcW w:type="dxa" w:w="2448"/>
            <w:vAlign w:val="center"/>
          </w:tcPr>
          <w:p>
            <w:pPr>
              <w:spacing w:after="0"/>
            </w:pPr>
            <w:r>
              <w:rPr>
                <w:rFonts w:ascii="Aptos" w:hAnsi="Aptos"/>
                <w:color w:val="152A3B"/>
                <w:sz w:val="16"/>
              </w:rPr>
              <w:t>$199–399</w:t>
            </w:r>
          </w:p>
        </w:tc>
        <w:tc>
          <w:tcPr>
            <w:tcW w:type="dxa" w:w="4320"/>
            <w:vAlign w:val="center"/>
          </w:tcPr>
          <w:p>
            <w:pPr>
              <w:spacing w:after="0"/>
            </w:pPr>
            <w:r>
              <w:rPr>
                <w:rFonts w:ascii="Aptos" w:hAnsi="Aptos"/>
                <w:color w:val="152A3B"/>
                <w:sz w:val="16"/>
              </w:rPr>
              <w:t>Focused SAMA/UAE/U.S. specialization.</w:t>
            </w:r>
          </w:p>
        </w:tc>
      </w:tr>
      <w:tr>
        <w:tc>
          <w:tcPr>
            <w:tcW w:type="dxa" w:w="2520"/>
            <w:shd w:fill="EEF5F7"/>
            <w:vAlign w:val="center"/>
          </w:tcPr>
          <w:p>
            <w:pPr>
              <w:spacing w:after="0"/>
            </w:pPr>
            <w:r>
              <w:rPr>
                <w:rFonts w:ascii="Aptos" w:hAnsi="Aptos"/>
                <w:color w:val="152A3B"/>
                <w:sz w:val="16"/>
              </w:rPr>
              <w:t>Bank team pilot</w:t>
            </w:r>
          </w:p>
        </w:tc>
        <w:tc>
          <w:tcPr>
            <w:tcW w:type="dxa" w:w="2448"/>
            <w:vAlign w:val="center"/>
          </w:tcPr>
          <w:p>
            <w:pPr>
              <w:spacing w:after="0"/>
            </w:pPr>
            <w:r>
              <w:rPr>
                <w:rFonts w:ascii="Aptos" w:hAnsi="Aptos"/>
                <w:color w:val="152A3B"/>
                <w:sz w:val="16"/>
              </w:rPr>
              <w:t>$10K–25K</w:t>
            </w:r>
          </w:p>
        </w:tc>
        <w:tc>
          <w:tcPr>
            <w:tcW w:type="dxa" w:w="4320"/>
            <w:vAlign w:val="center"/>
          </w:tcPr>
          <w:p>
            <w:pPr>
              <w:spacing w:after="0"/>
            </w:pPr>
            <w:r>
              <w:rPr>
                <w:rFonts w:ascii="Aptos" w:hAnsi="Aptos"/>
                <w:color w:val="152A3B"/>
                <w:sz w:val="16"/>
              </w:rPr>
              <w:t>Validate L&amp;D value with a cohort.</w:t>
            </w:r>
          </w:p>
        </w:tc>
      </w:tr>
      <w:tr>
        <w:tc>
          <w:tcPr>
            <w:tcW w:type="dxa" w:w="2520"/>
            <w:shd w:fill="EEF5F7"/>
            <w:vAlign w:val="center"/>
          </w:tcPr>
          <w:p>
            <w:pPr>
              <w:spacing w:after="0"/>
            </w:pPr>
            <w:r>
              <w:rPr>
                <w:rFonts w:ascii="Aptos" w:hAnsi="Aptos"/>
                <w:color w:val="152A3B"/>
                <w:sz w:val="16"/>
              </w:rPr>
              <w:t>Bank academy</w:t>
            </w:r>
          </w:p>
        </w:tc>
        <w:tc>
          <w:tcPr>
            <w:tcW w:type="dxa" w:w="2448"/>
            <w:vAlign w:val="center"/>
          </w:tcPr>
          <w:p>
            <w:pPr>
              <w:spacing w:after="0"/>
            </w:pPr>
            <w:r>
              <w:rPr>
                <w:rFonts w:ascii="Aptos" w:hAnsi="Aptos"/>
                <w:color w:val="152A3B"/>
                <w:sz w:val="16"/>
              </w:rPr>
              <w:t>$25K–100K+/year</w:t>
            </w:r>
          </w:p>
        </w:tc>
        <w:tc>
          <w:tcPr>
            <w:tcW w:type="dxa" w:w="4320"/>
            <w:vAlign w:val="center"/>
          </w:tcPr>
          <w:p>
            <w:pPr>
              <w:spacing w:after="0"/>
            </w:pPr>
            <w:r>
              <w:rPr>
                <w:rFonts w:ascii="Aptos" w:hAnsi="Aptos"/>
                <w:color w:val="152A3B"/>
                <w:sz w:val="16"/>
              </w:rPr>
              <w:t>Enterprise training, dashboards and assignments.</w:t>
            </w:r>
          </w:p>
        </w:tc>
      </w:tr>
      <w:tr>
        <w:tc>
          <w:tcPr>
            <w:tcW w:type="dxa" w:w="2520"/>
            <w:shd w:fill="EEF5F7"/>
            <w:vAlign w:val="center"/>
          </w:tcPr>
          <w:p>
            <w:pPr>
              <w:spacing w:after="0"/>
            </w:pPr>
            <w:r>
              <w:rPr>
                <w:rFonts w:ascii="Aptos" w:hAnsi="Aptos"/>
                <w:color w:val="152A3B"/>
                <w:sz w:val="16"/>
              </w:rPr>
              <w:t>Enterprise/custom</w:t>
            </w:r>
          </w:p>
        </w:tc>
        <w:tc>
          <w:tcPr>
            <w:tcW w:type="dxa" w:w="2448"/>
            <w:vAlign w:val="center"/>
          </w:tcPr>
          <w:p>
            <w:pPr>
              <w:spacing w:after="0"/>
            </w:pPr>
            <w:r>
              <w:rPr>
                <w:rFonts w:ascii="Aptos" w:hAnsi="Aptos"/>
                <w:color w:val="152A3B"/>
                <w:sz w:val="16"/>
              </w:rPr>
              <w:t>Custom</w:t>
            </w:r>
          </w:p>
        </w:tc>
        <w:tc>
          <w:tcPr>
            <w:tcW w:type="dxa" w:w="4320"/>
            <w:vAlign w:val="center"/>
          </w:tcPr>
          <w:p>
            <w:pPr>
              <w:spacing w:after="0"/>
            </w:pPr>
            <w:r>
              <w:rPr>
                <w:rFonts w:ascii="Aptos" w:hAnsi="Aptos"/>
                <w:color w:val="152A3B"/>
                <w:sz w:val="16"/>
              </w:rPr>
              <w:t>Private curriculum, SSO, analytics, institution content.</w:t>
            </w:r>
          </w:p>
        </w:tc>
      </w:tr>
    </w:tbl>
    <w:p>
      <w:pPr>
        <w:spacing w:after="40"/>
      </w:pPr>
    </w:p>
    <w:p>
      <w:pPr>
        <w:spacing w:after="120"/>
      </w:pPr>
      <w:r>
        <w:rPr>
          <w:rFonts w:ascii="Aptos" w:hAnsi="Aptos"/>
        </w:rPr>
        <w:t>These are hypotheses, not validated prices. Market anchors span low-cost AI tutoring, annual finance-learning memberships and multi-thousand-dollar instructor-led Basel training. [S5][S8][S9]</w:t>
      </w:r>
    </w:p>
    <w:p>
      <w:pPr>
        <w:pStyle w:val="Heading2"/>
        <w:spacing w:before="160" w:after="80"/>
      </w:pPr>
      <w:r>
        <w:rPr>
          <w:rFonts w:ascii="Aptos" w:hAnsi="Aptos"/>
          <w:b/>
          <w:color w:val="2CB9B9"/>
          <w:sz w:val="30"/>
        </w:rPr>
        <w:t>14.1 Launch channels</w:t>
      </w:r>
    </w:p>
    <w:p>
      <w:pPr>
        <w:pStyle w:val="ListBullet"/>
        <w:spacing w:after="60"/>
      </w:pPr>
      <w:r>
        <w:rPr>
          <w:rFonts w:ascii="Aptos" w:hAnsi="Aptos"/>
          <w:color w:val="152A3B"/>
        </w:rPr>
        <w:t>LinkedIn practitioner content and live Basel demos.</w:t>
      </w:r>
    </w:p>
    <w:p>
      <w:pPr>
        <w:pStyle w:val="ListBullet"/>
        <w:spacing w:after="60"/>
      </w:pPr>
      <w:r>
        <w:rPr>
          <w:rFonts w:ascii="Aptos" w:hAnsi="Aptos"/>
          <w:color w:val="152A3B"/>
        </w:rPr>
        <w:t>Partnerships with boutique regulatory/treasury consultancies.</w:t>
      </w:r>
    </w:p>
    <w:p>
      <w:pPr>
        <w:pStyle w:val="ListBullet"/>
        <w:spacing w:after="60"/>
      </w:pPr>
      <w:r>
        <w:rPr>
          <w:rFonts w:ascii="Aptos" w:hAnsi="Aptos"/>
          <w:color w:val="152A3B"/>
        </w:rPr>
        <w:t>University finance/risk programs.</w:t>
      </w:r>
    </w:p>
    <w:p>
      <w:pPr>
        <w:pStyle w:val="ListBullet"/>
        <w:spacing w:after="60"/>
      </w:pPr>
      <w:r>
        <w:rPr>
          <w:rFonts w:ascii="Aptos" w:hAnsi="Aptos"/>
          <w:color w:val="152A3B"/>
        </w:rPr>
        <w:t>Bank L&amp;D and graduate programs after practitioner proof.</w:t>
      </w:r>
    </w:p>
    <w:p>
      <w:pPr>
        <w:pStyle w:val="ListBullet"/>
        <w:spacing w:after="60"/>
      </w:pPr>
      <w:r>
        <w:rPr>
          <w:rFonts w:ascii="Aptos" w:hAnsi="Aptos"/>
          <w:color w:val="152A3B"/>
        </w:rPr>
        <w:t>Jurisdiction-specific webinars: “Learn SAMA Corporate Exposures interactively,” etc.</w:t>
      </w:r>
    </w:p>
    <w:p>
      <w:pPr>
        <w:pStyle w:val="ListBullet"/>
        <w:spacing w:after="60"/>
      </w:pPr>
      <w:r>
        <w:rPr>
          <w:rFonts w:ascii="Aptos" w:hAnsi="Aptos"/>
          <w:color w:val="152A3B"/>
        </w:rPr>
        <w:t>Career paths and interview/viva modes for individual learners.</w:t>
      </w:r>
    </w:p>
    <w:p>
      <w:pPr>
        <w:pStyle w:val="Heading1"/>
      </w:pPr>
      <w:r>
        <w:rPr>
          <w:rFonts w:ascii="Aptos" w:hAnsi="Aptos"/>
          <w:b/>
          <w:color w:val="081726"/>
          <w:sz w:val="44"/>
        </w:rPr>
        <w:t>15. Risks and Mitigations</w:t>
      </w:r>
    </w:p>
    <w:tbl>
      <w:tblPr>
        <w:tblStyle w:val="TableGrid"/>
        <w:tblW w:type="auto" w:w="0"/>
        <w:jc w:val="center"/>
        <w:tblLook w:firstColumn="1" w:firstRow="1" w:lastColumn="0" w:lastRow="0" w:noHBand="0" w:noVBand="1" w:val="04A0"/>
      </w:tblPr>
      <w:tblGrid>
        <w:gridCol w:w="3408"/>
        <w:gridCol w:w="3408"/>
        <w:gridCol w:w="3408"/>
      </w:tblGrid>
      <w:tr>
        <w:tc>
          <w:tcPr>
            <w:tcW w:type="dxa" w:w="2088"/>
            <w:shd w:fill="081726"/>
            <w:vAlign w:val="center"/>
          </w:tcPr>
          <w:p>
            <w:pPr>
              <w:jc w:val="center"/>
            </w:pPr>
            <w:r>
              <w:rPr>
                <w:rFonts w:ascii="Aptos" w:hAnsi="Aptos"/>
                <w:b/>
                <w:color w:val="FFFFFF"/>
                <w:sz w:val="15"/>
              </w:rPr>
              <w:t>Risk</w:t>
            </w:r>
          </w:p>
        </w:tc>
        <w:tc>
          <w:tcPr>
            <w:tcW w:type="dxa" w:w="3672"/>
            <w:shd w:fill="081726"/>
            <w:vAlign w:val="center"/>
          </w:tcPr>
          <w:p>
            <w:pPr>
              <w:jc w:val="center"/>
            </w:pPr>
            <w:r>
              <w:rPr>
                <w:rFonts w:ascii="Aptos" w:hAnsi="Aptos"/>
                <w:b/>
                <w:color w:val="FFFFFF"/>
                <w:sz w:val="15"/>
              </w:rPr>
              <w:t>Why it matters</w:t>
            </w:r>
          </w:p>
        </w:tc>
        <w:tc>
          <w:tcPr>
            <w:tcW w:type="dxa" w:w="4320"/>
            <w:shd w:fill="081726"/>
            <w:vAlign w:val="center"/>
          </w:tcPr>
          <w:p>
            <w:pPr>
              <w:jc w:val="center"/>
            </w:pPr>
            <w:r>
              <w:rPr>
                <w:rFonts w:ascii="Aptos" w:hAnsi="Aptos"/>
                <w:b/>
                <w:color w:val="FFFFFF"/>
                <w:sz w:val="15"/>
              </w:rPr>
              <w:t>Mitigation</w:t>
            </w:r>
          </w:p>
        </w:tc>
      </w:tr>
      <w:tr>
        <w:tc>
          <w:tcPr>
            <w:tcW w:type="dxa" w:w="2088"/>
            <w:shd w:fill="EEF5F7"/>
            <w:vAlign w:val="center"/>
          </w:tcPr>
          <w:p>
            <w:pPr>
              <w:spacing w:after="0"/>
            </w:pPr>
            <w:r>
              <w:rPr>
                <w:rFonts w:ascii="Aptos" w:hAnsi="Aptos"/>
                <w:color w:val="152A3B"/>
                <w:sz w:val="15"/>
              </w:rPr>
              <w:t>Content inaccuracy</w:t>
            </w:r>
          </w:p>
        </w:tc>
        <w:tc>
          <w:tcPr>
            <w:tcW w:type="dxa" w:w="3672"/>
            <w:vAlign w:val="center"/>
          </w:tcPr>
          <w:p>
            <w:pPr>
              <w:spacing w:after="0"/>
            </w:pPr>
            <w:r>
              <w:rPr>
                <w:rFonts w:ascii="Aptos" w:hAnsi="Aptos"/>
                <w:color w:val="152A3B"/>
                <w:sz w:val="15"/>
              </w:rPr>
              <w:t>One wrong regulatory lesson can damage trust.</w:t>
            </w:r>
          </w:p>
        </w:tc>
        <w:tc>
          <w:tcPr>
            <w:tcW w:type="dxa" w:w="4320"/>
            <w:vAlign w:val="center"/>
          </w:tcPr>
          <w:p>
            <w:pPr>
              <w:spacing w:after="0"/>
            </w:pPr>
            <w:r>
              <w:rPr>
                <w:rFonts w:ascii="Aptos" w:hAnsi="Aptos"/>
                <w:color w:val="152A3B"/>
                <w:sz w:val="15"/>
              </w:rPr>
              <w:t>Official sources, versioned rules, deterministic engines, SME sign-off, correction workflow.</w:t>
            </w:r>
          </w:p>
        </w:tc>
      </w:tr>
      <w:tr>
        <w:tc>
          <w:tcPr>
            <w:tcW w:type="dxa" w:w="2088"/>
            <w:shd w:fill="EEF5F7"/>
            <w:vAlign w:val="center"/>
          </w:tcPr>
          <w:p>
            <w:pPr>
              <w:spacing w:after="0"/>
            </w:pPr>
            <w:r>
              <w:rPr>
                <w:rFonts w:ascii="Aptos" w:hAnsi="Aptos"/>
                <w:color w:val="152A3B"/>
                <w:sz w:val="15"/>
              </w:rPr>
              <w:t>Generic AI-video feel</w:t>
            </w:r>
          </w:p>
        </w:tc>
        <w:tc>
          <w:tcPr>
            <w:tcW w:type="dxa" w:w="3672"/>
            <w:vAlign w:val="center"/>
          </w:tcPr>
          <w:p>
            <w:pPr>
              <w:spacing w:after="0"/>
            </w:pPr>
            <w:r>
              <w:rPr>
                <w:rFonts w:ascii="Aptos" w:hAnsi="Aptos"/>
                <w:color w:val="152A3B"/>
                <w:sz w:val="15"/>
              </w:rPr>
              <w:t>Users may prefer established courses.</w:t>
            </w:r>
          </w:p>
        </w:tc>
        <w:tc>
          <w:tcPr>
            <w:tcW w:type="dxa" w:w="4320"/>
            <w:vAlign w:val="center"/>
          </w:tcPr>
          <w:p>
            <w:pPr>
              <w:spacing w:after="0"/>
            </w:pPr>
            <w:r>
              <w:rPr>
                <w:rFonts w:ascii="Aptos" w:hAnsi="Aptos"/>
                <w:color w:val="152A3B"/>
                <w:sz w:val="15"/>
              </w:rPr>
              <w:t>Financial diagrams, labs and simulations should dominate; avatar is a supporting element.</w:t>
            </w:r>
          </w:p>
        </w:tc>
      </w:tr>
      <w:tr>
        <w:tc>
          <w:tcPr>
            <w:tcW w:type="dxa" w:w="2088"/>
            <w:shd w:fill="EEF5F7"/>
            <w:vAlign w:val="center"/>
          </w:tcPr>
          <w:p>
            <w:pPr>
              <w:spacing w:after="0"/>
            </w:pPr>
            <w:r>
              <w:rPr>
                <w:rFonts w:ascii="Aptos" w:hAnsi="Aptos"/>
                <w:color w:val="152A3B"/>
                <w:sz w:val="15"/>
              </w:rPr>
              <w:t>Overbuilding</w:t>
            </w:r>
          </w:p>
        </w:tc>
        <w:tc>
          <w:tcPr>
            <w:tcW w:type="dxa" w:w="3672"/>
            <w:vAlign w:val="center"/>
          </w:tcPr>
          <w:p>
            <w:pPr>
              <w:spacing w:after="0"/>
            </w:pPr>
            <w:r>
              <w:rPr>
                <w:rFonts w:ascii="Aptos" w:hAnsi="Aptos"/>
                <w:color w:val="152A3B"/>
                <w:sz w:val="15"/>
              </w:rPr>
              <w:t>Basel + ALM + FTP + AML at once delays product-market learning.</w:t>
            </w:r>
          </w:p>
        </w:tc>
        <w:tc>
          <w:tcPr>
            <w:tcW w:type="dxa" w:w="4320"/>
            <w:vAlign w:val="center"/>
          </w:tcPr>
          <w:p>
            <w:pPr>
              <w:spacing w:after="0"/>
            </w:pPr>
            <w:r>
              <w:rPr>
                <w:rFonts w:ascii="Aptos" w:hAnsi="Aptos"/>
                <w:color w:val="152A3B"/>
                <w:sz w:val="15"/>
              </w:rPr>
              <w:t>Golden Lesson gate; Basel Credit Risk MVP first.</w:t>
            </w:r>
          </w:p>
        </w:tc>
      </w:tr>
      <w:tr>
        <w:tc>
          <w:tcPr>
            <w:tcW w:type="dxa" w:w="2088"/>
            <w:shd w:fill="EEF5F7"/>
            <w:vAlign w:val="center"/>
          </w:tcPr>
          <w:p>
            <w:pPr>
              <w:spacing w:after="0"/>
            </w:pPr>
            <w:r>
              <w:rPr>
                <w:rFonts w:ascii="Aptos" w:hAnsi="Aptos"/>
                <w:color w:val="152A3B"/>
                <w:sz w:val="15"/>
              </w:rPr>
              <w:t>AI tutor hallucination</w:t>
            </w:r>
          </w:p>
        </w:tc>
        <w:tc>
          <w:tcPr>
            <w:tcW w:type="dxa" w:w="3672"/>
            <w:vAlign w:val="center"/>
          </w:tcPr>
          <w:p>
            <w:pPr>
              <w:spacing w:after="0"/>
            </w:pPr>
            <w:r>
              <w:rPr>
                <w:rFonts w:ascii="Aptos" w:hAnsi="Aptos"/>
                <w:color w:val="152A3B"/>
                <w:sz w:val="15"/>
              </w:rPr>
              <w:t>Incorrect explanations in a regulated domain.</w:t>
            </w:r>
          </w:p>
        </w:tc>
        <w:tc>
          <w:tcPr>
            <w:tcW w:type="dxa" w:w="4320"/>
            <w:vAlign w:val="center"/>
          </w:tcPr>
          <w:p>
            <w:pPr>
              <w:spacing w:after="0"/>
            </w:pPr>
            <w:r>
              <w:rPr>
                <w:rFonts w:ascii="Aptos" w:hAnsi="Aptos"/>
                <w:color w:val="152A3B"/>
                <w:sz w:val="15"/>
              </w:rPr>
              <w:t>Grounded retrieval, tool calling, citation requirements, scoped answer policy and abstention.</w:t>
            </w:r>
          </w:p>
        </w:tc>
      </w:tr>
      <w:tr>
        <w:tc>
          <w:tcPr>
            <w:tcW w:type="dxa" w:w="2088"/>
            <w:shd w:fill="EEF5F7"/>
            <w:vAlign w:val="center"/>
          </w:tcPr>
          <w:p>
            <w:pPr>
              <w:spacing w:after="0"/>
            </w:pPr>
            <w:r>
              <w:rPr>
                <w:rFonts w:ascii="Aptos" w:hAnsi="Aptos"/>
                <w:color w:val="152A3B"/>
                <w:sz w:val="15"/>
              </w:rPr>
              <w:t>Regulation changes</w:t>
            </w:r>
          </w:p>
        </w:tc>
        <w:tc>
          <w:tcPr>
            <w:tcW w:type="dxa" w:w="3672"/>
            <w:vAlign w:val="center"/>
          </w:tcPr>
          <w:p>
            <w:pPr>
              <w:spacing w:after="0"/>
            </w:pPr>
            <w:r>
              <w:rPr>
                <w:rFonts w:ascii="Aptos" w:hAnsi="Aptos"/>
                <w:color w:val="152A3B"/>
                <w:sz w:val="15"/>
              </w:rPr>
              <w:t>Lessons can become stale quickly.</w:t>
            </w:r>
          </w:p>
        </w:tc>
        <w:tc>
          <w:tcPr>
            <w:tcW w:type="dxa" w:w="4320"/>
            <w:vAlign w:val="center"/>
          </w:tcPr>
          <w:p>
            <w:pPr>
              <w:spacing w:after="0"/>
            </w:pPr>
            <w:r>
              <w:rPr>
                <w:rFonts w:ascii="Aptos" w:hAnsi="Aptos"/>
                <w:color w:val="152A3B"/>
                <w:sz w:val="15"/>
              </w:rPr>
              <w:t>Versioned content graph and change-detection workflow.</w:t>
            </w:r>
          </w:p>
        </w:tc>
      </w:tr>
      <w:tr>
        <w:tc>
          <w:tcPr>
            <w:tcW w:type="dxa" w:w="2088"/>
            <w:shd w:fill="EEF5F7"/>
            <w:vAlign w:val="center"/>
          </w:tcPr>
          <w:p>
            <w:pPr>
              <w:spacing w:after="0"/>
            </w:pPr>
            <w:r>
              <w:rPr>
                <w:rFonts w:ascii="Aptos" w:hAnsi="Aptos"/>
                <w:color w:val="152A3B"/>
                <w:sz w:val="15"/>
              </w:rPr>
              <w:t>Voice/avatar cost</w:t>
            </w:r>
          </w:p>
        </w:tc>
        <w:tc>
          <w:tcPr>
            <w:tcW w:type="dxa" w:w="3672"/>
            <w:vAlign w:val="center"/>
          </w:tcPr>
          <w:p>
            <w:pPr>
              <w:spacing w:after="0"/>
            </w:pPr>
            <w:r>
              <w:rPr>
                <w:rFonts w:ascii="Aptos" w:hAnsi="Aptos"/>
                <w:color w:val="152A3B"/>
                <w:sz w:val="15"/>
              </w:rPr>
              <w:t>Realtime media can hurt unit economics.</w:t>
            </w:r>
          </w:p>
        </w:tc>
        <w:tc>
          <w:tcPr>
            <w:tcW w:type="dxa" w:w="4320"/>
            <w:vAlign w:val="center"/>
          </w:tcPr>
          <w:p>
            <w:pPr>
              <w:spacing w:after="0"/>
            </w:pPr>
            <w:r>
              <w:rPr>
                <w:rFonts w:ascii="Aptos" w:hAnsi="Aptos"/>
                <w:color w:val="152A3B"/>
                <w:sz w:val="15"/>
              </w:rPr>
              <w:t>Quota/premium tiers; pre-render media; voice-first before live avatar.</w:t>
            </w:r>
          </w:p>
        </w:tc>
      </w:tr>
      <w:tr>
        <w:tc>
          <w:tcPr>
            <w:tcW w:type="dxa" w:w="2088"/>
            <w:shd w:fill="EEF5F7"/>
            <w:vAlign w:val="center"/>
          </w:tcPr>
          <w:p>
            <w:pPr>
              <w:spacing w:after="0"/>
            </w:pPr>
            <w:r>
              <w:rPr>
                <w:rFonts w:ascii="Aptos" w:hAnsi="Aptos"/>
                <w:color w:val="152A3B"/>
                <w:sz w:val="15"/>
              </w:rPr>
              <w:t>Distribution</w:t>
            </w:r>
          </w:p>
        </w:tc>
        <w:tc>
          <w:tcPr>
            <w:tcW w:type="dxa" w:w="3672"/>
            <w:vAlign w:val="center"/>
          </w:tcPr>
          <w:p>
            <w:pPr>
              <w:spacing w:after="0"/>
            </w:pPr>
            <w:r>
              <w:rPr>
                <w:rFonts w:ascii="Aptos" w:hAnsi="Aptos"/>
                <w:color w:val="152A3B"/>
                <w:sz w:val="15"/>
              </w:rPr>
              <w:t>Excellent product can still fail without learners.</w:t>
            </w:r>
          </w:p>
        </w:tc>
        <w:tc>
          <w:tcPr>
            <w:tcW w:type="dxa" w:w="4320"/>
            <w:vAlign w:val="center"/>
          </w:tcPr>
          <w:p>
            <w:pPr>
              <w:spacing w:after="0"/>
            </w:pPr>
            <w:r>
              <w:rPr>
                <w:rFonts w:ascii="Aptos" w:hAnsi="Aptos"/>
                <w:color w:val="152A3B"/>
                <w:sz w:val="15"/>
              </w:rPr>
              <w:t>SME network, practitioner beta, content-led acquisition and enterprise pilots.</w:t>
            </w:r>
          </w:p>
        </w:tc>
      </w:tr>
      <w:tr>
        <w:tc>
          <w:tcPr>
            <w:tcW w:type="dxa" w:w="2088"/>
            <w:shd w:fill="EEF5F7"/>
            <w:vAlign w:val="center"/>
          </w:tcPr>
          <w:p>
            <w:pPr>
              <w:spacing w:after="0"/>
            </w:pPr>
            <w:r>
              <w:rPr>
                <w:rFonts w:ascii="Aptos" w:hAnsi="Aptos"/>
                <w:color w:val="152A3B"/>
                <w:sz w:val="15"/>
              </w:rPr>
              <w:t>SME availability / conflicts</w:t>
            </w:r>
          </w:p>
        </w:tc>
        <w:tc>
          <w:tcPr>
            <w:tcW w:type="dxa" w:w="3672"/>
            <w:vAlign w:val="center"/>
          </w:tcPr>
          <w:p>
            <w:pPr>
              <w:spacing w:after="0"/>
            </w:pPr>
            <w:r>
              <w:rPr>
                <w:rFonts w:ascii="Aptos" w:hAnsi="Aptos"/>
                <w:color w:val="152A3B"/>
                <w:sz w:val="15"/>
              </w:rPr>
              <w:t>Working bankers may face employer restrictions.</w:t>
            </w:r>
          </w:p>
        </w:tc>
        <w:tc>
          <w:tcPr>
            <w:tcW w:type="dxa" w:w="4320"/>
            <w:vAlign w:val="center"/>
          </w:tcPr>
          <w:p>
            <w:pPr>
              <w:spacing w:after="0"/>
            </w:pPr>
            <w:r>
              <w:rPr>
                <w:rFonts w:ascii="Aptos" w:hAnsi="Aptos"/>
                <w:color w:val="152A3B"/>
                <w:sz w:val="15"/>
              </w:rPr>
              <w:t>Use multiple independent SMEs; clear contracts; avoid confidential bank information.</w:t>
            </w:r>
          </w:p>
        </w:tc>
      </w:tr>
    </w:tbl>
    <w:p>
      <w:pPr>
        <w:spacing w:after="40"/>
      </w:pPr>
    </w:p>
    <w:p>
      <w:pPr>
        <w:pStyle w:val="Heading1"/>
      </w:pPr>
      <w:r>
        <w:rPr>
          <w:rFonts w:ascii="Aptos" w:hAnsi="Aptos"/>
          <w:b/>
          <w:color w:val="081726"/>
          <w:sz w:val="44"/>
        </w:rPr>
        <w:t>16. 12-Month Implementation Roadmap</w:t>
      </w:r>
    </w:p>
    <w:p>
      <w:pPr>
        <w:spacing w:after="60"/>
        <w:jc w:val="center"/>
      </w:pPr>
      <w:r>
        <w:drawing>
          <wp:inline xmlns:a="http://schemas.openxmlformats.org/drawingml/2006/main" xmlns:pic="http://schemas.openxmlformats.org/drawingml/2006/picture">
            <wp:extent cx="6492240" cy="3606800"/>
            <wp:docPr id="7" name="Picture 7"/>
            <wp:cNvGraphicFramePr>
              <a:graphicFrameLocks noChangeAspect="1"/>
            </wp:cNvGraphicFramePr>
            <a:graphic>
              <a:graphicData uri="http://schemas.openxmlformats.org/drawingml/2006/picture">
                <pic:pic>
                  <pic:nvPicPr>
                    <pic:cNvPr id="0" name="roadmap.png"/>
                    <pic:cNvPicPr/>
                  </pic:nvPicPr>
                  <pic:blipFill>
                    <a:blip r:embed="rId17"/>
                    <a:stretch>
                      <a:fillRect/>
                    </a:stretch>
                  </pic:blipFill>
                  <pic:spPr>
                    <a:xfrm>
                      <a:off x="0" y="0"/>
                      <a:ext cx="6492240" cy="3606800"/>
                    </a:xfrm>
                    <a:prstGeom prst="rect"/>
                  </pic:spPr>
                </pic:pic>
              </a:graphicData>
            </a:graphic>
          </wp:inline>
        </w:drawing>
      </w:r>
    </w:p>
    <w:p>
      <w:pPr>
        <w:spacing w:after="160"/>
        <w:jc w:val="center"/>
      </w:pPr>
      <w:r>
        <w:rPr>
          <w:rFonts w:ascii="Aptos" w:hAnsi="Aptos"/>
          <w:color w:val="617789"/>
          <w:sz w:val="17"/>
        </w:rPr>
        <w:t>Figure 6 — Recommended 12-month sequencing.</w:t>
      </w:r>
    </w:p>
    <w:tbl>
      <w:tblPr>
        <w:tblStyle w:val="TableGrid"/>
        <w:tblW w:type="auto" w:w="0"/>
        <w:jc w:val="center"/>
        <w:tblLook w:firstColumn="1" w:firstRow="1" w:lastColumn="0" w:lastRow="0" w:noHBand="0" w:noVBand="1" w:val="04A0"/>
      </w:tblPr>
      <w:tblGrid>
        <w:gridCol w:w="3408"/>
        <w:gridCol w:w="3408"/>
        <w:gridCol w:w="3408"/>
      </w:tblGrid>
      <w:tr>
        <w:tc>
          <w:tcPr>
            <w:tcW w:type="dxa" w:w="1728"/>
            <w:shd w:fill="081726"/>
            <w:vAlign w:val="center"/>
          </w:tcPr>
          <w:p>
            <w:pPr>
              <w:jc w:val="center"/>
            </w:pPr>
            <w:r>
              <w:rPr>
                <w:rFonts w:ascii="Aptos" w:hAnsi="Aptos"/>
                <w:b/>
                <w:color w:val="FFFFFF"/>
                <w:sz w:val="16"/>
              </w:rPr>
              <w:t>Phase</w:t>
            </w:r>
          </w:p>
        </w:tc>
        <w:tc>
          <w:tcPr>
            <w:tcW w:type="dxa" w:w="4968"/>
            <w:shd w:fill="081726"/>
            <w:vAlign w:val="center"/>
          </w:tcPr>
          <w:p>
            <w:pPr>
              <w:jc w:val="center"/>
            </w:pPr>
            <w:r>
              <w:rPr>
                <w:rFonts w:ascii="Aptos" w:hAnsi="Aptos"/>
                <w:b/>
                <w:color w:val="FFFFFF"/>
                <w:sz w:val="16"/>
              </w:rPr>
              <w:t>Product outcome</w:t>
            </w:r>
          </w:p>
        </w:tc>
        <w:tc>
          <w:tcPr>
            <w:tcW w:type="dxa" w:w="3384"/>
            <w:shd w:fill="081726"/>
            <w:vAlign w:val="center"/>
          </w:tcPr>
          <w:p>
            <w:pPr>
              <w:jc w:val="center"/>
            </w:pPr>
            <w:r>
              <w:rPr>
                <w:rFonts w:ascii="Aptos" w:hAnsi="Aptos"/>
                <w:b/>
                <w:color w:val="FFFFFF"/>
                <w:sz w:val="16"/>
              </w:rPr>
              <w:t>Exit gate</w:t>
            </w:r>
          </w:p>
        </w:tc>
      </w:tr>
      <w:tr>
        <w:tc>
          <w:tcPr>
            <w:tcW w:type="dxa" w:w="1728"/>
            <w:shd w:fill="EEF5F7"/>
            <w:vAlign w:val="center"/>
          </w:tcPr>
          <w:p>
            <w:pPr>
              <w:spacing w:after="0"/>
            </w:pPr>
            <w:r>
              <w:rPr>
                <w:rFonts w:ascii="Aptos" w:hAnsi="Aptos"/>
                <w:color w:val="152A3B"/>
                <w:sz w:val="16"/>
              </w:rPr>
              <w:t>0–90 days</w:t>
            </w:r>
          </w:p>
        </w:tc>
        <w:tc>
          <w:tcPr>
            <w:tcW w:type="dxa" w:w="4968"/>
            <w:vAlign w:val="center"/>
          </w:tcPr>
          <w:p>
            <w:pPr>
              <w:spacing w:after="0"/>
            </w:pPr>
            <w:r>
              <w:rPr>
                <w:rFonts w:ascii="Aptos" w:hAnsi="Aptos"/>
                <w:color w:val="152A3B"/>
                <w:sz w:val="16"/>
              </w:rPr>
              <w:t>Golden Lesson: English + Arabic; chat/voice interruption; deterministic calculator; BCBS/U.S./SAMA/UAE sources; basic mastery.</w:t>
            </w:r>
          </w:p>
        </w:tc>
        <w:tc>
          <w:tcPr>
            <w:tcW w:type="dxa" w:w="3384"/>
            <w:vAlign w:val="center"/>
          </w:tcPr>
          <w:p>
            <w:pPr>
              <w:spacing w:after="0"/>
            </w:pPr>
            <w:r>
              <w:rPr>
                <w:rFonts w:ascii="Aptos" w:hAnsi="Aptos"/>
                <w:color w:val="152A3B"/>
                <w:sz w:val="16"/>
              </w:rPr>
              <w:t>10–20 practitioner tests; no material calculation/source defects; strong qualitative willingness to continue.</w:t>
            </w:r>
          </w:p>
        </w:tc>
      </w:tr>
      <w:tr>
        <w:tc>
          <w:tcPr>
            <w:tcW w:type="dxa" w:w="1728"/>
            <w:shd w:fill="EEF5F7"/>
            <w:vAlign w:val="center"/>
          </w:tcPr>
          <w:p>
            <w:pPr>
              <w:spacing w:after="0"/>
            </w:pPr>
            <w:r>
              <w:rPr>
                <w:rFonts w:ascii="Aptos" w:hAnsi="Aptos"/>
                <w:color w:val="152A3B"/>
                <w:sz w:val="16"/>
              </w:rPr>
              <w:t>3–6 months</w:t>
            </w:r>
          </w:p>
        </w:tc>
        <w:tc>
          <w:tcPr>
            <w:tcW w:type="dxa" w:w="4968"/>
            <w:vAlign w:val="center"/>
          </w:tcPr>
          <w:p>
            <w:pPr>
              <w:spacing w:after="0"/>
            </w:pPr>
            <w:r>
              <w:rPr>
                <w:rFonts w:ascii="Aptos" w:hAnsi="Aptos"/>
                <w:color w:val="152A3B"/>
                <w:sz w:val="16"/>
              </w:rPr>
              <w:t>Basel Credit Risk MVP; FinBank v1; core curriculum; practice generator; mastery dashboard.</w:t>
            </w:r>
          </w:p>
        </w:tc>
        <w:tc>
          <w:tcPr>
            <w:tcW w:type="dxa" w:w="3384"/>
            <w:vAlign w:val="center"/>
          </w:tcPr>
          <w:p>
            <w:pPr>
              <w:spacing w:after="0"/>
            </w:pPr>
            <w:r>
              <w:rPr>
                <w:rFonts w:ascii="Aptos" w:hAnsi="Aptos"/>
                <w:color w:val="152A3B"/>
                <w:sz w:val="16"/>
              </w:rPr>
              <w:t>Paid beta users; repeat usage; measurable learning gains.</w:t>
            </w:r>
          </w:p>
        </w:tc>
      </w:tr>
      <w:tr>
        <w:tc>
          <w:tcPr>
            <w:tcW w:type="dxa" w:w="1728"/>
            <w:shd w:fill="EEF5F7"/>
            <w:vAlign w:val="center"/>
          </w:tcPr>
          <w:p>
            <w:pPr>
              <w:spacing w:after="0"/>
            </w:pPr>
            <w:r>
              <w:rPr>
                <w:rFonts w:ascii="Aptos" w:hAnsi="Aptos"/>
                <w:color w:val="152A3B"/>
                <w:sz w:val="16"/>
              </w:rPr>
              <w:t>6–9 months</w:t>
            </w:r>
          </w:p>
        </w:tc>
        <w:tc>
          <w:tcPr>
            <w:tcW w:type="dxa" w:w="4968"/>
            <w:vAlign w:val="center"/>
          </w:tcPr>
          <w:p>
            <w:pPr>
              <w:spacing w:after="0"/>
            </w:pPr>
            <w:r>
              <w:rPr>
                <w:rFonts w:ascii="Aptos" w:hAnsi="Aptos"/>
                <w:color w:val="152A3B"/>
                <w:sz w:val="16"/>
              </w:rPr>
              <w:t>Commercial Basel Pod; regulatory reporting labs; enterprise admin; formal SME council.</w:t>
            </w:r>
          </w:p>
        </w:tc>
        <w:tc>
          <w:tcPr>
            <w:tcW w:type="dxa" w:w="3384"/>
            <w:vAlign w:val="center"/>
          </w:tcPr>
          <w:p>
            <w:pPr>
              <w:spacing w:after="0"/>
            </w:pPr>
            <w:r>
              <w:rPr>
                <w:rFonts w:ascii="Aptos" w:hAnsi="Aptos"/>
                <w:color w:val="152A3B"/>
                <w:sz w:val="16"/>
              </w:rPr>
              <w:t>First bank/consulting pilots and scalable content operations.</w:t>
            </w:r>
          </w:p>
        </w:tc>
      </w:tr>
      <w:tr>
        <w:tc>
          <w:tcPr>
            <w:tcW w:type="dxa" w:w="1728"/>
            <w:shd w:fill="EEF5F7"/>
            <w:vAlign w:val="center"/>
          </w:tcPr>
          <w:p>
            <w:pPr>
              <w:spacing w:after="0"/>
            </w:pPr>
            <w:r>
              <w:rPr>
                <w:rFonts w:ascii="Aptos" w:hAnsi="Aptos"/>
                <w:color w:val="152A3B"/>
                <w:sz w:val="16"/>
              </w:rPr>
              <w:t>9–12 months</w:t>
            </w:r>
          </w:p>
        </w:tc>
        <w:tc>
          <w:tcPr>
            <w:tcW w:type="dxa" w:w="4968"/>
            <w:vAlign w:val="center"/>
          </w:tcPr>
          <w:p>
            <w:pPr>
              <w:spacing w:after="0"/>
            </w:pPr>
            <w:r>
              <w:rPr>
                <w:rFonts w:ascii="Aptos" w:hAnsi="Aptos"/>
                <w:color w:val="152A3B"/>
                <w:sz w:val="16"/>
              </w:rPr>
              <w:t>Reporting Pod; ALM/FTP prototypes; career paths; expanded localization.</w:t>
            </w:r>
          </w:p>
        </w:tc>
        <w:tc>
          <w:tcPr>
            <w:tcW w:type="dxa" w:w="3384"/>
            <w:vAlign w:val="center"/>
          </w:tcPr>
          <w:p>
            <w:pPr>
              <w:spacing w:after="0"/>
            </w:pPr>
            <w:r>
              <w:rPr>
                <w:rFonts w:ascii="Aptos" w:hAnsi="Aptos"/>
                <w:color w:val="152A3B"/>
                <w:sz w:val="16"/>
              </w:rPr>
              <w:t>Evidence that platform architecture transfers beyond Basel.</w:t>
            </w:r>
          </w:p>
        </w:tc>
      </w:tr>
    </w:tbl>
    <w:p>
      <w:pPr>
        <w:spacing w:after="40"/>
      </w:pPr>
    </w:p>
    <w:p>
      <w:pPr>
        <w:pStyle w:val="Heading1"/>
      </w:pPr>
      <w:r>
        <w:rPr>
          <w:rFonts w:ascii="Aptos" w:hAnsi="Aptos"/>
          <w:b/>
          <w:color w:val="081726"/>
          <w:sz w:val="44"/>
        </w:rPr>
        <w:t>17. Detailed 30 / 60 / 90-Day Plan</w:t>
      </w:r>
    </w:p>
    <w:p>
      <w:pPr>
        <w:pStyle w:val="Heading2"/>
        <w:spacing w:before="160" w:after="80"/>
      </w:pPr>
      <w:r>
        <w:rPr>
          <w:rFonts w:ascii="Aptos" w:hAnsi="Aptos"/>
          <w:b/>
          <w:color w:val="2CB9B9"/>
          <w:sz w:val="30"/>
        </w:rPr>
        <w:t>Days 0–30 — Prove the content and calculation spine</w:t>
      </w:r>
    </w:p>
    <w:p>
      <w:pPr>
        <w:spacing w:after="80"/>
        <w:ind w:left="0" w:firstLine="0"/>
      </w:pPr>
      <w:r>
        <w:rPr>
          <w:rFonts w:ascii="Aptos" w:hAnsi="Aptos"/>
          <w:b/>
          <w:color w:val="081726"/>
        </w:rPr>
        <w:t xml:space="preserve">1.  </w:t>
      </w:r>
      <w:r>
        <w:rPr>
          <w:rFonts w:ascii="Aptos" w:hAnsi="Aptos"/>
          <w:color w:val="152A3B"/>
        </w:rPr>
        <w:t>Freeze Golden Lesson scope: Corporate Exposure — From Loan to Regulatory Capital.</w:t>
      </w:r>
    </w:p>
    <w:p>
      <w:pPr>
        <w:spacing w:after="80"/>
        <w:ind w:left="0" w:firstLine="0"/>
      </w:pPr>
      <w:r>
        <w:rPr>
          <w:rFonts w:ascii="Aptos" w:hAnsi="Aptos"/>
          <w:b/>
          <w:color w:val="081726"/>
        </w:rPr>
        <w:t xml:space="preserve">2.  </w:t>
      </w:r>
      <w:r>
        <w:rPr>
          <w:rFonts w:ascii="Aptos" w:hAnsi="Aptos"/>
          <w:color w:val="152A3B"/>
        </w:rPr>
        <w:t>Create the canonical lesson-content schema: concept, prerequisites, rule sources, jurisdictions, example, data fields, expected calculation, exercises and misconceptions.</w:t>
      </w:r>
    </w:p>
    <w:p>
      <w:pPr>
        <w:spacing w:after="80"/>
        <w:ind w:left="0" w:firstLine="0"/>
      </w:pPr>
      <w:r>
        <w:rPr>
          <w:rFonts w:ascii="Aptos" w:hAnsi="Aptos"/>
          <w:b/>
          <w:color w:val="081726"/>
        </w:rPr>
        <w:t xml:space="preserve">3.  </w:t>
      </w:r>
      <w:r>
        <w:rPr>
          <w:rFonts w:ascii="Aptos" w:hAnsi="Aptos"/>
          <w:color w:val="152A3B"/>
        </w:rPr>
        <w:t>Build source mappings for BCBS, U.S. current/proposed treatment, SAMA and CBUAE for the Golden Lesson only.</w:t>
      </w:r>
    </w:p>
    <w:p>
      <w:pPr>
        <w:spacing w:after="80"/>
        <w:ind w:left="0" w:firstLine="0"/>
      </w:pPr>
      <w:r>
        <w:rPr>
          <w:rFonts w:ascii="Aptos" w:hAnsi="Aptos"/>
          <w:b/>
          <w:color w:val="081726"/>
        </w:rPr>
        <w:t xml:space="preserve">4.  </w:t>
      </w:r>
      <w:r>
        <w:rPr>
          <w:rFonts w:ascii="Aptos" w:hAnsi="Aptos"/>
          <w:color w:val="152A3B"/>
        </w:rPr>
        <w:t>Create the Alpha Manufacturing synthetic exposure and variants.</w:t>
      </w:r>
    </w:p>
    <w:p>
      <w:pPr>
        <w:spacing w:after="80"/>
        <w:ind w:left="0" w:firstLine="0"/>
      </w:pPr>
      <w:r>
        <w:rPr>
          <w:rFonts w:ascii="Aptos" w:hAnsi="Aptos"/>
          <w:b/>
          <w:color w:val="081726"/>
        </w:rPr>
        <w:t xml:space="preserve">5.  </w:t>
      </w:r>
      <w:r>
        <w:rPr>
          <w:rFonts w:ascii="Aptos" w:hAnsi="Aptos"/>
          <w:color w:val="152A3B"/>
        </w:rPr>
        <w:t>Wrap the existing Python capital engine behind clean APIs for classification, risk weight and RWA calculation.</w:t>
      </w:r>
    </w:p>
    <w:p>
      <w:pPr>
        <w:spacing w:after="80"/>
        <w:ind w:left="0" w:firstLine="0"/>
      </w:pPr>
      <w:r>
        <w:rPr>
          <w:rFonts w:ascii="Aptos" w:hAnsi="Aptos"/>
          <w:b/>
          <w:color w:val="081726"/>
        </w:rPr>
        <w:t xml:space="preserve">6.  </w:t>
      </w:r>
      <w:r>
        <w:rPr>
          <w:rFonts w:ascii="Aptos" w:hAnsi="Aptos"/>
          <w:color w:val="152A3B"/>
        </w:rPr>
        <w:t>Write the English lesson script and SME review checklist.</w:t>
      </w:r>
    </w:p>
    <w:p>
      <w:pPr>
        <w:spacing w:after="80"/>
        <w:ind w:left="0" w:firstLine="0"/>
      </w:pPr>
      <w:r>
        <w:rPr>
          <w:rFonts w:ascii="Aptos" w:hAnsi="Aptos"/>
          <w:b/>
          <w:color w:val="081726"/>
        </w:rPr>
        <w:t xml:space="preserve">7.  </w:t>
      </w:r>
      <w:r>
        <w:rPr>
          <w:rFonts w:ascii="Aptos" w:hAnsi="Aptos"/>
          <w:color w:val="152A3B"/>
        </w:rPr>
        <w:t>Define Arabic controlled glossary and MSA localization rules.</w:t>
      </w:r>
    </w:p>
    <w:p>
      <w:pPr>
        <w:spacing w:after="80"/>
        <w:ind w:left="0" w:firstLine="0"/>
      </w:pPr>
      <w:r>
        <w:rPr>
          <w:rFonts w:ascii="Aptos" w:hAnsi="Aptos"/>
          <w:b/>
          <w:color w:val="081726"/>
        </w:rPr>
        <w:t xml:space="preserve">8.  </w:t>
      </w:r>
      <w:r>
        <w:rPr>
          <w:rFonts w:ascii="Aptos" w:hAnsi="Aptos"/>
          <w:color w:val="152A3B"/>
        </w:rPr>
        <w:t>Recruit at least 3 core SME reviewers: one U.S./BCBS, one SAMA, one CBUAE or GCC practitioner.</w:t>
      </w:r>
    </w:p>
    <w:p>
      <w:pPr>
        <w:pStyle w:val="Heading2"/>
        <w:spacing w:before="160" w:after="80"/>
      </w:pPr>
      <w:r>
        <w:rPr>
          <w:rFonts w:ascii="Aptos" w:hAnsi="Aptos"/>
          <w:b/>
          <w:color w:val="2CB9B9"/>
          <w:sz w:val="30"/>
        </w:rPr>
        <w:t>Days 31–60 — Build the interactive Golden Lesson</w:t>
      </w:r>
    </w:p>
    <w:p>
      <w:pPr>
        <w:spacing w:after="80"/>
        <w:ind w:left="0" w:firstLine="0"/>
      </w:pPr>
      <w:r>
        <w:rPr>
          <w:rFonts w:ascii="Aptos" w:hAnsi="Aptos"/>
          <w:b/>
          <w:color w:val="081726"/>
        </w:rPr>
        <w:t xml:space="preserve">1.  </w:t>
      </w:r>
      <w:r>
        <w:rPr>
          <w:rFonts w:ascii="Aptos" w:hAnsi="Aptos"/>
          <w:color w:val="152A3B"/>
        </w:rPr>
        <w:t>Build Next.js lesson player with chapter/timestamp metadata.</w:t>
      </w:r>
    </w:p>
    <w:p>
      <w:pPr>
        <w:spacing w:after="80"/>
        <w:ind w:left="0" w:firstLine="0"/>
      </w:pPr>
      <w:r>
        <w:rPr>
          <w:rFonts w:ascii="Aptos" w:hAnsi="Aptos"/>
          <w:b/>
          <w:color w:val="081726"/>
        </w:rPr>
        <w:t xml:space="preserve">2.  </w:t>
      </w:r>
      <w:r>
        <w:rPr>
          <w:rFonts w:ascii="Aptos" w:hAnsi="Aptos"/>
          <w:color w:val="152A3B"/>
        </w:rPr>
        <w:t>Add grounded chat tutor that receives current timestamp, concept, exposure and jurisdiction.</w:t>
      </w:r>
    </w:p>
    <w:p>
      <w:pPr>
        <w:spacing w:after="80"/>
        <w:ind w:left="0" w:firstLine="0"/>
      </w:pPr>
      <w:r>
        <w:rPr>
          <w:rFonts w:ascii="Aptos" w:hAnsi="Aptos"/>
          <w:b/>
          <w:color w:val="081726"/>
        </w:rPr>
        <w:t xml:space="preserve">3.  </w:t>
      </w:r>
      <w:r>
        <w:rPr>
          <w:rFonts w:ascii="Aptos" w:hAnsi="Aptos"/>
          <w:color w:val="152A3B"/>
        </w:rPr>
        <w:t>Add interactive calculator and jurisdiction switch.</w:t>
      </w:r>
    </w:p>
    <w:p>
      <w:pPr>
        <w:spacing w:after="80"/>
        <w:ind w:left="0" w:firstLine="0"/>
      </w:pPr>
      <w:r>
        <w:rPr>
          <w:rFonts w:ascii="Aptos" w:hAnsi="Aptos"/>
          <w:b/>
          <w:color w:val="081726"/>
        </w:rPr>
        <w:t xml:space="preserve">4.  </w:t>
      </w:r>
      <w:r>
        <w:rPr>
          <w:rFonts w:ascii="Aptos" w:hAnsi="Aptos"/>
          <w:color w:val="152A3B"/>
        </w:rPr>
        <w:t>Create premium diagrams and programmatic calculation animations.</w:t>
      </w:r>
    </w:p>
    <w:p>
      <w:pPr>
        <w:spacing w:after="80"/>
        <w:ind w:left="0" w:firstLine="0"/>
      </w:pPr>
      <w:r>
        <w:rPr>
          <w:rFonts w:ascii="Aptos" w:hAnsi="Aptos"/>
          <w:b/>
          <w:color w:val="081726"/>
        </w:rPr>
        <w:t xml:space="preserve">5.  </w:t>
      </w:r>
      <w:r>
        <w:rPr>
          <w:rFonts w:ascii="Aptos" w:hAnsi="Aptos"/>
          <w:color w:val="152A3B"/>
        </w:rPr>
        <w:t>Generate English video/narration and Arabic localized version.</w:t>
      </w:r>
    </w:p>
    <w:p>
      <w:pPr>
        <w:spacing w:after="80"/>
        <w:ind w:left="0" w:firstLine="0"/>
      </w:pPr>
      <w:r>
        <w:rPr>
          <w:rFonts w:ascii="Aptos" w:hAnsi="Aptos"/>
          <w:b/>
          <w:color w:val="081726"/>
        </w:rPr>
        <w:t xml:space="preserve">6.  </w:t>
      </w:r>
      <w:r>
        <w:rPr>
          <w:rFonts w:ascii="Aptos" w:hAnsi="Aptos"/>
          <w:color w:val="152A3B"/>
        </w:rPr>
        <w:t>Prototype your cloned English voice; compare native Arabic vs multilingual cloned voice.</w:t>
      </w:r>
    </w:p>
    <w:p>
      <w:pPr>
        <w:spacing w:after="80"/>
        <w:ind w:left="0" w:firstLine="0"/>
      </w:pPr>
      <w:r>
        <w:rPr>
          <w:rFonts w:ascii="Aptos" w:hAnsi="Aptos"/>
          <w:b/>
          <w:color w:val="081726"/>
        </w:rPr>
        <w:t xml:space="preserve">7.  </w:t>
      </w:r>
      <w:r>
        <w:rPr>
          <w:rFonts w:ascii="Aptos" w:hAnsi="Aptos"/>
          <w:color w:val="152A3B"/>
        </w:rPr>
        <w:t>Implement pause-anywhere Q&amp;A and transcript.</w:t>
      </w:r>
    </w:p>
    <w:p>
      <w:pPr>
        <w:spacing w:after="80"/>
        <w:ind w:left="0" w:firstLine="0"/>
      </w:pPr>
      <w:r>
        <w:rPr>
          <w:rFonts w:ascii="Aptos" w:hAnsi="Aptos"/>
          <w:b/>
          <w:color w:val="081726"/>
        </w:rPr>
        <w:t xml:space="preserve">8.  </w:t>
      </w:r>
      <w:r>
        <w:rPr>
          <w:rFonts w:ascii="Aptos" w:hAnsi="Aptos"/>
          <w:color w:val="152A3B"/>
        </w:rPr>
        <w:t>Add Active Mode question checkpoints and basic concept mastery state.</w:t>
      </w:r>
    </w:p>
    <w:p>
      <w:pPr>
        <w:pStyle w:val="Heading2"/>
        <w:spacing w:before="160" w:after="80"/>
      </w:pPr>
      <w:r>
        <w:rPr>
          <w:rFonts w:ascii="Aptos" w:hAnsi="Aptos"/>
          <w:b/>
          <w:color w:val="2CB9B9"/>
          <w:sz w:val="30"/>
        </w:rPr>
        <w:t>Days 61–90 — Realtime voice, beta and commercial proof</w:t>
      </w:r>
    </w:p>
    <w:p>
      <w:pPr>
        <w:spacing w:after="80"/>
        <w:ind w:left="0" w:firstLine="0"/>
      </w:pPr>
      <w:r>
        <w:rPr>
          <w:rFonts w:ascii="Aptos" w:hAnsi="Aptos"/>
          <w:b/>
          <w:color w:val="081726"/>
        </w:rPr>
        <w:t xml:space="preserve">1.  </w:t>
      </w:r>
      <w:r>
        <w:rPr>
          <w:rFonts w:ascii="Aptos" w:hAnsi="Aptos"/>
          <w:color w:val="152A3B"/>
        </w:rPr>
        <w:t>Add realtime voice interruption and resume flow.</w:t>
      </w:r>
    </w:p>
    <w:p>
      <w:pPr>
        <w:spacing w:after="80"/>
        <w:ind w:left="0" w:firstLine="0"/>
      </w:pPr>
      <w:r>
        <w:rPr>
          <w:rFonts w:ascii="Aptos" w:hAnsi="Aptos"/>
          <w:b/>
          <w:color w:val="081726"/>
        </w:rPr>
        <w:t xml:space="preserve">2.  </w:t>
      </w:r>
      <w:r>
        <w:rPr>
          <w:rFonts w:ascii="Aptos" w:hAnsi="Aptos"/>
          <w:color w:val="152A3B"/>
        </w:rPr>
        <w:t>Add voice viva and adaptive follow-up questions.</w:t>
      </w:r>
    </w:p>
    <w:p>
      <w:pPr>
        <w:spacing w:after="80"/>
        <w:ind w:left="0" w:firstLine="0"/>
      </w:pPr>
      <w:r>
        <w:rPr>
          <w:rFonts w:ascii="Aptos" w:hAnsi="Aptos"/>
          <w:b/>
          <w:color w:val="081726"/>
        </w:rPr>
        <w:t xml:space="preserve">3.  </w:t>
      </w:r>
      <w:r>
        <w:rPr>
          <w:rFonts w:ascii="Aptos" w:hAnsi="Aptos"/>
          <w:color w:val="152A3B"/>
        </w:rPr>
        <w:t>Add practice-case generator using structured constraints + deterministic expected outputs.</w:t>
      </w:r>
    </w:p>
    <w:p>
      <w:pPr>
        <w:spacing w:after="80"/>
        <w:ind w:left="0" w:firstLine="0"/>
      </w:pPr>
      <w:r>
        <w:rPr>
          <w:rFonts w:ascii="Aptos" w:hAnsi="Aptos"/>
          <w:b/>
          <w:color w:val="081726"/>
        </w:rPr>
        <w:t xml:space="preserve">4.  </w:t>
      </w:r>
      <w:r>
        <w:rPr>
          <w:rFonts w:ascii="Aptos" w:hAnsi="Aptos"/>
          <w:color w:val="152A3B"/>
        </w:rPr>
        <w:t>Instrument learning events, latency and AI cost.</w:t>
      </w:r>
    </w:p>
    <w:p>
      <w:pPr>
        <w:spacing w:after="80"/>
        <w:ind w:left="0" w:firstLine="0"/>
      </w:pPr>
      <w:r>
        <w:rPr>
          <w:rFonts w:ascii="Aptos" w:hAnsi="Aptos"/>
          <w:b/>
          <w:color w:val="081726"/>
        </w:rPr>
        <w:t xml:space="preserve">5.  </w:t>
      </w:r>
      <w:r>
        <w:rPr>
          <w:rFonts w:ascii="Aptos" w:hAnsi="Aptos"/>
          <w:color w:val="152A3B"/>
        </w:rPr>
        <w:t>Run 10–20 practitioner beta sessions in the U.S./Saudi/UAE-oriented target audience.</w:t>
      </w:r>
    </w:p>
    <w:p>
      <w:pPr>
        <w:spacing w:after="80"/>
        <w:ind w:left="0" w:firstLine="0"/>
      </w:pPr>
      <w:r>
        <w:rPr>
          <w:rFonts w:ascii="Aptos" w:hAnsi="Aptos"/>
          <w:b/>
          <w:color w:val="081726"/>
        </w:rPr>
        <w:t xml:space="preserve">6.  </w:t>
      </w:r>
      <w:r>
        <w:rPr>
          <w:rFonts w:ascii="Aptos" w:hAnsi="Aptos"/>
          <w:color w:val="152A3B"/>
        </w:rPr>
        <w:t>Measure pre/post knowledge, question success, completion, voice usage, trust, NPS-style feedback and willingness to pay.</w:t>
      </w:r>
    </w:p>
    <w:p>
      <w:pPr>
        <w:spacing w:after="80"/>
        <w:ind w:left="0" w:firstLine="0"/>
      </w:pPr>
      <w:r>
        <w:rPr>
          <w:rFonts w:ascii="Aptos" w:hAnsi="Aptos"/>
          <w:b/>
          <w:color w:val="081726"/>
        </w:rPr>
        <w:t xml:space="preserve">7.  </w:t>
      </w:r>
      <w:r>
        <w:rPr>
          <w:rFonts w:ascii="Aptos" w:hAnsi="Aptos"/>
          <w:color w:val="152A3B"/>
        </w:rPr>
        <w:t>Fix every content/calculation defect and repeat tests.</w:t>
      </w:r>
    </w:p>
    <w:p>
      <w:pPr>
        <w:spacing w:after="80"/>
        <w:ind w:left="0" w:firstLine="0"/>
      </w:pPr>
      <w:r>
        <w:rPr>
          <w:rFonts w:ascii="Aptos" w:hAnsi="Aptos"/>
          <w:b/>
          <w:color w:val="081726"/>
        </w:rPr>
        <w:t xml:space="preserve">8.  </w:t>
      </w:r>
      <w:r>
        <w:rPr>
          <w:rFonts w:ascii="Aptos" w:hAnsi="Aptos"/>
          <w:color w:val="152A3B"/>
        </w:rPr>
        <w:t>Choose Go / Refine / Stop for the wider Basel curriculum using explicit decision gates.</w:t>
      </w:r>
    </w:p>
    <w:p>
      <w:pPr>
        <w:pStyle w:val="Heading1"/>
      </w:pPr>
      <w:r>
        <w:rPr>
          <w:rFonts w:ascii="Aptos" w:hAnsi="Aptos"/>
          <w:b/>
          <w:color w:val="081726"/>
          <w:sz w:val="44"/>
        </w:rPr>
        <w:t>18. Immediate Build Backlog and Decision Gates</w:t>
      </w:r>
    </w:p>
    <w:p>
      <w:pPr>
        <w:pStyle w:val="Heading2"/>
        <w:spacing w:before="160" w:after="80"/>
      </w:pPr>
      <w:r>
        <w:rPr>
          <w:rFonts w:ascii="Aptos" w:hAnsi="Aptos"/>
          <w:b/>
          <w:color w:val="2CB9B9"/>
          <w:sz w:val="30"/>
        </w:rPr>
        <w:t>18.1 Must-build backlog</w:t>
      </w:r>
    </w:p>
    <w:tbl>
      <w:tblPr>
        <w:tblStyle w:val="TableGrid"/>
        <w:tblW w:type="auto" w:w="0"/>
        <w:jc w:val="center"/>
        <w:tblLook w:firstColumn="1" w:firstRow="1" w:lastColumn="0" w:lastRow="0" w:noHBand="0" w:noVBand="1" w:val="04A0"/>
      </w:tblPr>
      <w:tblGrid>
        <w:gridCol w:w="3408"/>
        <w:gridCol w:w="3408"/>
        <w:gridCol w:w="3408"/>
      </w:tblGrid>
      <w:tr>
        <w:tc>
          <w:tcPr>
            <w:tcW w:type="dxa" w:w="1008"/>
            <w:shd w:fill="081726"/>
            <w:vAlign w:val="center"/>
          </w:tcPr>
          <w:p>
            <w:pPr>
              <w:jc w:val="center"/>
            </w:pPr>
            <w:r>
              <w:rPr>
                <w:rFonts w:ascii="Aptos" w:hAnsi="Aptos"/>
                <w:b/>
                <w:color w:val="FFFFFF"/>
                <w:sz w:val="15"/>
              </w:rPr>
              <w:t>Priority</w:t>
            </w:r>
          </w:p>
        </w:tc>
        <w:tc>
          <w:tcPr>
            <w:tcW w:type="dxa" w:w="3024"/>
            <w:shd w:fill="081726"/>
            <w:vAlign w:val="center"/>
          </w:tcPr>
          <w:p>
            <w:pPr>
              <w:jc w:val="center"/>
            </w:pPr>
            <w:r>
              <w:rPr>
                <w:rFonts w:ascii="Aptos" w:hAnsi="Aptos"/>
                <w:b/>
                <w:color w:val="FFFFFF"/>
                <w:sz w:val="15"/>
              </w:rPr>
              <w:t>Epic</w:t>
            </w:r>
          </w:p>
        </w:tc>
        <w:tc>
          <w:tcPr>
            <w:tcW w:type="dxa" w:w="6048"/>
            <w:shd w:fill="081726"/>
            <w:vAlign w:val="center"/>
          </w:tcPr>
          <w:p>
            <w:pPr>
              <w:jc w:val="center"/>
            </w:pPr>
            <w:r>
              <w:rPr>
                <w:rFonts w:ascii="Aptos" w:hAnsi="Aptos"/>
                <w:b/>
                <w:color w:val="FFFFFF"/>
                <w:sz w:val="15"/>
              </w:rPr>
              <w:t>Definition of done</w:t>
            </w:r>
          </w:p>
        </w:tc>
      </w:tr>
      <w:tr>
        <w:tc>
          <w:tcPr>
            <w:tcW w:type="dxa" w:w="1008"/>
            <w:shd w:fill="EEF5F7"/>
            <w:vAlign w:val="center"/>
          </w:tcPr>
          <w:p>
            <w:pPr>
              <w:spacing w:after="0"/>
            </w:pPr>
            <w:r>
              <w:rPr>
                <w:rFonts w:ascii="Aptos" w:hAnsi="Aptos"/>
                <w:color w:val="152A3B"/>
                <w:sz w:val="15"/>
              </w:rPr>
              <w:t>P0</w:t>
            </w:r>
          </w:p>
        </w:tc>
        <w:tc>
          <w:tcPr>
            <w:tcW w:type="dxa" w:w="3024"/>
            <w:vAlign w:val="center"/>
          </w:tcPr>
          <w:p>
            <w:pPr>
              <w:spacing w:after="0"/>
            </w:pPr>
            <w:r>
              <w:rPr>
                <w:rFonts w:ascii="Aptos" w:hAnsi="Aptos"/>
                <w:color w:val="152A3B"/>
                <w:sz w:val="15"/>
              </w:rPr>
              <w:t>Regulatory content model</w:t>
            </w:r>
          </w:p>
        </w:tc>
        <w:tc>
          <w:tcPr>
            <w:tcW w:type="dxa" w:w="6048"/>
            <w:vAlign w:val="center"/>
          </w:tcPr>
          <w:p>
            <w:pPr>
              <w:spacing w:after="0"/>
            </w:pPr>
            <w:r>
              <w:rPr>
                <w:rFonts w:ascii="Aptos" w:hAnsi="Aptos"/>
                <w:color w:val="152A3B"/>
                <w:sz w:val="15"/>
              </w:rPr>
              <w:t>One structured corporate-exposure lesson object maps sources, rules, example, expected outputs and jurisdictions.</w:t>
            </w:r>
          </w:p>
        </w:tc>
      </w:tr>
      <w:tr>
        <w:tc>
          <w:tcPr>
            <w:tcW w:type="dxa" w:w="1008"/>
            <w:shd w:fill="EEF5F7"/>
            <w:vAlign w:val="center"/>
          </w:tcPr>
          <w:p>
            <w:pPr>
              <w:spacing w:after="0"/>
            </w:pPr>
            <w:r>
              <w:rPr>
                <w:rFonts w:ascii="Aptos" w:hAnsi="Aptos"/>
                <w:color w:val="152A3B"/>
                <w:sz w:val="15"/>
              </w:rPr>
              <w:t>P0</w:t>
            </w:r>
          </w:p>
        </w:tc>
        <w:tc>
          <w:tcPr>
            <w:tcW w:type="dxa" w:w="3024"/>
            <w:vAlign w:val="center"/>
          </w:tcPr>
          <w:p>
            <w:pPr>
              <w:spacing w:after="0"/>
            </w:pPr>
            <w:r>
              <w:rPr>
                <w:rFonts w:ascii="Aptos" w:hAnsi="Aptos"/>
                <w:color w:val="152A3B"/>
                <w:sz w:val="15"/>
              </w:rPr>
              <w:t>Deterministic calculation API</w:t>
            </w:r>
          </w:p>
        </w:tc>
        <w:tc>
          <w:tcPr>
            <w:tcW w:type="dxa" w:w="6048"/>
            <w:vAlign w:val="center"/>
          </w:tcPr>
          <w:p>
            <w:pPr>
              <w:spacing w:after="0"/>
            </w:pPr>
            <w:r>
              <w:rPr>
                <w:rFonts w:ascii="Aptos" w:hAnsi="Aptos"/>
                <w:color w:val="152A3B"/>
                <w:sz w:val="15"/>
              </w:rPr>
              <w:t>Same sample exposure produces reproducible expected values and explanation payload.</w:t>
            </w:r>
          </w:p>
        </w:tc>
      </w:tr>
      <w:tr>
        <w:tc>
          <w:tcPr>
            <w:tcW w:type="dxa" w:w="1008"/>
            <w:shd w:fill="EEF5F7"/>
            <w:vAlign w:val="center"/>
          </w:tcPr>
          <w:p>
            <w:pPr>
              <w:spacing w:after="0"/>
            </w:pPr>
            <w:r>
              <w:rPr>
                <w:rFonts w:ascii="Aptos" w:hAnsi="Aptos"/>
                <w:color w:val="152A3B"/>
                <w:sz w:val="15"/>
              </w:rPr>
              <w:t>P0</w:t>
            </w:r>
          </w:p>
        </w:tc>
        <w:tc>
          <w:tcPr>
            <w:tcW w:type="dxa" w:w="3024"/>
            <w:vAlign w:val="center"/>
          </w:tcPr>
          <w:p>
            <w:pPr>
              <w:spacing w:after="0"/>
            </w:pPr>
            <w:r>
              <w:rPr>
                <w:rFonts w:ascii="Aptos" w:hAnsi="Aptos"/>
                <w:color w:val="152A3B"/>
                <w:sz w:val="15"/>
              </w:rPr>
              <w:t>Lesson player + semantic timeline</w:t>
            </w:r>
          </w:p>
        </w:tc>
        <w:tc>
          <w:tcPr>
            <w:tcW w:type="dxa" w:w="6048"/>
            <w:vAlign w:val="center"/>
          </w:tcPr>
          <w:p>
            <w:pPr>
              <w:spacing w:after="0"/>
            </w:pPr>
            <w:r>
              <w:rPr>
                <w:rFonts w:ascii="Aptos" w:hAnsi="Aptos"/>
                <w:color w:val="152A3B"/>
                <w:sz w:val="15"/>
              </w:rPr>
              <w:t>Tutor can always identify what the learner is seeing.</w:t>
            </w:r>
          </w:p>
        </w:tc>
      </w:tr>
      <w:tr>
        <w:tc>
          <w:tcPr>
            <w:tcW w:type="dxa" w:w="1008"/>
            <w:shd w:fill="EEF5F7"/>
            <w:vAlign w:val="center"/>
          </w:tcPr>
          <w:p>
            <w:pPr>
              <w:spacing w:after="0"/>
            </w:pPr>
            <w:r>
              <w:rPr>
                <w:rFonts w:ascii="Aptos" w:hAnsi="Aptos"/>
                <w:color w:val="152A3B"/>
                <w:sz w:val="15"/>
              </w:rPr>
              <w:t>P0</w:t>
            </w:r>
          </w:p>
        </w:tc>
        <w:tc>
          <w:tcPr>
            <w:tcW w:type="dxa" w:w="3024"/>
            <w:vAlign w:val="center"/>
          </w:tcPr>
          <w:p>
            <w:pPr>
              <w:spacing w:after="0"/>
            </w:pPr>
            <w:r>
              <w:rPr>
                <w:rFonts w:ascii="Aptos" w:hAnsi="Aptos"/>
                <w:color w:val="152A3B"/>
                <w:sz w:val="15"/>
              </w:rPr>
              <w:t>Grounded chat tutor</w:t>
            </w:r>
          </w:p>
        </w:tc>
        <w:tc>
          <w:tcPr>
            <w:tcW w:type="dxa" w:w="6048"/>
            <w:vAlign w:val="center"/>
          </w:tcPr>
          <w:p>
            <w:pPr>
              <w:spacing w:after="0"/>
            </w:pPr>
            <w:r>
              <w:rPr>
                <w:rFonts w:ascii="Aptos" w:hAnsi="Aptos"/>
                <w:color w:val="152A3B"/>
                <w:sz w:val="15"/>
              </w:rPr>
              <w:t>Answers cite sources and use tools instead of calculating from memory.</w:t>
            </w:r>
          </w:p>
        </w:tc>
      </w:tr>
      <w:tr>
        <w:tc>
          <w:tcPr>
            <w:tcW w:type="dxa" w:w="1008"/>
            <w:shd w:fill="EEF5F7"/>
            <w:vAlign w:val="center"/>
          </w:tcPr>
          <w:p>
            <w:pPr>
              <w:spacing w:after="0"/>
            </w:pPr>
            <w:r>
              <w:rPr>
                <w:rFonts w:ascii="Aptos" w:hAnsi="Aptos"/>
                <w:color w:val="152A3B"/>
                <w:sz w:val="15"/>
              </w:rPr>
              <w:t>P0</w:t>
            </w:r>
          </w:p>
        </w:tc>
        <w:tc>
          <w:tcPr>
            <w:tcW w:type="dxa" w:w="3024"/>
            <w:vAlign w:val="center"/>
          </w:tcPr>
          <w:p>
            <w:pPr>
              <w:spacing w:after="0"/>
            </w:pPr>
            <w:r>
              <w:rPr>
                <w:rFonts w:ascii="Aptos" w:hAnsi="Aptos"/>
                <w:color w:val="152A3B"/>
                <w:sz w:val="15"/>
              </w:rPr>
              <w:t>Interactive calculator</w:t>
            </w:r>
          </w:p>
        </w:tc>
        <w:tc>
          <w:tcPr>
            <w:tcW w:type="dxa" w:w="6048"/>
            <w:vAlign w:val="center"/>
          </w:tcPr>
          <w:p>
            <w:pPr>
              <w:spacing w:after="0"/>
            </w:pPr>
            <w:r>
              <w:rPr>
                <w:rFonts w:ascii="Aptos" w:hAnsi="Aptos"/>
                <w:color w:val="152A3B"/>
                <w:sz w:val="15"/>
              </w:rPr>
              <w:t>Learner can change inputs and jurisdiction and rerun.</w:t>
            </w:r>
          </w:p>
        </w:tc>
      </w:tr>
      <w:tr>
        <w:tc>
          <w:tcPr>
            <w:tcW w:type="dxa" w:w="1008"/>
            <w:shd w:fill="EEF5F7"/>
            <w:vAlign w:val="center"/>
          </w:tcPr>
          <w:p>
            <w:pPr>
              <w:spacing w:after="0"/>
            </w:pPr>
            <w:r>
              <w:rPr>
                <w:rFonts w:ascii="Aptos" w:hAnsi="Aptos"/>
                <w:color w:val="152A3B"/>
                <w:sz w:val="15"/>
              </w:rPr>
              <w:t>P1</w:t>
            </w:r>
          </w:p>
        </w:tc>
        <w:tc>
          <w:tcPr>
            <w:tcW w:type="dxa" w:w="3024"/>
            <w:vAlign w:val="center"/>
          </w:tcPr>
          <w:p>
            <w:pPr>
              <w:spacing w:after="0"/>
            </w:pPr>
            <w:r>
              <w:rPr>
                <w:rFonts w:ascii="Aptos" w:hAnsi="Aptos"/>
                <w:color w:val="152A3B"/>
                <w:sz w:val="15"/>
              </w:rPr>
              <w:t>English/Arabic localization</w:t>
            </w:r>
          </w:p>
        </w:tc>
        <w:tc>
          <w:tcPr>
            <w:tcW w:type="dxa" w:w="6048"/>
            <w:vAlign w:val="center"/>
          </w:tcPr>
          <w:p>
            <w:pPr>
              <w:spacing w:after="0"/>
            </w:pPr>
            <w:r>
              <w:rPr>
                <w:rFonts w:ascii="Aptos" w:hAnsi="Aptos"/>
                <w:color w:val="152A3B"/>
                <w:sz w:val="15"/>
              </w:rPr>
              <w:t>One lesson fully localized with controlled terminology.</w:t>
            </w:r>
          </w:p>
        </w:tc>
      </w:tr>
      <w:tr>
        <w:tc>
          <w:tcPr>
            <w:tcW w:type="dxa" w:w="1008"/>
            <w:shd w:fill="EEF5F7"/>
            <w:vAlign w:val="center"/>
          </w:tcPr>
          <w:p>
            <w:pPr>
              <w:spacing w:after="0"/>
            </w:pPr>
            <w:r>
              <w:rPr>
                <w:rFonts w:ascii="Aptos" w:hAnsi="Aptos"/>
                <w:color w:val="152A3B"/>
                <w:sz w:val="15"/>
              </w:rPr>
              <w:t>P1</w:t>
            </w:r>
          </w:p>
        </w:tc>
        <w:tc>
          <w:tcPr>
            <w:tcW w:type="dxa" w:w="3024"/>
            <w:vAlign w:val="center"/>
          </w:tcPr>
          <w:p>
            <w:pPr>
              <w:spacing w:after="0"/>
            </w:pPr>
            <w:r>
              <w:rPr>
                <w:rFonts w:ascii="Aptos" w:hAnsi="Aptos"/>
                <w:color w:val="152A3B"/>
                <w:sz w:val="15"/>
              </w:rPr>
              <w:t>Realtime voice</w:t>
            </w:r>
          </w:p>
        </w:tc>
        <w:tc>
          <w:tcPr>
            <w:tcW w:type="dxa" w:w="6048"/>
            <w:vAlign w:val="center"/>
          </w:tcPr>
          <w:p>
            <w:pPr>
              <w:spacing w:after="0"/>
            </w:pPr>
            <w:r>
              <w:rPr>
                <w:rFonts w:ascii="Aptos" w:hAnsi="Aptos"/>
                <w:color w:val="152A3B"/>
                <w:sz w:val="15"/>
              </w:rPr>
              <w:t>Pause → ask → answer → resume works reliably.</w:t>
            </w:r>
          </w:p>
        </w:tc>
      </w:tr>
      <w:tr>
        <w:tc>
          <w:tcPr>
            <w:tcW w:type="dxa" w:w="1008"/>
            <w:shd w:fill="EEF5F7"/>
            <w:vAlign w:val="center"/>
          </w:tcPr>
          <w:p>
            <w:pPr>
              <w:spacing w:after="0"/>
            </w:pPr>
            <w:r>
              <w:rPr>
                <w:rFonts w:ascii="Aptos" w:hAnsi="Aptos"/>
                <w:color w:val="152A3B"/>
                <w:sz w:val="15"/>
              </w:rPr>
              <w:t>P1</w:t>
            </w:r>
          </w:p>
        </w:tc>
        <w:tc>
          <w:tcPr>
            <w:tcW w:type="dxa" w:w="3024"/>
            <w:vAlign w:val="center"/>
          </w:tcPr>
          <w:p>
            <w:pPr>
              <w:spacing w:after="0"/>
            </w:pPr>
            <w:r>
              <w:rPr>
                <w:rFonts w:ascii="Aptos" w:hAnsi="Aptos"/>
                <w:color w:val="152A3B"/>
                <w:sz w:val="15"/>
              </w:rPr>
              <w:t>Mastery engine</w:t>
            </w:r>
          </w:p>
        </w:tc>
        <w:tc>
          <w:tcPr>
            <w:tcW w:type="dxa" w:w="6048"/>
            <w:vAlign w:val="center"/>
          </w:tcPr>
          <w:p>
            <w:pPr>
              <w:spacing w:after="0"/>
            </w:pPr>
            <w:r>
              <w:rPr>
                <w:rFonts w:ascii="Aptos" w:hAnsi="Aptos"/>
                <w:color w:val="152A3B"/>
                <w:sz w:val="15"/>
              </w:rPr>
              <w:t>Tracks concepts, misconceptions and targeted practice.</w:t>
            </w:r>
          </w:p>
        </w:tc>
      </w:tr>
      <w:tr>
        <w:tc>
          <w:tcPr>
            <w:tcW w:type="dxa" w:w="1008"/>
            <w:shd w:fill="EEF5F7"/>
            <w:vAlign w:val="center"/>
          </w:tcPr>
          <w:p>
            <w:pPr>
              <w:spacing w:after="0"/>
            </w:pPr>
            <w:r>
              <w:rPr>
                <w:rFonts w:ascii="Aptos" w:hAnsi="Aptos"/>
                <w:color w:val="152A3B"/>
                <w:sz w:val="15"/>
              </w:rPr>
              <w:t>P1</w:t>
            </w:r>
          </w:p>
        </w:tc>
        <w:tc>
          <w:tcPr>
            <w:tcW w:type="dxa" w:w="3024"/>
            <w:vAlign w:val="center"/>
          </w:tcPr>
          <w:p>
            <w:pPr>
              <w:spacing w:after="0"/>
            </w:pPr>
            <w:r>
              <w:rPr>
                <w:rFonts w:ascii="Aptos" w:hAnsi="Aptos"/>
                <w:color w:val="152A3B"/>
                <w:sz w:val="15"/>
              </w:rPr>
              <w:t>Voice viva</w:t>
            </w:r>
          </w:p>
        </w:tc>
        <w:tc>
          <w:tcPr>
            <w:tcW w:type="dxa" w:w="6048"/>
            <w:vAlign w:val="center"/>
          </w:tcPr>
          <w:p>
            <w:pPr>
              <w:spacing w:after="0"/>
            </w:pPr>
            <w:r>
              <w:rPr>
                <w:rFonts w:ascii="Aptos" w:hAnsi="Aptos"/>
                <w:color w:val="152A3B"/>
                <w:sz w:val="15"/>
              </w:rPr>
              <w:t>Scores structured reasoning rather than keywords.</w:t>
            </w:r>
          </w:p>
        </w:tc>
      </w:tr>
      <w:tr>
        <w:tc>
          <w:tcPr>
            <w:tcW w:type="dxa" w:w="1008"/>
            <w:shd w:fill="EEF5F7"/>
            <w:vAlign w:val="center"/>
          </w:tcPr>
          <w:p>
            <w:pPr>
              <w:spacing w:after="0"/>
            </w:pPr>
            <w:r>
              <w:rPr>
                <w:rFonts w:ascii="Aptos" w:hAnsi="Aptos"/>
                <w:color w:val="152A3B"/>
                <w:sz w:val="15"/>
              </w:rPr>
              <w:t>P2</w:t>
            </w:r>
          </w:p>
        </w:tc>
        <w:tc>
          <w:tcPr>
            <w:tcW w:type="dxa" w:w="3024"/>
            <w:vAlign w:val="center"/>
          </w:tcPr>
          <w:p>
            <w:pPr>
              <w:spacing w:after="0"/>
            </w:pPr>
            <w:r>
              <w:rPr>
                <w:rFonts w:ascii="Aptos" w:hAnsi="Aptos"/>
                <w:color w:val="152A3B"/>
                <w:sz w:val="15"/>
              </w:rPr>
              <w:t>Digital avatar</w:t>
            </w:r>
          </w:p>
        </w:tc>
        <w:tc>
          <w:tcPr>
            <w:tcW w:type="dxa" w:w="6048"/>
            <w:vAlign w:val="center"/>
          </w:tcPr>
          <w:p>
            <w:pPr>
              <w:spacing w:after="0"/>
            </w:pPr>
            <w:r>
              <w:rPr>
                <w:rFonts w:ascii="Aptos" w:hAnsi="Aptos"/>
                <w:color w:val="152A3B"/>
                <w:sz w:val="15"/>
              </w:rPr>
              <w:t>Add only after tutor/voice and finance visuals work well.</w:t>
            </w:r>
          </w:p>
        </w:tc>
      </w:tr>
      <w:tr>
        <w:tc>
          <w:tcPr>
            <w:tcW w:type="dxa" w:w="1008"/>
            <w:shd w:fill="EEF5F7"/>
            <w:vAlign w:val="center"/>
          </w:tcPr>
          <w:p>
            <w:pPr>
              <w:spacing w:after="0"/>
            </w:pPr>
            <w:r>
              <w:rPr>
                <w:rFonts w:ascii="Aptos" w:hAnsi="Aptos"/>
                <w:color w:val="152A3B"/>
                <w:sz w:val="15"/>
              </w:rPr>
              <w:t>P2</w:t>
            </w:r>
          </w:p>
        </w:tc>
        <w:tc>
          <w:tcPr>
            <w:tcW w:type="dxa" w:w="3024"/>
            <w:vAlign w:val="center"/>
          </w:tcPr>
          <w:p>
            <w:pPr>
              <w:spacing w:after="0"/>
            </w:pPr>
            <w:r>
              <w:rPr>
                <w:rFonts w:ascii="Aptos" w:hAnsi="Aptos"/>
                <w:color w:val="152A3B"/>
                <w:sz w:val="15"/>
              </w:rPr>
              <w:t>Enterprise admin</w:t>
            </w:r>
          </w:p>
        </w:tc>
        <w:tc>
          <w:tcPr>
            <w:tcW w:type="dxa" w:w="6048"/>
            <w:vAlign w:val="center"/>
          </w:tcPr>
          <w:p>
            <w:pPr>
              <w:spacing w:after="0"/>
            </w:pPr>
            <w:r>
              <w:rPr>
                <w:rFonts w:ascii="Aptos" w:hAnsi="Aptos"/>
                <w:color w:val="152A3B"/>
                <w:sz w:val="15"/>
              </w:rPr>
              <w:t>Build after individual/practitioner proof.</w:t>
            </w:r>
          </w:p>
        </w:tc>
      </w:tr>
    </w:tbl>
    <w:p>
      <w:pPr>
        <w:spacing w:after="40"/>
      </w:pPr>
    </w:p>
    <w:p>
      <w:pPr>
        <w:pStyle w:val="Heading2"/>
        <w:spacing w:before="160" w:after="80"/>
      </w:pPr>
      <w:r>
        <w:rPr>
          <w:rFonts w:ascii="Aptos" w:hAnsi="Aptos"/>
          <w:b/>
          <w:color w:val="2CB9B9"/>
          <w:sz w:val="30"/>
        </w:rPr>
        <w:t>18.2 Decision gates</w:t>
      </w:r>
    </w:p>
    <w:p>
      <w:pPr>
        <w:pStyle w:val="ListBullet"/>
        <w:spacing w:after="60"/>
      </w:pPr>
      <w:r>
        <w:rPr>
          <w:rFonts w:ascii="Aptos" w:hAnsi="Aptos"/>
          <w:b/>
          <w:color w:val="152A3B"/>
        </w:rPr>
        <w:t xml:space="preserve">Accuracy gate: </w:t>
      </w:r>
      <w:r>
        <w:rPr>
          <w:rFonts w:ascii="Aptos" w:hAnsi="Aptos"/>
          <w:color w:val="152A3B"/>
        </w:rPr>
        <w:t>no unresolved material regulatory or calculation errors in the Golden Lesson.</w:t>
      </w:r>
    </w:p>
    <w:p>
      <w:pPr>
        <w:pStyle w:val="ListBullet"/>
        <w:spacing w:after="60"/>
      </w:pPr>
      <w:r>
        <w:rPr>
          <w:rFonts w:ascii="Aptos" w:hAnsi="Aptos"/>
          <w:b/>
          <w:color w:val="152A3B"/>
        </w:rPr>
        <w:t xml:space="preserve">Learning gate: </w:t>
      </w:r>
      <w:r>
        <w:rPr>
          <w:rFonts w:ascii="Aptos" w:hAnsi="Aptos"/>
          <w:color w:val="152A3B"/>
        </w:rPr>
        <w:t>practitioner testers can explain and calculate the target concept better after the experience.</w:t>
      </w:r>
    </w:p>
    <w:p>
      <w:pPr>
        <w:pStyle w:val="ListBullet"/>
        <w:spacing w:after="60"/>
      </w:pPr>
      <w:r>
        <w:rPr>
          <w:rFonts w:ascii="Aptos" w:hAnsi="Aptos"/>
          <w:b/>
          <w:color w:val="152A3B"/>
        </w:rPr>
        <w:t xml:space="preserve">Engagement gate: </w:t>
      </w:r>
      <w:r>
        <w:rPr>
          <w:rFonts w:ascii="Aptos" w:hAnsi="Aptos"/>
          <w:color w:val="152A3B"/>
        </w:rPr>
        <w:t>learners actively use pause-and-ask, labs or voice rather than only watching the video.</w:t>
      </w:r>
    </w:p>
    <w:p>
      <w:pPr>
        <w:pStyle w:val="ListBullet"/>
        <w:spacing w:after="60"/>
      </w:pPr>
      <w:r>
        <w:rPr>
          <w:rFonts w:ascii="Aptos" w:hAnsi="Aptos"/>
          <w:b/>
          <w:color w:val="152A3B"/>
        </w:rPr>
        <w:t xml:space="preserve">Willingness-to-pay gate: </w:t>
      </w:r>
      <w:r>
        <w:rPr>
          <w:rFonts w:ascii="Aptos" w:hAnsi="Aptos"/>
          <w:color w:val="152A3B"/>
        </w:rPr>
        <w:t>a meaningful subset would personally pay or recommend a team/bank pilot.</w:t>
      </w:r>
    </w:p>
    <w:p>
      <w:pPr>
        <w:pStyle w:val="ListBullet"/>
        <w:spacing w:after="60"/>
      </w:pPr>
      <w:r>
        <w:rPr>
          <w:rFonts w:ascii="Aptos" w:hAnsi="Aptos"/>
          <w:b/>
          <w:color w:val="152A3B"/>
        </w:rPr>
        <w:t xml:space="preserve">Scalability gate: </w:t>
      </w:r>
      <w:r>
        <w:rPr>
          <w:rFonts w:ascii="Aptos" w:hAnsi="Aptos"/>
          <w:color w:val="152A3B"/>
        </w:rPr>
        <w:t>we can produce Lesson 002 materially faster using the same content and media factory.</w:t>
      </w:r>
    </w:p>
    <w:p>
      <w:pPr>
        <w:pStyle w:val="ListBullet"/>
        <w:spacing w:after="60"/>
      </w:pPr>
      <w:r>
        <w:rPr>
          <w:rFonts w:ascii="Aptos" w:hAnsi="Aptos"/>
          <w:b/>
          <w:color w:val="152A3B"/>
        </w:rPr>
        <w:t xml:space="preserve">Transferability gate: </w:t>
      </w:r>
      <w:r>
        <w:rPr>
          <w:rFonts w:ascii="Aptos" w:hAnsi="Aptos"/>
          <w:color w:val="152A3B"/>
        </w:rPr>
        <w:t>the platform design can support a second domain (reg reporting or ALM) without rearchitecting the core.</w:t>
      </w:r>
    </w:p>
    <w:p>
      <w:pPr>
        <w:pStyle w:val="Heading1"/>
      </w:pPr>
      <w:r>
        <w:rPr>
          <w:rFonts w:ascii="Aptos" w:hAnsi="Aptos"/>
          <w:b/>
          <w:color w:val="081726"/>
          <w:sz w:val="44"/>
        </w:rPr>
        <w:t>19. Strategic Synergy with Capital Change Assurance</w:t>
      </w:r>
    </w:p>
    <w:p>
      <w:pPr>
        <w:spacing w:after="120"/>
      </w:pPr>
      <w:r>
        <w:rPr>
          <w:rFonts w:ascii="Aptos" w:hAnsi="Aptos"/>
        </w:rPr>
        <w:t>Financial Pods and the separate prudential Capital Change Assurance concept can share regulated intellectual property without becoming the same product. The assurance platform uses the rules to validate bank calculations; Financial Pods uses the same rules to teach people. The shared foundation can include the canonical regulatory model, jurisdiction mappings, calculation engine, test cases, synthetic portfolios and change/version metadata.</w:t>
      </w:r>
    </w:p>
    <w:tbl>
      <w:tblPr>
        <w:tblStyle w:val="TableGrid"/>
        <w:tblW w:type="auto" w:w="0"/>
        <w:jc w:val="center"/>
        <w:tblLook w:firstColumn="1" w:firstRow="1" w:lastColumn="0" w:lastRow="0" w:noHBand="0" w:noVBand="1" w:val="04A0"/>
      </w:tblPr>
      <w:tblGrid>
        <w:gridCol w:w="3408"/>
        <w:gridCol w:w="3408"/>
        <w:gridCol w:w="3408"/>
      </w:tblGrid>
      <w:tr>
        <w:tc>
          <w:tcPr>
            <w:tcW w:type="dxa" w:w="2448"/>
            <w:shd w:fill="081726"/>
            <w:vAlign w:val="center"/>
          </w:tcPr>
          <w:p>
            <w:pPr>
              <w:jc w:val="center"/>
            </w:pPr>
            <w:r>
              <w:rPr>
                <w:rFonts w:ascii="Aptos" w:hAnsi="Aptos"/>
                <w:b/>
                <w:color w:val="FFFFFF"/>
                <w:sz w:val="16"/>
              </w:rPr>
              <w:t>Shared asset</w:t>
            </w:r>
          </w:p>
        </w:tc>
        <w:tc>
          <w:tcPr>
            <w:tcW w:type="dxa" w:w="3672"/>
            <w:shd w:fill="081726"/>
            <w:vAlign w:val="center"/>
          </w:tcPr>
          <w:p>
            <w:pPr>
              <w:jc w:val="center"/>
            </w:pPr>
            <w:r>
              <w:rPr>
                <w:rFonts w:ascii="Aptos" w:hAnsi="Aptos"/>
                <w:b/>
                <w:color w:val="FFFFFF"/>
                <w:sz w:val="16"/>
              </w:rPr>
              <w:t>Capital Assurance use</w:t>
            </w:r>
          </w:p>
        </w:tc>
        <w:tc>
          <w:tcPr>
            <w:tcW w:type="dxa" w:w="3672"/>
            <w:shd w:fill="081726"/>
            <w:vAlign w:val="center"/>
          </w:tcPr>
          <w:p>
            <w:pPr>
              <w:jc w:val="center"/>
            </w:pPr>
            <w:r>
              <w:rPr>
                <w:rFonts w:ascii="Aptos" w:hAnsi="Aptos"/>
                <w:b/>
                <w:color w:val="FFFFFF"/>
                <w:sz w:val="16"/>
              </w:rPr>
              <w:t>Financial Pods use</w:t>
            </w:r>
          </w:p>
        </w:tc>
      </w:tr>
      <w:tr>
        <w:tc>
          <w:tcPr>
            <w:tcW w:type="dxa" w:w="2448"/>
            <w:shd w:fill="EEF5F7"/>
            <w:vAlign w:val="center"/>
          </w:tcPr>
          <w:p>
            <w:pPr>
              <w:spacing w:after="0"/>
            </w:pPr>
            <w:r>
              <w:rPr>
                <w:rFonts w:ascii="Aptos" w:hAnsi="Aptos"/>
                <w:color w:val="152A3B"/>
                <w:sz w:val="16"/>
              </w:rPr>
              <w:t>Regulatory Knowledge Graph</w:t>
            </w:r>
          </w:p>
        </w:tc>
        <w:tc>
          <w:tcPr>
            <w:tcW w:type="dxa" w:w="3672"/>
            <w:vAlign w:val="center"/>
          </w:tcPr>
          <w:p>
            <w:pPr>
              <w:spacing w:after="0"/>
            </w:pPr>
            <w:r>
              <w:rPr>
                <w:rFonts w:ascii="Aptos" w:hAnsi="Aptos"/>
                <w:color w:val="152A3B"/>
                <w:sz w:val="16"/>
              </w:rPr>
              <w:t>Impact / lineage / change analysis</w:t>
            </w:r>
          </w:p>
        </w:tc>
        <w:tc>
          <w:tcPr>
            <w:tcW w:type="dxa" w:w="3672"/>
            <w:vAlign w:val="center"/>
          </w:tcPr>
          <w:p>
            <w:pPr>
              <w:spacing w:after="0"/>
            </w:pPr>
            <w:r>
              <w:rPr>
                <w:rFonts w:ascii="Aptos" w:hAnsi="Aptos"/>
                <w:color w:val="152A3B"/>
                <w:sz w:val="16"/>
              </w:rPr>
              <w:t>Grounded teaching and jurisdiction comparison</w:t>
            </w:r>
          </w:p>
        </w:tc>
      </w:tr>
      <w:tr>
        <w:tc>
          <w:tcPr>
            <w:tcW w:type="dxa" w:w="2448"/>
            <w:shd w:fill="EEF5F7"/>
            <w:vAlign w:val="center"/>
          </w:tcPr>
          <w:p>
            <w:pPr>
              <w:spacing w:after="0"/>
            </w:pPr>
            <w:r>
              <w:rPr>
                <w:rFonts w:ascii="Aptos" w:hAnsi="Aptos"/>
                <w:color w:val="152A3B"/>
                <w:sz w:val="16"/>
              </w:rPr>
              <w:t>Python capital engine</w:t>
            </w:r>
          </w:p>
        </w:tc>
        <w:tc>
          <w:tcPr>
            <w:tcW w:type="dxa" w:w="3672"/>
            <w:vAlign w:val="center"/>
          </w:tcPr>
          <w:p>
            <w:pPr>
              <w:spacing w:after="0"/>
            </w:pPr>
            <w:r>
              <w:rPr>
                <w:rFonts w:ascii="Aptos" w:hAnsi="Aptos"/>
                <w:color w:val="152A3B"/>
                <w:sz w:val="16"/>
              </w:rPr>
              <w:t>Independent RWA calculation and reconciliation</w:t>
            </w:r>
          </w:p>
        </w:tc>
        <w:tc>
          <w:tcPr>
            <w:tcW w:type="dxa" w:w="3672"/>
            <w:vAlign w:val="center"/>
          </w:tcPr>
          <w:p>
            <w:pPr>
              <w:spacing w:after="0"/>
            </w:pPr>
            <w:r>
              <w:rPr>
                <w:rFonts w:ascii="Aptos" w:hAnsi="Aptos"/>
                <w:color w:val="152A3B"/>
                <w:sz w:val="16"/>
              </w:rPr>
              <w:t>Interactive labs and worked examples</w:t>
            </w:r>
          </w:p>
        </w:tc>
      </w:tr>
      <w:tr>
        <w:tc>
          <w:tcPr>
            <w:tcW w:type="dxa" w:w="2448"/>
            <w:shd w:fill="EEF5F7"/>
            <w:vAlign w:val="center"/>
          </w:tcPr>
          <w:p>
            <w:pPr>
              <w:spacing w:after="0"/>
            </w:pPr>
            <w:r>
              <w:rPr>
                <w:rFonts w:ascii="Aptos" w:hAnsi="Aptos"/>
                <w:color w:val="152A3B"/>
                <w:sz w:val="16"/>
              </w:rPr>
              <w:t>Synthetic portfolios</w:t>
            </w:r>
          </w:p>
        </w:tc>
        <w:tc>
          <w:tcPr>
            <w:tcW w:type="dxa" w:w="3672"/>
            <w:vAlign w:val="center"/>
          </w:tcPr>
          <w:p>
            <w:pPr>
              <w:spacing w:after="0"/>
            </w:pPr>
            <w:r>
              <w:rPr>
                <w:rFonts w:ascii="Aptos" w:hAnsi="Aptos"/>
                <w:color w:val="152A3B"/>
                <w:sz w:val="16"/>
              </w:rPr>
              <w:t>Regression and validation tests</w:t>
            </w:r>
          </w:p>
        </w:tc>
        <w:tc>
          <w:tcPr>
            <w:tcW w:type="dxa" w:w="3672"/>
            <w:vAlign w:val="center"/>
          </w:tcPr>
          <w:p>
            <w:pPr>
              <w:spacing w:after="0"/>
            </w:pPr>
            <w:r>
              <w:rPr>
                <w:rFonts w:ascii="Aptos" w:hAnsi="Aptos"/>
                <w:color w:val="152A3B"/>
                <w:sz w:val="16"/>
              </w:rPr>
              <w:t>Practice cases and FinBank</w:t>
            </w:r>
          </w:p>
        </w:tc>
      </w:tr>
      <w:tr>
        <w:tc>
          <w:tcPr>
            <w:tcW w:type="dxa" w:w="2448"/>
            <w:shd w:fill="EEF5F7"/>
            <w:vAlign w:val="center"/>
          </w:tcPr>
          <w:p>
            <w:pPr>
              <w:spacing w:after="0"/>
            </w:pPr>
            <w:r>
              <w:rPr>
                <w:rFonts w:ascii="Aptos" w:hAnsi="Aptos"/>
                <w:color w:val="152A3B"/>
                <w:sz w:val="16"/>
              </w:rPr>
              <w:t>Rule versions</w:t>
            </w:r>
          </w:p>
        </w:tc>
        <w:tc>
          <w:tcPr>
            <w:tcW w:type="dxa" w:w="3672"/>
            <w:vAlign w:val="center"/>
          </w:tcPr>
          <w:p>
            <w:pPr>
              <w:spacing w:after="0"/>
            </w:pPr>
            <w:r>
              <w:rPr>
                <w:rFonts w:ascii="Aptos" w:hAnsi="Aptos"/>
                <w:color w:val="152A3B"/>
                <w:sz w:val="16"/>
              </w:rPr>
              <w:t>Old/new impact testing</w:t>
            </w:r>
          </w:p>
        </w:tc>
        <w:tc>
          <w:tcPr>
            <w:tcW w:type="dxa" w:w="3672"/>
            <w:vAlign w:val="center"/>
          </w:tcPr>
          <w:p>
            <w:pPr>
              <w:spacing w:after="0"/>
            </w:pPr>
            <w:r>
              <w:rPr>
                <w:rFonts w:ascii="Aptos" w:hAnsi="Aptos"/>
                <w:color w:val="152A3B"/>
                <w:sz w:val="16"/>
              </w:rPr>
              <w:t>“What changed?” micro-lessons</w:t>
            </w:r>
          </w:p>
        </w:tc>
      </w:tr>
      <w:tr>
        <w:tc>
          <w:tcPr>
            <w:tcW w:type="dxa" w:w="2448"/>
            <w:shd w:fill="EEF5F7"/>
            <w:vAlign w:val="center"/>
          </w:tcPr>
          <w:p>
            <w:pPr>
              <w:spacing w:after="0"/>
            </w:pPr>
            <w:r>
              <w:rPr>
                <w:rFonts w:ascii="Aptos" w:hAnsi="Aptos"/>
                <w:color w:val="152A3B"/>
                <w:sz w:val="16"/>
              </w:rPr>
              <w:t>Reporting mappings</w:t>
            </w:r>
          </w:p>
        </w:tc>
        <w:tc>
          <w:tcPr>
            <w:tcW w:type="dxa" w:w="3672"/>
            <w:vAlign w:val="center"/>
          </w:tcPr>
          <w:p>
            <w:pPr>
              <w:spacing w:after="0"/>
            </w:pPr>
            <w:r>
              <w:rPr>
                <w:rFonts w:ascii="Aptos" w:hAnsi="Aptos"/>
                <w:color w:val="152A3B"/>
                <w:sz w:val="16"/>
              </w:rPr>
              <w:t>Report impact / validation</w:t>
            </w:r>
          </w:p>
        </w:tc>
        <w:tc>
          <w:tcPr>
            <w:tcW w:type="dxa" w:w="3672"/>
            <w:vAlign w:val="center"/>
          </w:tcPr>
          <w:p>
            <w:pPr>
              <w:spacing w:after="0"/>
            </w:pPr>
            <w:r>
              <w:rPr>
                <w:rFonts w:ascii="Aptos" w:hAnsi="Aptos"/>
                <w:color w:val="152A3B"/>
                <w:sz w:val="16"/>
              </w:rPr>
              <w:t>Regulatory reporting labs</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10224"/>
            <w:shd w:fill="FFF7E7"/>
            <w:tcBorders>
              <w:top w:val="single" w:sz="12" w:color="C9A24E"/>
              <w:left w:val="single" w:sz="12" w:color="C9A24E"/>
              <w:bottom w:val="single" w:sz="12" w:color="C9A24E"/>
              <w:right w:val="single" w:sz="12" w:color="C9A24E"/>
            </w:tcBorders>
          </w:tcPr>
          <w:p>
            <w:pPr>
              <w:spacing w:after="60"/>
            </w:pPr>
            <w:r>
              <w:rPr>
                <w:rFonts w:ascii="Aptos" w:hAnsi="Aptos"/>
                <w:b/>
                <w:color w:val="C9A24E"/>
                <w:sz w:val="24"/>
              </w:rPr>
              <w:t>Strategic advantage</w:t>
            </w:r>
            <w:r>
              <w:rPr>
                <w:rFonts w:ascii="Aptos" w:hAnsi="Aptos"/>
                <w:color w:val="152A3B"/>
                <w:sz w:val="21"/>
              </w:rPr>
              <w:br/>
              <w:t>If built carefully, every verified rule, test and synthetic case can increase the value of both products. The learning platform can therefore become a lower-friction commercial channel while the assurance platform targets higher-value institutional workflows.</w:t>
            </w:r>
          </w:p>
        </w:tc>
      </w:tr>
    </w:tbl>
    <w:p>
      <w:pPr>
        <w:spacing w:after="20"/>
      </w:pPr>
    </w:p>
    <w:p>
      <w:pPr>
        <w:pStyle w:val="Heading1"/>
      </w:pPr>
      <w:r>
        <w:rPr>
          <w:rFonts w:ascii="Aptos" w:hAnsi="Aptos"/>
          <w:b/>
          <w:color w:val="081726"/>
          <w:sz w:val="44"/>
        </w:rPr>
        <w:t>20. Research Sources</w:t>
      </w:r>
    </w:p>
    <w:p>
      <w:pPr>
        <w:spacing w:after="200"/>
      </w:pPr>
      <w:r>
        <w:rPr>
          <w:rFonts w:ascii="Aptos" w:hAnsi="Aptos"/>
          <w:color w:val="617789"/>
          <w:sz w:val="21"/>
        </w:rPr>
        <w:t>Selected current sources used in the research synthesis. Product and pricing details can change; re-verify before commercial commitments.</w:t>
      </w:r>
    </w:p>
    <w:p>
      <w:pPr>
        <w:spacing w:after="100"/>
      </w:pPr>
      <w:r>
        <w:rPr>
          <w:rFonts w:ascii="Aptos" w:hAnsi="Aptos"/>
          <w:b/>
          <w:color w:val="081726"/>
          <w:sz w:val="18"/>
        </w:rPr>
        <w:t>S1  Bank for International Settlements — Basel Framework, CRE20 Standardised Approach</w:t>
        <w:br/>
      </w:r>
      <w:hyperlink r:id="rId18">
        <w:r>
          <w:rPr>
            <w:color w:val="0563C1"/>
          </w:rPr>
          <w:t>https://www.bis.org/basel_framework/chapter/CRE/20.htm</w:t>
        </w:r>
      </w:hyperlink>
    </w:p>
    <w:p>
      <w:pPr>
        <w:spacing w:after="100"/>
      </w:pPr>
      <w:r>
        <w:rPr>
          <w:rFonts w:ascii="Aptos" w:hAnsi="Aptos"/>
          <w:b/>
          <w:color w:val="081726"/>
          <w:sz w:val="18"/>
        </w:rPr>
        <w:t>S2  Federal Reserve — March 19, 2026 capital proposals</w:t>
        <w:br/>
      </w:r>
      <w:hyperlink r:id="rId19">
        <w:r>
          <w:rPr>
            <w:color w:val="0563C1"/>
          </w:rPr>
          <w:t>https://www.federalreserve.gov/newsevents/pressreleases/bcreg20260319a.htm</w:t>
        </w:r>
      </w:hyperlink>
    </w:p>
    <w:p>
      <w:pPr>
        <w:spacing w:after="100"/>
      </w:pPr>
      <w:r>
        <w:rPr>
          <w:rFonts w:ascii="Aptos" w:hAnsi="Aptos"/>
          <w:b/>
          <w:color w:val="081726"/>
          <w:sz w:val="18"/>
        </w:rPr>
        <w:t>S3  Saudi Central Bank (SAMA) — Minimum Capital Requirements for Credit Risk</w:t>
        <w:br/>
      </w:r>
      <w:hyperlink r:id="rId20">
        <w:r>
          <w:rPr>
            <w:color w:val="0563C1"/>
          </w:rPr>
          <w:t>https://rulebook.sama.gov.sa/en/minimum-capital-requirements-credit-risk</w:t>
        </w:r>
      </w:hyperlink>
    </w:p>
    <w:p>
      <w:pPr>
        <w:spacing w:after="100"/>
      </w:pPr>
      <w:r>
        <w:rPr>
          <w:rFonts w:ascii="Aptos" w:hAnsi="Aptos"/>
          <w:b/>
          <w:color w:val="081726"/>
          <w:sz w:val="18"/>
        </w:rPr>
        <w:t>S4  Central Bank of the UAE — Standards for Capital Adequacy of Banks in the UAE</w:t>
        <w:br/>
      </w:r>
      <w:hyperlink r:id="rId21">
        <w:r>
          <w:rPr>
            <w:color w:val="0563C1"/>
          </w:rPr>
          <w:t>https://rulebook.centralbank.ae/en/rulebook/standards-capital-adequacy-banks-uae</w:t>
        </w:r>
      </w:hyperlink>
    </w:p>
    <w:p>
      <w:pPr>
        <w:spacing w:after="100"/>
      </w:pPr>
      <w:r>
        <w:rPr>
          <w:rFonts w:ascii="Aptos" w:hAnsi="Aptos"/>
          <w:b/>
          <w:color w:val="081726"/>
          <w:sz w:val="18"/>
        </w:rPr>
        <w:t>S5  Vizz AI — Pricing and feature set</w:t>
        <w:br/>
      </w:r>
      <w:hyperlink r:id="rId22">
        <w:r>
          <w:rPr>
            <w:color w:val="0563C1"/>
          </w:rPr>
          <w:t>https://vizz.vizuara.ai/pricing</w:t>
        </w:r>
      </w:hyperlink>
    </w:p>
    <w:p>
      <w:pPr>
        <w:spacing w:after="100"/>
      </w:pPr>
      <w:r>
        <w:rPr>
          <w:rFonts w:ascii="Aptos" w:hAnsi="Aptos"/>
          <w:b/>
          <w:color w:val="081726"/>
          <w:sz w:val="18"/>
        </w:rPr>
        <w:t>S6  Vizz AI — Terms / service description</w:t>
        <w:br/>
      </w:r>
      <w:hyperlink r:id="rId23">
        <w:r>
          <w:rPr>
            <w:color w:val="0563C1"/>
          </w:rPr>
          <w:t>https://vizz.vizuara.ai/terms-and-conditions</w:t>
        </w:r>
      </w:hyperlink>
    </w:p>
    <w:p>
      <w:pPr>
        <w:spacing w:after="100"/>
      </w:pPr>
      <w:r>
        <w:rPr>
          <w:rFonts w:ascii="Aptos" w:hAnsi="Aptos"/>
          <w:b/>
          <w:color w:val="081726"/>
          <w:sz w:val="18"/>
        </w:rPr>
        <w:t>S7  Corporate Finance Institute — AI Tutor launch</w:t>
        <w:br/>
      </w:r>
      <w:hyperlink r:id="rId24">
        <w:r>
          <w:rPr>
            <w:color w:val="0563C1"/>
          </w:rPr>
          <w:t>https://corporatefinanceinstitute.com/news/ai-tutor/</w:t>
        </w:r>
      </w:hyperlink>
    </w:p>
    <w:p>
      <w:pPr>
        <w:spacing w:after="100"/>
      </w:pPr>
      <w:r>
        <w:rPr>
          <w:rFonts w:ascii="Aptos" w:hAnsi="Aptos"/>
          <w:b/>
          <w:color w:val="081726"/>
          <w:sz w:val="18"/>
        </w:rPr>
        <w:t>S8  Corporate Finance Institute — Membership pricing</w:t>
        <w:br/>
      </w:r>
      <w:hyperlink r:id="rId25">
        <w:r>
          <w:rPr>
            <w:color w:val="0563C1"/>
          </w:rPr>
          <w:t>https://corporatefinanceinstitute.com/pricing/</w:t>
        </w:r>
      </w:hyperlink>
    </w:p>
    <w:p>
      <w:pPr>
        <w:spacing w:after="100"/>
      </w:pPr>
      <w:r>
        <w:rPr>
          <w:rFonts w:ascii="Aptos" w:hAnsi="Aptos"/>
          <w:b/>
          <w:color w:val="081726"/>
          <w:sz w:val="18"/>
        </w:rPr>
        <w:t>S9  Fitch Learning — Bank Capital Adequacy Under Basel III</w:t>
        <w:br/>
      </w:r>
      <w:hyperlink r:id="rId26">
        <w:r>
          <w:rPr>
            <w:color w:val="0563C1"/>
          </w:rPr>
          <w:t>https://fitchlearning.com/course/risk-and-regulatory/bank-capital-adequacy-under-basel-iii/</w:t>
        </w:r>
      </w:hyperlink>
    </w:p>
    <w:p>
      <w:pPr>
        <w:spacing w:after="100"/>
      </w:pPr>
      <w:r>
        <w:rPr>
          <w:rFonts w:ascii="Aptos" w:hAnsi="Aptos"/>
          <w:b/>
          <w:color w:val="081726"/>
          <w:sz w:val="18"/>
        </w:rPr>
        <w:t>S10  Scientific Reports — AI tutoring outperforms in-class active learning (2025)</w:t>
        <w:br/>
      </w:r>
      <w:hyperlink r:id="rId27">
        <w:r>
          <w:rPr>
            <w:color w:val="0563C1"/>
          </w:rPr>
          <w:t>https://www.nature.com/articles/s41598-025-97652-6</w:t>
        </w:r>
      </w:hyperlink>
    </w:p>
    <w:p>
      <w:pPr>
        <w:spacing w:after="100"/>
      </w:pPr>
      <w:r>
        <w:rPr>
          <w:rFonts w:ascii="Aptos" w:hAnsi="Aptos"/>
          <w:b/>
          <w:color w:val="081726"/>
          <w:sz w:val="18"/>
        </w:rPr>
        <w:t>S11  ElevenLabs — Voice cloning</w:t>
        <w:br/>
      </w:r>
      <w:hyperlink r:id="rId28">
        <w:r>
          <w:rPr>
            <w:color w:val="0563C1"/>
          </w:rPr>
          <w:t>https://elevenlabs.io/voice-cloning</w:t>
        </w:r>
      </w:hyperlink>
    </w:p>
    <w:p>
      <w:pPr>
        <w:spacing w:after="100"/>
      </w:pPr>
      <w:r>
        <w:rPr>
          <w:rFonts w:ascii="Aptos" w:hAnsi="Aptos"/>
          <w:b/>
          <w:color w:val="081726"/>
          <w:sz w:val="18"/>
        </w:rPr>
        <w:t>S12  ElevenLabs — Arabic text to speech</w:t>
        <w:br/>
      </w:r>
      <w:hyperlink r:id="rId29">
        <w:r>
          <w:rPr>
            <w:color w:val="0563C1"/>
          </w:rPr>
          <w:t>https://elevenlabs.io/text-to-speech/arabic</w:t>
        </w:r>
      </w:hyperlink>
    </w:p>
    <w:p>
      <w:pPr>
        <w:spacing w:after="100"/>
      </w:pPr>
      <w:r>
        <w:rPr>
          <w:rFonts w:ascii="Aptos" w:hAnsi="Aptos"/>
          <w:b/>
          <w:color w:val="081726"/>
          <w:sz w:val="18"/>
        </w:rPr>
        <w:t>S13  HeyGen — LiveAvatar / realtime avatar workflows</w:t>
        <w:br/>
      </w:r>
      <w:hyperlink r:id="rId30">
        <w:r>
          <w:rPr>
            <w:color w:val="0563C1"/>
          </w:rPr>
          <w:t>https://www.heygen.com/blog/how-to-activate-your-audience-with-personalization-and-interactivity</w:t>
        </w:r>
      </w:hyperlink>
    </w:p>
    <w:p>
      <w:pPr>
        <w:spacing w:after="100"/>
      </w:pPr>
      <w:r>
        <w:rPr>
          <w:rFonts w:ascii="Aptos" w:hAnsi="Aptos"/>
          <w:b/>
          <w:color w:val="081726"/>
          <w:sz w:val="18"/>
        </w:rPr>
        <w:t>S14  Google — Nano Banana 2 image generation</w:t>
        <w:br/>
      </w:r>
      <w:hyperlink r:id="rId31">
        <w:r>
          <w:rPr>
            <w:color w:val="0563C1"/>
          </w:rPr>
          <w:t>https://blog.google/innovation-and-ai/technology/ai/nano-banana-2/</w:t>
        </w:r>
      </w:hyperlink>
    </w:p>
    <w:p>
      <w:pPr>
        <w:spacing w:after="100"/>
      </w:pPr>
      <w:r>
        <w:rPr>
          <w:rFonts w:ascii="Aptos" w:hAnsi="Aptos"/>
          <w:b/>
          <w:color w:val="081726"/>
          <w:sz w:val="18"/>
        </w:rPr>
        <w:t>S15  Google DeepMind — Veo 3.1 video generation</w:t>
        <w:br/>
      </w:r>
      <w:hyperlink r:id="rId32">
        <w:r>
          <w:rPr>
            <w:color w:val="0563C1"/>
          </w:rPr>
          <w:t>https://deepmind.google/models/veo/</w:t>
        </w:r>
      </w:hyperlink>
    </w:p>
    <w:p>
      <w:pPr>
        <w:spacing w:after="100"/>
      </w:pPr>
      <w:r>
        <w:rPr>
          <w:rFonts w:ascii="Aptos" w:hAnsi="Aptos"/>
          <w:b/>
          <w:color w:val="081726"/>
          <w:sz w:val="18"/>
        </w:rPr>
        <w:t>S16  FFIEC — Reporting forms and FFIEC 101 resources</w:t>
        <w:br/>
      </w:r>
      <w:hyperlink r:id="rId33">
        <w:r>
          <w:rPr>
            <w:color w:val="0563C1"/>
          </w:rPr>
          <w:t>https://www.ffiec.gov/resources/reporting-forms</w:t>
        </w:r>
      </w:hyperlink>
    </w:p>
    <w:p>
      <w:pPr>
        <w:spacing w:after="100"/>
      </w:pPr>
      <w:r>
        <w:rPr>
          <w:rFonts w:ascii="Aptos" w:hAnsi="Aptos"/>
          <w:b/>
          <w:color w:val="081726"/>
          <w:sz w:val="18"/>
        </w:rPr>
        <w:t>S17  Federal Reserve — FR Y-14Q reporting form</w:t>
        <w:br/>
      </w:r>
      <w:hyperlink r:id="rId34">
        <w:r>
          <w:rPr>
            <w:color w:val="0563C1"/>
          </w:rPr>
          <w:t>https://www.federalreserve.gov/apps/reportingforms/Report/Index/FR_Y-14Q</w:t>
        </w:r>
      </w:hyperlink>
    </w:p>
    <w:p>
      <w:pPr>
        <w:spacing w:after="100"/>
      </w:pPr>
      <w:r>
        <w:rPr>
          <w:rFonts w:ascii="Aptos" w:hAnsi="Aptos"/>
          <w:b/>
          <w:color w:val="081726"/>
          <w:sz w:val="18"/>
        </w:rPr>
        <w:t>S18  ACAMS — CAMS Certification</w:t>
        <w:br/>
      </w:r>
      <w:hyperlink r:id="rId35">
        <w:r>
          <w:rPr>
            <w:color w:val="0563C1"/>
          </w:rPr>
          <w:t>https://www.acams.org/en/certifications/cams-certification</w:t>
        </w:r>
      </w:hyperlink>
    </w:p>
    <w:p>
      <w:pPr>
        <w:spacing w:after="100"/>
      </w:pPr>
      <w:r>
        <w:rPr>
          <w:rFonts w:ascii="Aptos" w:hAnsi="Aptos"/>
          <w:b/>
          <w:color w:val="081726"/>
          <w:sz w:val="18"/>
        </w:rPr>
        <w:t>S19  Federal Reserve — 2026 proposal details</w:t>
        <w:br/>
      </w:r>
      <w:hyperlink r:id="rId36">
        <w:r>
          <w:rPr>
            <w:color w:val="0563C1"/>
          </w:rPr>
          <w:t>https://www.federalreserve.gov/apps/proposals/FR-2026-0008-01/details</w:t>
        </w:r>
      </w:hyperlink>
    </w:p>
    <w:p>
      <w:pPr>
        <w:spacing w:after="100"/>
      </w:pPr>
      <w:r>
        <w:rPr>
          <w:rFonts w:ascii="Aptos" w:hAnsi="Aptos"/>
          <w:b/>
          <w:color w:val="081726"/>
          <w:sz w:val="18"/>
        </w:rPr>
        <w:t>S20  CBUAE — Guidance for Capital Adequacy of Banks in the UAE</w:t>
        <w:br/>
      </w:r>
      <w:hyperlink r:id="rId37">
        <w:r>
          <w:rPr>
            <w:color w:val="0563C1"/>
          </w:rPr>
          <w:t>https://rulebook.centralbank.ae/en/rulebook/guidance-capital-adequacy-banks-uae</w:t>
        </w:r>
      </w:hyperlink>
    </w:p>
    <w:p>
      <w:pPr>
        <w:spacing w:after="0"/>
        <w:jc w:val="center"/>
      </w:pPr>
      <w:r>
        <w:rPr>
          <w:rFonts w:ascii="Aptos" w:hAnsi="Aptos"/>
          <w:color w:val="617789"/>
          <w:sz w:val="16"/>
        </w:rPr>
        <w:t>End of document.</w:t>
      </w:r>
    </w:p>
    <w:sectPr w:rsidR="00FC693F" w:rsidRPr="0006063C" w:rsidSect="00034616">
      <w:headerReference w:type="default" r:id="rId9"/>
      <w:footerReference w:type="default" r:id="rId10"/>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17789"/>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color w:val="617789"/>
        <w:sz w:val="15"/>
      </w:rPr>
      <w:t>FINANCIAL PODS  •  MASTER STRATEGY &amp; IMPLEMENTATION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52A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81726"/>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CB9B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C9A24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8172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color w:val="152A3B"/>
      <w:sz w:val="20"/>
    </w:rPr>
  </w:style>
  <w:style w:type="paragraph" w:styleId="ListBullet2">
    <w:name w:val="List Bullet 2"/>
    <w:basedOn w:val="Normal"/>
    <w:uiPriority w:val="99"/>
    <w:unhideWhenUsed/>
    <w:rsid w:val="00326F90"/>
    <w:pPr>
      <w:numPr>
        <w:numId w:val="2"/>
      </w:numPr>
      <w:contextualSpacing/>
    </w:pPr>
    <w:rPr>
      <w:rFonts w:ascii="Aptos" w:hAnsi="Aptos"/>
      <w:color w:val="152A3B"/>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color w:val="152A3B"/>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ecutiveQuote">
    <w:name w:val="Executive Quote"/>
    <w:rPr>
      <w:rFonts w:ascii="Aptos Display" w:hAnsi="Aptos Display"/>
      <w:b/>
      <w:color w:val="2CB9B9"/>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yperlink" Target="https://www.bis.org/basel_framework/chapter/CRE/20.htm" TargetMode="External"/><Relationship Id="rId19" Type="http://schemas.openxmlformats.org/officeDocument/2006/relationships/hyperlink" Target="https://www.federalreserve.gov/newsevents/pressreleases/bcreg20260319a.htm" TargetMode="External"/><Relationship Id="rId20" Type="http://schemas.openxmlformats.org/officeDocument/2006/relationships/hyperlink" Target="https://rulebook.sama.gov.sa/en/minimum-capital-requirements-credit-risk" TargetMode="External"/><Relationship Id="rId21" Type="http://schemas.openxmlformats.org/officeDocument/2006/relationships/hyperlink" Target="https://rulebook.centralbank.ae/en/rulebook/standards-capital-adequacy-banks-uae" TargetMode="External"/><Relationship Id="rId22" Type="http://schemas.openxmlformats.org/officeDocument/2006/relationships/hyperlink" Target="https://vizz.vizuara.ai/pricing" TargetMode="External"/><Relationship Id="rId23" Type="http://schemas.openxmlformats.org/officeDocument/2006/relationships/hyperlink" Target="https://vizz.vizuara.ai/terms-and-conditions" TargetMode="External"/><Relationship Id="rId24" Type="http://schemas.openxmlformats.org/officeDocument/2006/relationships/hyperlink" Target="https://corporatefinanceinstitute.com/news/ai-tutor/" TargetMode="External"/><Relationship Id="rId25" Type="http://schemas.openxmlformats.org/officeDocument/2006/relationships/hyperlink" Target="https://corporatefinanceinstitute.com/pricing/" TargetMode="External"/><Relationship Id="rId26" Type="http://schemas.openxmlformats.org/officeDocument/2006/relationships/hyperlink" Target="https://fitchlearning.com/course/risk-and-regulatory/bank-capital-adequacy-under-basel-iii/" TargetMode="External"/><Relationship Id="rId27" Type="http://schemas.openxmlformats.org/officeDocument/2006/relationships/hyperlink" Target="https://www.nature.com/articles/s41598-025-97652-6" TargetMode="External"/><Relationship Id="rId28" Type="http://schemas.openxmlformats.org/officeDocument/2006/relationships/hyperlink" Target="https://elevenlabs.io/voice-cloning" TargetMode="External"/><Relationship Id="rId29" Type="http://schemas.openxmlformats.org/officeDocument/2006/relationships/hyperlink" Target="https://elevenlabs.io/text-to-speech/arabic" TargetMode="External"/><Relationship Id="rId30" Type="http://schemas.openxmlformats.org/officeDocument/2006/relationships/hyperlink" Target="https://www.heygen.com/blog/how-to-activate-your-audience-with-personalization-and-interactivity" TargetMode="External"/><Relationship Id="rId31" Type="http://schemas.openxmlformats.org/officeDocument/2006/relationships/hyperlink" Target="https://blog.google/innovation-and-ai/technology/ai/nano-banana-2/" TargetMode="External"/><Relationship Id="rId32" Type="http://schemas.openxmlformats.org/officeDocument/2006/relationships/hyperlink" Target="https://deepmind.google/models/veo/" TargetMode="External"/><Relationship Id="rId33" Type="http://schemas.openxmlformats.org/officeDocument/2006/relationships/hyperlink" Target="https://www.ffiec.gov/resources/reporting-forms" TargetMode="External"/><Relationship Id="rId34" Type="http://schemas.openxmlformats.org/officeDocument/2006/relationships/hyperlink" Target="https://www.federalreserve.gov/apps/reportingforms/Report/Index/FR_Y-14Q" TargetMode="External"/><Relationship Id="rId35" Type="http://schemas.openxmlformats.org/officeDocument/2006/relationships/hyperlink" Target="https://www.acams.org/en/certifications/cams-certification" TargetMode="External"/><Relationship Id="rId36" Type="http://schemas.openxmlformats.org/officeDocument/2006/relationships/hyperlink" Target="https://www.federalreserve.gov/apps/proposals/FR-2026-0008-01/details" TargetMode="External"/><Relationship Id="rId37" Type="http://schemas.openxmlformats.org/officeDocument/2006/relationships/hyperlink" Target="https://rulebook.centralbank.ae/en/rulebook/guidance-capital-adequacy-banks-ua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