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Display" w:hAnsi="Aptos Display"/>
          <w:b/>
          <w:color w:val="081726"/>
          <w:sz w:val="64"/>
        </w:rPr>
        <w:t>FINANCIAL PODS</w:t>
      </w:r>
    </w:p>
    <w:p>
      <w:pPr>
        <w:jc w:val="center"/>
      </w:pPr>
      <w:r>
        <w:rPr>
          <w:rFonts w:ascii="Aptos Display" w:hAnsi="Aptos Display"/>
          <w:b/>
          <w:color w:val="2CB9B9"/>
          <w:sz w:val="42"/>
        </w:rPr>
        <w:t>V1 Technical &amp; Functional Specification</w:t>
      </w:r>
    </w:p>
    <w:p>
      <w:pPr>
        <w:jc w:val="center"/>
      </w:pPr>
      <w:r>
        <w:rPr>
          <w:rFonts w:ascii="Aptos" w:hAnsi="Aptos"/>
          <w:color w:val="617789"/>
          <w:sz w:val="20"/>
        </w:rPr>
        <w:t>Golden Lesson architecture • Product behavior • Domain model • Agent design • Non-functional requirements • Acceptance criteria</w:t>
      </w:r>
    </w:p>
    <w:p>
      <w:pPr>
        <w:spacing w:after="40"/>
        <w:jc w:val="center"/>
      </w:pPr>
      <w:r>
        <w:drawing>
          <wp:inline xmlns:a="http://schemas.openxmlformats.org/drawingml/2006/main" xmlns:pic="http://schemas.openxmlformats.org/drawingml/2006/picture">
            <wp:extent cx="6400800" cy="3602364"/>
            <wp:docPr id="1" name="Picture 1"/>
            <wp:cNvGraphicFramePr>
              <a:graphicFrameLocks noChangeAspect="1"/>
            </wp:cNvGraphicFramePr>
            <a:graphic>
              <a:graphicData uri="http://schemas.openxmlformats.org/drawingml/2006/picture">
                <pic:pic>
                  <pic:nvPicPr>
                    <pic:cNvPr id="0" name="a_wide_cinematic_futuristic_ui_technology_scene.png"/>
                    <pic:cNvPicPr/>
                  </pic:nvPicPr>
                  <pic:blipFill>
                    <a:blip r:embed="rId11"/>
                    <a:stretch>
                      <a:fillRect/>
                    </a:stretch>
                  </pic:blipFill>
                  <pic:spPr>
                    <a:xfrm>
                      <a:off x="0" y="0"/>
                      <a:ext cx="6400800" cy="3602364"/>
                    </a:xfrm>
                    <a:prstGeom prst="rect"/>
                  </pic:spPr>
                </pic:pic>
              </a:graphicData>
            </a:graphic>
          </wp:inline>
        </w:drawing>
      </w:r>
    </w:p>
    <w:tbl>
      <w:tblPr>
        <w:tblW w:type="auto" w:w="0"/>
        <w:jc w:val="center"/>
        <w:tblLook w:firstColumn="1" w:firstRow="1" w:lastColumn="0" w:lastRow="0" w:noHBand="0" w:noVBand="1" w:val="04A0"/>
      </w:tblPr>
      <w:tblGrid>
        <w:gridCol w:w="10166"/>
      </w:tblGrid>
      <w:tr>
        <w:tc>
          <w:tcPr>
            <w:tcW w:type="dxa" w:w="10166"/>
            <w:shd w:fill="FFF8E8"/>
            <w:tcBorders>
              <w:top w:val="single" w:sz="10" w:color="C9A24E"/>
              <w:bottom w:val="single" w:sz="10" w:color="C9A24E"/>
              <w:left w:val="single" w:sz="10" w:color="C9A24E"/>
              <w:right w:val="single" w:sz="10" w:color="C9A24E"/>
            </w:tcBorders>
          </w:tcPr>
          <w:p>
            <w:r>
              <w:rPr>
                <w:rFonts w:ascii="Aptos" w:hAnsi="Aptos"/>
                <w:b/>
                <w:color w:val="C9A24E"/>
                <w:sz w:val="22"/>
              </w:rPr>
              <w:t>Document status</w:t>
              <w:br/>
            </w:r>
            <w:r>
              <w:rPr>
                <w:rFonts w:ascii="Aptos" w:hAnsi="Aptos"/>
                <w:color w:val="152A3B"/>
                <w:sz w:val="19"/>
              </w:rPr>
              <w:t>Architecture Lock Draft v0.9. This is intentionally detailed so product, engineering and SME reviewers can challenge it. Move to v1.0 only after the lock checklist at the end is accepted.</w:t>
            </w:r>
          </w:p>
        </w:tc>
      </w:tr>
    </w:tbl>
    <w:p>
      <w:pPr>
        <w:spacing w:after="20"/>
      </w:pPr>
    </w:p>
    <w:p>
      <w:pPr>
        <w:spacing w:after="100"/>
        <w:jc w:val="center"/>
      </w:pPr>
      <w:r>
        <w:rPr>
          <w:rFonts w:ascii="Aptos" w:hAnsi="Aptos"/>
          <w:b w:val="0"/>
          <w:color w:val="617789"/>
          <w:sz w:val="16"/>
        </w:rPr>
        <w:t>Prepared August 16, 2026</w:t>
      </w:r>
    </w:p>
    <w:p>
      <w:r>
        <w:br w:type="page"/>
      </w:r>
    </w:p>
    <w:p>
      <w:pPr>
        <w:pStyle w:val="Heading1"/>
      </w:pPr>
      <w:r>
        <w:t>Contents</w:t>
      </w:r>
    </w:p>
    <w:p>
      <w:pPr>
        <w:spacing w:after="40"/>
      </w:pPr>
      <w:r>
        <w:rPr>
          <w:rFonts w:ascii="Aptos" w:hAnsi="Aptos"/>
          <w:b w:val="0"/>
          <w:color w:val="152A3B"/>
        </w:rPr>
        <w:t>1. Document Control &amp; Architecture Lock</w:t>
      </w:r>
    </w:p>
    <w:p>
      <w:pPr>
        <w:spacing w:after="40"/>
      </w:pPr>
      <w:r>
        <w:rPr>
          <w:rFonts w:ascii="Aptos" w:hAnsi="Aptos"/>
          <w:b w:val="0"/>
          <w:color w:val="152A3B"/>
        </w:rPr>
        <w:t>2. Product Definition and Scope</w:t>
      </w:r>
    </w:p>
    <w:p>
      <w:pPr>
        <w:spacing w:after="40"/>
      </w:pPr>
      <w:r>
        <w:rPr>
          <w:rFonts w:ascii="Aptos" w:hAnsi="Aptos"/>
          <w:b w:val="0"/>
          <w:color w:val="152A3B"/>
        </w:rPr>
        <w:t>3. Users, Roles and Journeys</w:t>
      </w:r>
    </w:p>
    <w:p>
      <w:pPr>
        <w:spacing w:after="40"/>
      </w:pPr>
      <w:r>
        <w:rPr>
          <w:rFonts w:ascii="Aptos" w:hAnsi="Aptos"/>
          <w:b w:val="0"/>
          <w:color w:val="152A3B"/>
        </w:rPr>
        <w:t>4. Information Architecture and UI States</w:t>
      </w:r>
    </w:p>
    <w:p>
      <w:pPr>
        <w:spacing w:after="40"/>
      </w:pPr>
      <w:r>
        <w:rPr>
          <w:rFonts w:ascii="Aptos" w:hAnsi="Aptos"/>
          <w:b w:val="0"/>
          <w:color w:val="152A3B"/>
        </w:rPr>
        <w:t>5. Golden Lesson 001 Functional Specification</w:t>
      </w:r>
    </w:p>
    <w:p>
      <w:pPr>
        <w:spacing w:after="40"/>
      </w:pPr>
      <w:r>
        <w:rPr>
          <w:rFonts w:ascii="Aptos" w:hAnsi="Aptos"/>
          <w:b w:val="0"/>
          <w:color w:val="152A3B"/>
        </w:rPr>
        <w:t>6. AI Tutor and Adaptive Learning</w:t>
      </w:r>
    </w:p>
    <w:p>
      <w:pPr>
        <w:spacing w:after="40"/>
      </w:pPr>
      <w:r>
        <w:rPr>
          <w:rFonts w:ascii="Aptos" w:hAnsi="Aptos"/>
          <w:b w:val="0"/>
          <w:color w:val="152A3B"/>
        </w:rPr>
        <w:t>7. Regulatory Knowledge and Content Model</w:t>
      </w:r>
    </w:p>
    <w:p>
      <w:pPr>
        <w:spacing w:after="40"/>
      </w:pPr>
      <w:r>
        <w:rPr>
          <w:rFonts w:ascii="Aptos" w:hAnsi="Aptos"/>
          <w:b w:val="0"/>
          <w:color w:val="152A3B"/>
        </w:rPr>
        <w:t>8. FinBank and Deterministic Calculation Layer</w:t>
      </w:r>
    </w:p>
    <w:p>
      <w:pPr>
        <w:spacing w:after="40"/>
      </w:pPr>
      <w:r>
        <w:rPr>
          <w:rFonts w:ascii="Aptos" w:hAnsi="Aptos"/>
          <w:b w:val="0"/>
          <w:color w:val="152A3B"/>
        </w:rPr>
        <w:t>9. Data Model</w:t>
      </w:r>
    </w:p>
    <w:p>
      <w:pPr>
        <w:spacing w:after="40"/>
      </w:pPr>
      <w:r>
        <w:rPr>
          <w:rFonts w:ascii="Aptos" w:hAnsi="Aptos"/>
          <w:b w:val="0"/>
          <w:color w:val="152A3B"/>
        </w:rPr>
        <w:t>10. API, Events and Integration Contracts</w:t>
      </w:r>
    </w:p>
    <w:p>
      <w:pPr>
        <w:spacing w:after="40"/>
      </w:pPr>
      <w:r>
        <w:rPr>
          <w:rFonts w:ascii="Aptos" w:hAnsi="Aptos"/>
          <w:b w:val="0"/>
          <w:color w:val="152A3B"/>
        </w:rPr>
        <w:t>11. Video, Voice and Media Architecture</w:t>
      </w:r>
    </w:p>
    <w:p>
      <w:pPr>
        <w:spacing w:after="40"/>
      </w:pPr>
      <w:r>
        <w:rPr>
          <w:rFonts w:ascii="Aptos" w:hAnsi="Aptos"/>
          <w:b w:val="0"/>
          <w:color w:val="152A3B"/>
        </w:rPr>
        <w:t>12. Localization and Arabic</w:t>
      </w:r>
    </w:p>
    <w:p>
      <w:pPr>
        <w:spacing w:after="40"/>
      </w:pPr>
      <w:r>
        <w:rPr>
          <w:rFonts w:ascii="Aptos" w:hAnsi="Aptos"/>
          <w:b w:val="0"/>
          <w:color w:val="152A3B"/>
        </w:rPr>
        <w:t>13. Security, Privacy and Governance</w:t>
      </w:r>
    </w:p>
    <w:p>
      <w:pPr>
        <w:spacing w:after="40"/>
      </w:pPr>
      <w:r>
        <w:rPr>
          <w:rFonts w:ascii="Aptos" w:hAnsi="Aptos"/>
          <w:b w:val="0"/>
          <w:color w:val="152A3B"/>
        </w:rPr>
        <w:t>14. Non-Functional Requirements</w:t>
      </w:r>
    </w:p>
    <w:p>
      <w:pPr>
        <w:spacing w:after="40"/>
      </w:pPr>
      <w:r>
        <w:rPr>
          <w:rFonts w:ascii="Aptos" w:hAnsi="Aptos"/>
          <w:b w:val="0"/>
          <w:color w:val="152A3B"/>
        </w:rPr>
        <w:t>15. Testing and AI Evaluation</w:t>
      </w:r>
    </w:p>
    <w:p>
      <w:pPr>
        <w:spacing w:after="40"/>
      </w:pPr>
      <w:r>
        <w:rPr>
          <w:rFonts w:ascii="Aptos" w:hAnsi="Aptos"/>
          <w:b w:val="0"/>
          <w:color w:val="152A3B"/>
        </w:rPr>
        <w:t>16. Deployment Architecture</w:t>
      </w:r>
    </w:p>
    <w:p>
      <w:pPr>
        <w:spacing w:after="40"/>
      </w:pPr>
      <w:r>
        <w:rPr>
          <w:rFonts w:ascii="Aptos" w:hAnsi="Aptos"/>
          <w:b w:val="0"/>
          <w:color w:val="152A3B"/>
        </w:rPr>
        <w:t>17. Implementation Sprints</w:t>
      </w:r>
    </w:p>
    <w:p>
      <w:pPr>
        <w:spacing w:after="40"/>
      </w:pPr>
      <w:r>
        <w:rPr>
          <w:rFonts w:ascii="Aptos" w:hAnsi="Aptos"/>
          <w:b w:val="0"/>
          <w:color w:val="152A3B"/>
        </w:rPr>
        <w:t>18. Architecture Lock Checklist</w:t>
      </w:r>
    </w:p>
    <w:p>
      <w:pPr>
        <w:spacing w:after="40"/>
      </w:pPr>
      <w:r>
        <w:rPr>
          <w:rFonts w:ascii="Aptos" w:hAnsi="Aptos"/>
          <w:b w:val="0"/>
          <w:color w:val="152A3B"/>
        </w:rPr>
        <w:t>19. Research Basis</w:t>
      </w:r>
    </w:p>
    <w:p>
      <w:r>
        <w:br w:type="page"/>
      </w:r>
    </w:p>
    <w:p>
      <w:pPr>
        <w:pStyle w:val="Heading1"/>
      </w:pPr>
      <w:r>
        <w:t>1. Document Control &amp; Architecture Lock</w:t>
      </w:r>
    </w:p>
    <w:tbl>
      <w:tblPr>
        <w:tblStyle w:val="TableGrid"/>
        <w:tblW w:type="auto" w:w="0"/>
        <w:jc w:val="center"/>
        <w:tblLook w:firstColumn="1" w:firstRow="1" w:lastColumn="0" w:lastRow="0" w:noHBand="0" w:noVBand="1" w:val="04A0"/>
      </w:tblPr>
      <w:tblGrid>
        <w:gridCol w:w="5083"/>
        <w:gridCol w:w="5083"/>
      </w:tblGrid>
      <w:tr>
        <w:tc>
          <w:tcPr>
            <w:tcW w:type="dxa" w:w="244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7"/>
              </w:rPr>
              <w:t>Field</w:t>
            </w:r>
          </w:p>
        </w:tc>
        <w:tc>
          <w:tcPr>
            <w:tcW w:type="dxa" w:w="748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7"/>
              </w:rPr>
              <w:t>Value</w:t>
            </w:r>
          </w:p>
        </w:tc>
      </w:tr>
      <w:tr>
        <w:tc>
          <w:tcPr>
            <w:tcW w:type="dxa" w:w="2448"/>
            <w:vAlign w:val="center"/>
          </w:tcPr>
          <w:p>
            <w:r>
              <w:rPr>
                <w:rFonts w:ascii="Aptos" w:hAnsi="Aptos"/>
                <w:color w:val="152A3B"/>
                <w:sz w:val="17"/>
              </w:rPr>
              <w:t>Document</w:t>
            </w:r>
          </w:p>
        </w:tc>
        <w:tc>
          <w:tcPr>
            <w:tcW w:type="dxa" w:w="7488"/>
            <w:vAlign w:val="center"/>
          </w:tcPr>
          <w:p>
            <w:r>
              <w:rPr>
                <w:rFonts w:ascii="Aptos" w:hAnsi="Aptos"/>
                <w:color w:val="152A3B"/>
                <w:sz w:val="17"/>
              </w:rPr>
              <w:t>Financial Pods V1 Technical &amp; Functional Specification</w:t>
            </w:r>
          </w:p>
        </w:tc>
      </w:tr>
      <w:tr>
        <w:tc>
          <w:tcPr>
            <w:tcW w:type="dxa" w:w="2448"/>
            <w:shd w:fill="F8FAFB"/>
            <w:vAlign w:val="center"/>
          </w:tcPr>
          <w:p>
            <w:r>
              <w:rPr>
                <w:rFonts w:ascii="Aptos" w:hAnsi="Aptos"/>
                <w:color w:val="152A3B"/>
                <w:sz w:val="17"/>
              </w:rPr>
              <w:t>Version</w:t>
            </w:r>
          </w:p>
        </w:tc>
        <w:tc>
          <w:tcPr>
            <w:tcW w:type="dxa" w:w="7488"/>
            <w:shd w:fill="F8FAFB"/>
            <w:vAlign w:val="center"/>
          </w:tcPr>
          <w:p>
            <w:r>
              <w:rPr>
                <w:rFonts w:ascii="Aptos" w:hAnsi="Aptos"/>
                <w:color w:val="152A3B"/>
                <w:sz w:val="17"/>
              </w:rPr>
              <w:t>0.9 — architecture lock draft</w:t>
            </w:r>
          </w:p>
        </w:tc>
      </w:tr>
      <w:tr>
        <w:tc>
          <w:tcPr>
            <w:tcW w:type="dxa" w:w="2448"/>
            <w:vAlign w:val="center"/>
          </w:tcPr>
          <w:p>
            <w:r>
              <w:rPr>
                <w:rFonts w:ascii="Aptos" w:hAnsi="Aptos"/>
                <w:color w:val="152A3B"/>
                <w:sz w:val="17"/>
              </w:rPr>
              <w:t>Initial product</w:t>
            </w:r>
          </w:p>
        </w:tc>
        <w:tc>
          <w:tcPr>
            <w:tcW w:type="dxa" w:w="7488"/>
            <w:vAlign w:val="center"/>
          </w:tcPr>
          <w:p>
            <w:r>
              <w:rPr>
                <w:rFonts w:ascii="Aptos" w:hAnsi="Aptos"/>
                <w:color w:val="152A3B"/>
                <w:sz w:val="17"/>
              </w:rPr>
              <w:t>Basel Regulatory Capital Pod</w:t>
            </w:r>
          </w:p>
        </w:tc>
      </w:tr>
      <w:tr>
        <w:tc>
          <w:tcPr>
            <w:tcW w:type="dxa" w:w="2448"/>
            <w:shd w:fill="F8FAFB"/>
            <w:vAlign w:val="center"/>
          </w:tcPr>
          <w:p>
            <w:r>
              <w:rPr>
                <w:rFonts w:ascii="Aptos" w:hAnsi="Aptos"/>
                <w:color w:val="152A3B"/>
                <w:sz w:val="17"/>
              </w:rPr>
              <w:t>Golden Lesson</w:t>
            </w:r>
          </w:p>
        </w:tc>
        <w:tc>
          <w:tcPr>
            <w:tcW w:type="dxa" w:w="7488"/>
            <w:shd w:fill="F8FAFB"/>
            <w:vAlign w:val="center"/>
          </w:tcPr>
          <w:p>
            <w:r>
              <w:rPr>
                <w:rFonts w:ascii="Aptos" w:hAnsi="Aptos"/>
                <w:color w:val="152A3B"/>
                <w:sz w:val="17"/>
              </w:rPr>
              <w:t>Corporate Exposure — From Bank Loan to Regulatory Capital</w:t>
            </w:r>
          </w:p>
        </w:tc>
      </w:tr>
      <w:tr>
        <w:tc>
          <w:tcPr>
            <w:tcW w:type="dxa" w:w="2448"/>
            <w:vAlign w:val="center"/>
          </w:tcPr>
          <w:p>
            <w:r>
              <w:rPr>
                <w:rFonts w:ascii="Aptos" w:hAnsi="Aptos"/>
                <w:color w:val="152A3B"/>
                <w:sz w:val="17"/>
              </w:rPr>
              <w:t>Launch jurisdictions</w:t>
            </w:r>
          </w:p>
        </w:tc>
        <w:tc>
          <w:tcPr>
            <w:tcW w:type="dxa" w:w="7488"/>
            <w:vAlign w:val="center"/>
          </w:tcPr>
          <w:p>
            <w:r>
              <w:rPr>
                <w:rFonts w:ascii="Aptos" w:hAnsi="Aptos"/>
                <w:color w:val="152A3B"/>
                <w:sz w:val="17"/>
              </w:rPr>
              <w:t>BCBS baseline, United States, Saudi Arabia/SAMA, UAE/CBUAE</w:t>
            </w:r>
          </w:p>
        </w:tc>
      </w:tr>
      <w:tr>
        <w:tc>
          <w:tcPr>
            <w:tcW w:type="dxa" w:w="2448"/>
            <w:shd w:fill="F8FAFB"/>
            <w:vAlign w:val="center"/>
          </w:tcPr>
          <w:p>
            <w:r>
              <w:rPr>
                <w:rFonts w:ascii="Aptos" w:hAnsi="Aptos"/>
                <w:color w:val="152A3B"/>
                <w:sz w:val="17"/>
              </w:rPr>
              <w:t>Launch languages</w:t>
            </w:r>
          </w:p>
        </w:tc>
        <w:tc>
          <w:tcPr>
            <w:tcW w:type="dxa" w:w="7488"/>
            <w:shd w:fill="F8FAFB"/>
            <w:vAlign w:val="center"/>
          </w:tcPr>
          <w:p>
            <w:r>
              <w:rPr>
                <w:rFonts w:ascii="Aptos" w:hAnsi="Aptos"/>
                <w:color w:val="152A3B"/>
                <w:sz w:val="17"/>
              </w:rPr>
              <w:t>English + Arabic</w:t>
            </w:r>
          </w:p>
        </w:tc>
      </w:tr>
      <w:tr>
        <w:tc>
          <w:tcPr>
            <w:tcW w:type="dxa" w:w="2448"/>
            <w:vAlign w:val="center"/>
          </w:tcPr>
          <w:p>
            <w:r>
              <w:rPr>
                <w:rFonts w:ascii="Aptos" w:hAnsi="Aptos"/>
                <w:color w:val="152A3B"/>
                <w:sz w:val="17"/>
              </w:rPr>
              <w:t>Primary review groups</w:t>
            </w:r>
          </w:p>
        </w:tc>
        <w:tc>
          <w:tcPr>
            <w:tcW w:type="dxa" w:w="7488"/>
            <w:vAlign w:val="center"/>
          </w:tcPr>
          <w:p>
            <w:r>
              <w:rPr>
                <w:rFonts w:ascii="Aptos" w:hAnsi="Aptos"/>
                <w:color w:val="152A3B"/>
                <w:sz w:val="17"/>
              </w:rPr>
              <w:t>Product, engineering, regulatory SMEs, design/UX, security/privacy</w:t>
            </w:r>
          </w:p>
        </w:tc>
      </w:tr>
      <w:tr>
        <w:tc>
          <w:tcPr>
            <w:tcW w:type="dxa" w:w="2448"/>
            <w:shd w:fill="F8FAFB"/>
            <w:vAlign w:val="center"/>
          </w:tcPr>
          <w:p>
            <w:r>
              <w:rPr>
                <w:rFonts w:ascii="Aptos" w:hAnsi="Aptos"/>
                <w:color w:val="152A3B"/>
                <w:sz w:val="17"/>
              </w:rPr>
              <w:t>Lock rule</w:t>
            </w:r>
          </w:p>
        </w:tc>
        <w:tc>
          <w:tcPr>
            <w:tcW w:type="dxa" w:w="7488"/>
            <w:shd w:fill="F8FAFB"/>
            <w:vAlign w:val="center"/>
          </w:tcPr>
          <w:p>
            <w:r>
              <w:rPr>
                <w:rFonts w:ascii="Aptos" w:hAnsi="Aptos"/>
                <w:color w:val="152A3B"/>
                <w:sz w:val="17"/>
              </w:rPr>
              <w:t>No major V1 build starts until P0 decisions in Section 18 are accepted</w:t>
            </w:r>
          </w:p>
        </w:tc>
      </w:tr>
    </w:tbl>
    <w:p>
      <w:pPr>
        <w:spacing w:after="20"/>
      </w:pPr>
    </w:p>
    <w:tbl>
      <w:tblPr>
        <w:tblW w:type="auto" w:w="0"/>
        <w:jc w:val="center"/>
        <w:tblLook w:firstColumn="1" w:firstRow="1" w:lastColumn="0" w:lastRow="0" w:noHBand="0" w:noVBand="1" w:val="04A0"/>
      </w:tblPr>
      <w:tblGrid>
        <w:gridCol w:w="10166"/>
      </w:tblGrid>
      <w:tr>
        <w:tc>
          <w:tcPr>
            <w:tcW w:type="dxa" w:w="10166"/>
            <w:shd w:fill="EFF8F8"/>
            <w:tcBorders>
              <w:top w:val="single" w:sz="10" w:color="2CB9B9"/>
              <w:bottom w:val="single" w:sz="10" w:color="2CB9B9"/>
              <w:left w:val="single" w:sz="10" w:color="2CB9B9"/>
              <w:right w:val="single" w:sz="10" w:color="2CB9B9"/>
            </w:tcBorders>
          </w:tcPr>
          <w:p>
            <w:r>
              <w:rPr>
                <w:rFonts w:ascii="Aptos" w:hAnsi="Aptos"/>
                <w:b/>
                <w:color w:val="2CB9B9"/>
                <w:sz w:val="22"/>
              </w:rPr>
              <w:t>Architecture principle</w:t>
              <w:br/>
            </w:r>
            <w:r>
              <w:rPr>
                <w:rFonts w:ascii="Aptos" w:hAnsi="Aptos"/>
                <w:color w:val="152A3B"/>
                <w:sz w:val="19"/>
              </w:rPr>
              <w:t>Build a modular monolith with clean boundaries first. Use managed infrastructure and provider adapters. Invest early in domain contracts, auditability, testing and AI evaluations; defer microservices, Kubernetes, Spark and a dedicated graph database until measured requirements justify them.</w:t>
            </w:r>
          </w:p>
        </w:tc>
      </w:tr>
    </w:tbl>
    <w:p>
      <w:pPr>
        <w:spacing w:after="20"/>
      </w:pPr>
    </w:p>
    <w:p>
      <w:pPr>
        <w:pStyle w:val="Heading1"/>
      </w:pPr>
      <w:r>
        <w:t>2. Product Definition and Scope</w:t>
      </w:r>
    </w:p>
    <w:p>
      <w:pPr>
        <w:pStyle w:val="Heading2"/>
      </w:pPr>
      <w:r>
        <w:t>2.1 V1 outcome</w:t>
      </w:r>
    </w:p>
    <w:p>
      <w:pPr>
        <w:spacing w:after="100"/>
      </w:pPr>
      <w:r>
        <w:rPr>
          <w:rFonts w:ascii="Aptos" w:hAnsi="Aptos"/>
          <w:b w:val="0"/>
          <w:color w:val="152A3B"/>
        </w:rPr>
        <w:t>A learner can complete one premium Basel lesson end-to-end, interrupt at any point by text or voice, receive a grounded answer tied to the current lesson segment, manipulate a synthetic corporate exposure, calculate and compare regulatory outcomes across the supported jurisdictions, practice with new cases, complete a voice viva, and see a concept-level mastery result.</w:t>
      </w:r>
    </w:p>
    <w:p>
      <w:pPr>
        <w:pStyle w:val="Heading2"/>
      </w:pPr>
      <w:r>
        <w:t>2.2 V1 in scope</w:t>
      </w:r>
    </w:p>
    <w:p>
      <w:pPr>
        <w:pStyle w:val="ListBullet"/>
        <w:spacing w:after="40"/>
      </w:pPr>
      <w:r>
        <w:rPr>
          <w:rFonts w:ascii="Aptos" w:hAnsi="Aptos"/>
          <w:color w:val="152A3B"/>
          <w:sz w:val="19"/>
        </w:rPr>
        <w:t>Authentication, learner profile and entitlement checks.</w:t>
      </w:r>
    </w:p>
    <w:p>
      <w:pPr>
        <w:pStyle w:val="ListBullet"/>
        <w:spacing w:after="40"/>
      </w:pPr>
      <w:r>
        <w:rPr>
          <w:rFonts w:ascii="Aptos" w:hAnsi="Aptos"/>
          <w:color w:val="152A3B"/>
          <w:sz w:val="19"/>
        </w:rPr>
        <w:t>Basel Pod landing page and Golden Lesson 001.</w:t>
      </w:r>
    </w:p>
    <w:p>
      <w:pPr>
        <w:pStyle w:val="ListBullet"/>
        <w:spacing w:after="40"/>
      </w:pPr>
      <w:r>
        <w:rPr>
          <w:rFonts w:ascii="Aptos" w:hAnsi="Aptos"/>
          <w:color w:val="152A3B"/>
          <w:sz w:val="19"/>
        </w:rPr>
        <w:t>Chaptered video player with semantic timeline metadata.</w:t>
      </w:r>
    </w:p>
    <w:p>
      <w:pPr>
        <w:pStyle w:val="ListBullet"/>
        <w:spacing w:after="40"/>
      </w:pPr>
      <w:r>
        <w:rPr>
          <w:rFonts w:ascii="Aptos" w:hAnsi="Aptos"/>
          <w:color w:val="152A3B"/>
          <w:sz w:val="19"/>
        </w:rPr>
        <w:t>English and Arabic content, captions, RTL UI and terminology glossary.</w:t>
      </w:r>
    </w:p>
    <w:p>
      <w:pPr>
        <w:pStyle w:val="ListBullet"/>
        <w:spacing w:after="40"/>
      </w:pPr>
      <w:r>
        <w:rPr>
          <w:rFonts w:ascii="Aptos" w:hAnsi="Aptos"/>
          <w:color w:val="152A3B"/>
          <w:sz w:val="19"/>
        </w:rPr>
        <w:t>Pause-anywhere grounded chat tutor.</w:t>
      </w:r>
    </w:p>
    <w:p>
      <w:pPr>
        <w:pStyle w:val="ListBullet"/>
        <w:spacing w:after="40"/>
      </w:pPr>
      <w:r>
        <w:rPr>
          <w:rFonts w:ascii="Aptos" w:hAnsi="Aptos"/>
          <w:color w:val="152A3B"/>
          <w:sz w:val="19"/>
        </w:rPr>
        <w:t>Realtime voice tutor with interruption/barge-in, transcript and resume behavior.</w:t>
      </w:r>
    </w:p>
    <w:p>
      <w:pPr>
        <w:pStyle w:val="ListBullet"/>
        <w:spacing w:after="40"/>
      </w:pPr>
      <w:r>
        <w:rPr>
          <w:rFonts w:ascii="Aptos" w:hAnsi="Aptos"/>
          <w:color w:val="152A3B"/>
          <w:sz w:val="19"/>
        </w:rPr>
        <w:t>Official-source panel that distinguishes BCBS, U.S., SAMA and CBUAE; proposed rules are visually distinct from effective rules.</w:t>
      </w:r>
    </w:p>
    <w:p>
      <w:pPr>
        <w:pStyle w:val="ListBullet"/>
        <w:spacing w:after="40"/>
      </w:pPr>
      <w:r>
        <w:rPr>
          <w:rFonts w:ascii="Aptos" w:hAnsi="Aptos"/>
          <w:color w:val="152A3B"/>
          <w:sz w:val="19"/>
        </w:rPr>
        <w:t>Interactive corporate-exposure calculator backed by deterministic Python functions.</w:t>
      </w:r>
    </w:p>
    <w:p>
      <w:pPr>
        <w:pStyle w:val="ListBullet"/>
        <w:spacing w:after="40"/>
      </w:pPr>
      <w:r>
        <w:rPr>
          <w:rFonts w:ascii="Aptos" w:hAnsi="Aptos"/>
          <w:color w:val="152A3B"/>
          <w:sz w:val="19"/>
        </w:rPr>
        <w:t>Jurisdiction comparison view.</w:t>
      </w:r>
    </w:p>
    <w:p>
      <w:pPr>
        <w:pStyle w:val="ListBullet"/>
        <w:spacing w:after="40"/>
      </w:pPr>
      <w:r>
        <w:rPr>
          <w:rFonts w:ascii="Aptos" w:hAnsi="Aptos"/>
          <w:color w:val="152A3B"/>
          <w:sz w:val="19"/>
        </w:rPr>
        <w:t>Active-learning checkpoints and misconception capture.</w:t>
      </w:r>
    </w:p>
    <w:p>
      <w:pPr>
        <w:pStyle w:val="ListBullet"/>
        <w:spacing w:after="40"/>
      </w:pPr>
      <w:r>
        <w:rPr>
          <w:rFonts w:ascii="Aptos" w:hAnsi="Aptos"/>
          <w:color w:val="152A3B"/>
          <w:sz w:val="19"/>
        </w:rPr>
        <w:t>Practice case generation within reviewed templates.</w:t>
      </w:r>
    </w:p>
    <w:p>
      <w:pPr>
        <w:pStyle w:val="ListBullet"/>
        <w:spacing w:after="40"/>
      </w:pPr>
      <w:r>
        <w:rPr>
          <w:rFonts w:ascii="Aptos" w:hAnsi="Aptos"/>
          <w:color w:val="152A3B"/>
          <w:sz w:val="19"/>
        </w:rPr>
        <w:t>Voice viva with scoring rubric.</w:t>
      </w:r>
    </w:p>
    <w:p>
      <w:pPr>
        <w:pStyle w:val="ListBullet"/>
        <w:spacing w:after="40"/>
      </w:pPr>
      <w:r>
        <w:rPr>
          <w:rFonts w:ascii="Aptos" w:hAnsi="Aptos"/>
          <w:color w:val="152A3B"/>
          <w:sz w:val="19"/>
        </w:rPr>
        <w:t>Learner mastery dashboard.</w:t>
      </w:r>
    </w:p>
    <w:p>
      <w:pPr>
        <w:pStyle w:val="ListBullet"/>
        <w:spacing w:after="40"/>
      </w:pPr>
      <w:r>
        <w:rPr>
          <w:rFonts w:ascii="Aptos" w:hAnsi="Aptos"/>
          <w:color w:val="152A3B"/>
          <w:sz w:val="19"/>
        </w:rPr>
        <w:t>Content admin workflow with SME approval and immutable publication versions.</w:t>
      </w:r>
    </w:p>
    <w:p>
      <w:pPr>
        <w:pStyle w:val="ListBullet"/>
        <w:spacing w:after="40"/>
      </w:pPr>
      <w:r>
        <w:rPr>
          <w:rFonts w:ascii="Aptos" w:hAnsi="Aptos"/>
          <w:color w:val="152A3B"/>
          <w:sz w:val="19"/>
        </w:rPr>
        <w:t>Provider usage/cost telemetry and kill switches.</w:t>
      </w:r>
    </w:p>
    <w:p>
      <w:pPr>
        <w:pStyle w:val="Heading2"/>
      </w:pPr>
      <w:r>
        <w:t>2.3 Explicitly out of scope</w:t>
      </w:r>
    </w:p>
    <w:p>
      <w:pPr>
        <w:pStyle w:val="ListBullet"/>
        <w:spacing w:after="40"/>
      </w:pPr>
      <w:r>
        <w:rPr>
          <w:rFonts w:ascii="Aptos" w:hAnsi="Aptos"/>
          <w:color w:val="152A3B"/>
          <w:sz w:val="19"/>
        </w:rPr>
        <w:t>Full Basel curriculum at initial release; Golden Lesson proves the platform pattern first.</w:t>
      </w:r>
    </w:p>
    <w:p>
      <w:pPr>
        <w:pStyle w:val="ListBullet"/>
        <w:spacing w:after="40"/>
      </w:pPr>
      <w:r>
        <w:rPr>
          <w:rFonts w:ascii="Aptos" w:hAnsi="Aptos"/>
          <w:color w:val="152A3B"/>
          <w:sz w:val="19"/>
        </w:rPr>
        <w:t>Native iOS/Android apps.</w:t>
      </w:r>
    </w:p>
    <w:p>
      <w:pPr>
        <w:pStyle w:val="ListBullet"/>
        <w:spacing w:after="40"/>
      </w:pPr>
      <w:r>
        <w:rPr>
          <w:rFonts w:ascii="Aptos" w:hAnsi="Aptos"/>
          <w:color w:val="152A3B"/>
          <w:sz w:val="19"/>
        </w:rPr>
        <w:t>Mandatory live avatar; avatar is an optional presentation layer behind a feature flag.</w:t>
      </w:r>
    </w:p>
    <w:p>
      <w:pPr>
        <w:pStyle w:val="ListBullet"/>
        <w:spacing w:after="40"/>
      </w:pPr>
      <w:r>
        <w:rPr>
          <w:rFonts w:ascii="Aptos" w:hAnsi="Aptos"/>
          <w:color w:val="152A3B"/>
          <w:sz w:val="19"/>
        </w:rPr>
        <w:t>Production processing of confidential bank portfolios.</w:t>
      </w:r>
    </w:p>
    <w:p>
      <w:pPr>
        <w:pStyle w:val="ListBullet"/>
        <w:spacing w:after="40"/>
      </w:pPr>
      <w:r>
        <w:rPr>
          <w:rFonts w:ascii="Aptos" w:hAnsi="Aptos"/>
          <w:color w:val="152A3B"/>
          <w:sz w:val="19"/>
        </w:rPr>
        <w:t>Kubernetes, Spark, multi-region active-active, self-hosted LLMs, or a dedicated graph database without measured need.</w:t>
      </w:r>
    </w:p>
    <w:p>
      <w:pPr>
        <w:pStyle w:val="ListBullet"/>
        <w:spacing w:after="40"/>
      </w:pPr>
      <w:r>
        <w:rPr>
          <w:rFonts w:ascii="Aptos" w:hAnsi="Aptos"/>
          <w:color w:val="152A3B"/>
          <w:sz w:val="19"/>
        </w:rPr>
        <w:t>Unreviewed autonomous publication of regulatory content.</w:t>
      </w:r>
    </w:p>
    <w:p>
      <w:pPr>
        <w:pStyle w:val="Heading1"/>
      </w:pPr>
      <w:r>
        <w:t>3. Users, Roles and Journeys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Persona</w:t>
            </w:r>
          </w:p>
        </w:tc>
        <w:tc>
          <w:tcPr>
            <w:tcW w:type="dxa" w:w="331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Primary goal</w:t>
            </w:r>
          </w:p>
        </w:tc>
        <w:tc>
          <w:tcPr>
            <w:tcW w:type="dxa" w:w="504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Critical V1 experience</w:t>
            </w:r>
          </w:p>
        </w:tc>
      </w:tr>
      <w:tr>
        <w:tc>
          <w:tcPr>
            <w:tcW w:type="dxa" w:w="1728"/>
            <w:vAlign w:val="center"/>
          </w:tcPr>
          <w:p>
            <w:r>
              <w:rPr>
                <w:rFonts w:ascii="Aptos" w:hAnsi="Aptos"/>
                <w:color w:val="152A3B"/>
                <w:sz w:val="16"/>
              </w:rPr>
              <w:t>Individual learner</w:t>
            </w:r>
          </w:p>
        </w:tc>
        <w:tc>
          <w:tcPr>
            <w:tcW w:type="dxa" w:w="3312"/>
            <w:vAlign w:val="center"/>
          </w:tcPr>
          <w:p>
            <w:r>
              <w:rPr>
                <w:rFonts w:ascii="Aptos" w:hAnsi="Aptos"/>
                <w:color w:val="152A3B"/>
                <w:sz w:val="16"/>
              </w:rPr>
              <w:t>Understand Basel concepts and gain job-ready competence</w:t>
            </w:r>
          </w:p>
        </w:tc>
        <w:tc>
          <w:tcPr>
            <w:tcW w:type="dxa" w:w="5040"/>
            <w:vAlign w:val="center"/>
          </w:tcPr>
          <w:p>
            <w:r>
              <w:rPr>
                <w:rFonts w:ascii="Aptos" w:hAnsi="Aptos"/>
                <w:color w:val="152A3B"/>
                <w:sz w:val="16"/>
              </w:rPr>
              <w:t>Guided lesson, ask questions, calculations, practice, viva, mastery</w:t>
            </w:r>
          </w:p>
        </w:tc>
      </w:tr>
      <w:tr>
        <w:tc>
          <w:tcPr>
            <w:tcW w:type="dxa" w:w="1728"/>
            <w:shd w:fill="F8FAFB"/>
            <w:vAlign w:val="center"/>
          </w:tcPr>
          <w:p>
            <w:r>
              <w:rPr>
                <w:rFonts w:ascii="Aptos" w:hAnsi="Aptos"/>
                <w:color w:val="152A3B"/>
                <w:sz w:val="16"/>
              </w:rPr>
              <w:t>Experienced banker</w:t>
            </w:r>
          </w:p>
        </w:tc>
        <w:tc>
          <w:tcPr>
            <w:tcW w:type="dxa" w:w="3312"/>
            <w:shd w:fill="F8FAFB"/>
            <w:vAlign w:val="center"/>
          </w:tcPr>
          <w:p>
            <w:r>
              <w:rPr>
                <w:rFonts w:ascii="Aptos" w:hAnsi="Aptos"/>
                <w:color w:val="152A3B"/>
                <w:sz w:val="16"/>
              </w:rPr>
              <w:t>Refresh/compare jurisdictions quickly</w:t>
            </w:r>
          </w:p>
        </w:tc>
        <w:tc>
          <w:tcPr>
            <w:tcW w:type="dxa" w:w="5040"/>
            <w:shd w:fill="F8FAFB"/>
            <w:vAlign w:val="center"/>
          </w:tcPr>
          <w:p>
            <w:r>
              <w:rPr>
                <w:rFonts w:ascii="Aptos" w:hAnsi="Aptos"/>
                <w:color w:val="152A3B"/>
                <w:sz w:val="16"/>
              </w:rPr>
              <w:t>Jump to rule, compare treatment, test edge cases, cite source</w:t>
            </w:r>
          </w:p>
        </w:tc>
      </w:tr>
      <w:tr>
        <w:tc>
          <w:tcPr>
            <w:tcW w:type="dxa" w:w="1728"/>
            <w:vAlign w:val="center"/>
          </w:tcPr>
          <w:p>
            <w:r>
              <w:rPr>
                <w:rFonts w:ascii="Aptos" w:hAnsi="Aptos"/>
                <w:color w:val="152A3B"/>
                <w:sz w:val="16"/>
              </w:rPr>
              <w:t>SME reviewer</w:t>
            </w:r>
          </w:p>
        </w:tc>
        <w:tc>
          <w:tcPr>
            <w:tcW w:type="dxa" w:w="3312"/>
            <w:vAlign w:val="center"/>
          </w:tcPr>
          <w:p>
            <w:r>
              <w:rPr>
                <w:rFonts w:ascii="Aptos" w:hAnsi="Aptos"/>
                <w:color w:val="152A3B"/>
                <w:sz w:val="16"/>
              </w:rPr>
              <w:t>Validate accuracy before publication</w:t>
            </w:r>
          </w:p>
        </w:tc>
        <w:tc>
          <w:tcPr>
            <w:tcW w:type="dxa" w:w="5040"/>
            <w:vAlign w:val="center"/>
          </w:tcPr>
          <w:p>
            <w:r>
              <w:rPr>
                <w:rFonts w:ascii="Aptos" w:hAnsi="Aptos"/>
                <w:color w:val="152A3B"/>
                <w:sz w:val="16"/>
              </w:rPr>
              <w:t>Rule/citation/calculation review, comments, approve/reject</w:t>
            </w:r>
          </w:p>
        </w:tc>
      </w:tr>
      <w:tr>
        <w:tc>
          <w:tcPr>
            <w:tcW w:type="dxa" w:w="1728"/>
            <w:shd w:fill="F8FAFB"/>
            <w:vAlign w:val="center"/>
          </w:tcPr>
          <w:p>
            <w:r>
              <w:rPr>
                <w:rFonts w:ascii="Aptos" w:hAnsi="Aptos"/>
                <w:color w:val="152A3B"/>
                <w:sz w:val="16"/>
              </w:rPr>
              <w:t>Content editor</w:t>
            </w:r>
          </w:p>
        </w:tc>
        <w:tc>
          <w:tcPr>
            <w:tcW w:type="dxa" w:w="3312"/>
            <w:shd w:fill="F8FAFB"/>
            <w:vAlign w:val="center"/>
          </w:tcPr>
          <w:p>
            <w:r>
              <w:rPr>
                <w:rFonts w:ascii="Aptos" w:hAnsi="Aptos"/>
                <w:color w:val="152A3B"/>
                <w:sz w:val="16"/>
              </w:rPr>
              <w:t>Create consistent learning experiences</w:t>
            </w:r>
          </w:p>
        </w:tc>
        <w:tc>
          <w:tcPr>
            <w:tcW w:type="dxa" w:w="5040"/>
            <w:shd w:fill="F8FAFB"/>
            <w:vAlign w:val="center"/>
          </w:tcPr>
          <w:p>
            <w:r>
              <w:rPr>
                <w:rFonts w:ascii="Aptos" w:hAnsi="Aptos"/>
                <w:color w:val="152A3B"/>
                <w:sz w:val="16"/>
              </w:rPr>
              <w:t>Structured lesson template, localization, media/version workflow</w:t>
            </w:r>
          </w:p>
        </w:tc>
      </w:tr>
      <w:tr>
        <w:tc>
          <w:tcPr>
            <w:tcW w:type="dxa" w:w="1728"/>
            <w:vAlign w:val="center"/>
          </w:tcPr>
          <w:p>
            <w:r>
              <w:rPr>
                <w:rFonts w:ascii="Aptos" w:hAnsi="Aptos"/>
                <w:color w:val="152A3B"/>
                <w:sz w:val="16"/>
              </w:rPr>
              <w:t>Platform admin</w:t>
            </w:r>
          </w:p>
        </w:tc>
        <w:tc>
          <w:tcPr>
            <w:tcW w:type="dxa" w:w="3312"/>
            <w:vAlign w:val="center"/>
          </w:tcPr>
          <w:p>
            <w:r>
              <w:rPr>
                <w:rFonts w:ascii="Aptos" w:hAnsi="Aptos"/>
                <w:color w:val="152A3B"/>
                <w:sz w:val="16"/>
              </w:rPr>
              <w:t>Operate product safely</w:t>
            </w:r>
          </w:p>
        </w:tc>
        <w:tc>
          <w:tcPr>
            <w:tcW w:type="dxa" w:w="5040"/>
            <w:vAlign w:val="center"/>
          </w:tcPr>
          <w:p>
            <w:r>
              <w:rPr>
                <w:rFonts w:ascii="Aptos" w:hAnsi="Aptos"/>
                <w:color w:val="152A3B"/>
                <w:sz w:val="16"/>
              </w:rPr>
              <w:t>Roles, entitlements, provider flags, usage/cost, audit</w:t>
            </w:r>
          </w:p>
        </w:tc>
      </w:tr>
      <w:tr>
        <w:tc>
          <w:tcPr>
            <w:tcW w:type="dxa" w:w="1728"/>
            <w:shd w:fill="F8FAFB"/>
            <w:vAlign w:val="center"/>
          </w:tcPr>
          <w:p>
            <w:r>
              <w:rPr>
                <w:rFonts w:ascii="Aptos" w:hAnsi="Aptos"/>
                <w:color w:val="152A3B"/>
                <w:sz w:val="16"/>
              </w:rPr>
              <w:t>Enterprise L&amp;D (phase 2)</w:t>
            </w:r>
          </w:p>
        </w:tc>
        <w:tc>
          <w:tcPr>
            <w:tcW w:type="dxa" w:w="3312"/>
            <w:shd w:fill="F8FAFB"/>
            <w:vAlign w:val="center"/>
          </w:tcPr>
          <w:p>
            <w:r>
              <w:rPr>
                <w:rFonts w:ascii="Aptos" w:hAnsi="Aptos"/>
                <w:color w:val="152A3B"/>
                <w:sz w:val="16"/>
              </w:rPr>
              <w:t>Assign and track skill development</w:t>
            </w:r>
          </w:p>
        </w:tc>
        <w:tc>
          <w:tcPr>
            <w:tcW w:type="dxa" w:w="5040"/>
            <w:shd w:fill="F8FAFB"/>
            <w:vAlign w:val="center"/>
          </w:tcPr>
          <w:p>
            <w:r>
              <w:rPr>
                <w:rFonts w:ascii="Aptos" w:hAnsi="Aptos"/>
                <w:color w:val="152A3B"/>
                <w:sz w:val="16"/>
              </w:rPr>
              <w:t>Team assignments, proficiency dashboard, SSO later</w:t>
            </w:r>
          </w:p>
        </w:tc>
      </w:tr>
    </w:tbl>
    <w:p>
      <w:pPr>
        <w:spacing w:after="20"/>
      </w:pPr>
    </w:p>
    <w:p>
      <w:pPr>
        <w:pStyle w:val="Heading2"/>
      </w:pPr>
      <w:r>
        <w:t>3.1 Golden learner journey</w:t>
      </w:r>
    </w:p>
    <w:p>
      <w:pPr>
        <w:spacing w:after="60"/>
      </w:pPr>
      <w:r>
        <w:rPr>
          <w:rFonts w:ascii="Aptos" w:hAnsi="Aptos"/>
          <w:b/>
          <w:color w:val="081726"/>
          <w:sz w:val="19"/>
        </w:rPr>
        <w:t xml:space="preserve">1. </w:t>
      </w:r>
      <w:r>
        <w:rPr>
          <w:rFonts w:ascii="Aptos" w:hAnsi="Aptos"/>
          <w:color w:val="152A3B"/>
          <w:sz w:val="19"/>
        </w:rPr>
        <w:t>Learner signs in, selects Basel Pod and chooses English or Arabic.</w:t>
      </w:r>
    </w:p>
    <w:p>
      <w:pPr>
        <w:spacing w:after="60"/>
      </w:pPr>
      <w:r>
        <w:rPr>
          <w:rFonts w:ascii="Aptos" w:hAnsi="Aptos"/>
          <w:b/>
          <w:color w:val="081726"/>
          <w:sz w:val="19"/>
        </w:rPr>
        <w:t xml:space="preserve">2. </w:t>
      </w:r>
      <w:r>
        <w:rPr>
          <w:rFonts w:ascii="Aptos" w:hAnsi="Aptos"/>
          <w:color w:val="152A3B"/>
          <w:sz w:val="19"/>
        </w:rPr>
        <w:t>Learner starts Golden Lesson; the player loads the immutable lesson version and semantic timeline.</w:t>
      </w:r>
    </w:p>
    <w:p>
      <w:pPr>
        <w:spacing w:after="60"/>
      </w:pPr>
      <w:r>
        <w:rPr>
          <w:rFonts w:ascii="Aptos" w:hAnsi="Aptos"/>
          <w:b/>
          <w:color w:val="081726"/>
          <w:sz w:val="19"/>
        </w:rPr>
        <w:t xml:space="preserve">3. </w:t>
      </w:r>
      <w:r>
        <w:rPr>
          <w:rFonts w:ascii="Aptos" w:hAnsi="Aptos"/>
          <w:color w:val="152A3B"/>
          <w:sz w:val="19"/>
        </w:rPr>
        <w:t>At a concept boundary the lesson can automatically pause for an Active Mode checkpoint.</w:t>
      </w:r>
    </w:p>
    <w:p>
      <w:pPr>
        <w:spacing w:after="60"/>
      </w:pPr>
      <w:r>
        <w:rPr>
          <w:rFonts w:ascii="Aptos" w:hAnsi="Aptos"/>
          <w:b/>
          <w:color w:val="081726"/>
          <w:sz w:val="19"/>
        </w:rPr>
        <w:t xml:space="preserve">4. </w:t>
      </w:r>
      <w:r>
        <w:rPr>
          <w:rFonts w:ascii="Aptos" w:hAnsi="Aptos"/>
          <w:color w:val="152A3B"/>
          <w:sz w:val="19"/>
        </w:rPr>
        <w:t>At any moment the learner can manually pause and ask a text or voice question. Tutor receives exact segment/jurisdiction/example state.</w:t>
      </w:r>
    </w:p>
    <w:p>
      <w:pPr>
        <w:spacing w:after="60"/>
      </w:pPr>
      <w:r>
        <w:rPr>
          <w:rFonts w:ascii="Aptos" w:hAnsi="Aptos"/>
          <w:b/>
          <w:color w:val="081726"/>
          <w:sz w:val="19"/>
        </w:rPr>
        <w:t xml:space="preserve">5. </w:t>
      </w:r>
      <w:r>
        <w:rPr>
          <w:rFonts w:ascii="Aptos" w:hAnsi="Aptos"/>
          <w:color w:val="152A3B"/>
          <w:sz w:val="19"/>
        </w:rPr>
        <w:t>When a question requires a calculation or comparison, the tutor calls an approved deterministic tool and explains the returned result.</w:t>
      </w:r>
    </w:p>
    <w:p>
      <w:pPr>
        <w:spacing w:after="60"/>
      </w:pPr>
      <w:r>
        <w:rPr>
          <w:rFonts w:ascii="Aptos" w:hAnsi="Aptos"/>
          <w:b/>
          <w:color w:val="081726"/>
          <w:sz w:val="19"/>
        </w:rPr>
        <w:t xml:space="preserve">6. </w:t>
      </w:r>
      <w:r>
        <w:rPr>
          <w:rFonts w:ascii="Aptos" w:hAnsi="Aptos"/>
          <w:color w:val="152A3B"/>
          <w:sz w:val="19"/>
        </w:rPr>
        <w:t>Learner opens the calculator, changes rating/revenue/jurisdiction and sees the recalculated result with rule references.</w:t>
      </w:r>
    </w:p>
    <w:p>
      <w:pPr>
        <w:spacing w:after="60"/>
      </w:pPr>
      <w:r>
        <w:rPr>
          <w:rFonts w:ascii="Aptos" w:hAnsi="Aptos"/>
          <w:b/>
          <w:color w:val="081726"/>
          <w:sz w:val="19"/>
        </w:rPr>
        <w:t xml:space="preserve">7. </w:t>
      </w:r>
      <w:r>
        <w:rPr>
          <w:rFonts w:ascii="Aptos" w:hAnsi="Aptos"/>
          <w:color w:val="152A3B"/>
          <w:sz w:val="19"/>
        </w:rPr>
        <w:t>Learner completes generated-but-constrained practice cases and a scored voice viva.</w:t>
      </w:r>
    </w:p>
    <w:p>
      <w:pPr>
        <w:spacing w:after="60"/>
      </w:pPr>
      <w:r>
        <w:rPr>
          <w:rFonts w:ascii="Aptos" w:hAnsi="Aptos"/>
          <w:b/>
          <w:color w:val="081726"/>
          <w:sz w:val="19"/>
        </w:rPr>
        <w:t xml:space="preserve">8. </w:t>
      </w:r>
      <w:r>
        <w:rPr>
          <w:rFonts w:ascii="Aptos" w:hAnsi="Aptos"/>
          <w:color w:val="152A3B"/>
          <w:sz w:val="19"/>
        </w:rPr>
        <w:t>Mastery is updated from multiple evidence events; remediation recommendations are generated.</w:t>
      </w:r>
    </w:p>
    <w:p>
      <w:pPr>
        <w:spacing w:after="60"/>
      </w:pPr>
      <w:r>
        <w:rPr>
          <w:rFonts w:ascii="Aptos" w:hAnsi="Aptos"/>
          <w:b/>
          <w:color w:val="081726"/>
          <w:sz w:val="19"/>
        </w:rPr>
        <w:t xml:space="preserve">9. </w:t>
      </w:r>
      <w:r>
        <w:rPr>
          <w:rFonts w:ascii="Aptos" w:hAnsi="Aptos"/>
          <w:color w:val="152A3B"/>
          <w:sz w:val="19"/>
        </w:rPr>
        <w:t>On return, the learner resumes from exact content/version state and sees retained mastery/misconceptions.</w:t>
      </w:r>
    </w:p>
    <w:p>
      <w:pPr>
        <w:pStyle w:val="Heading1"/>
      </w:pPr>
      <w:r>
        <w:t>4. Information Architecture and UI States</w:t>
      </w:r>
    </w:p>
    <w:p>
      <w:pPr>
        <w:pStyle w:val="Heading2"/>
      </w:pPr>
      <w:r>
        <w:t>4.1 Primary navigation</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Area</w:t>
            </w:r>
          </w:p>
        </w:tc>
        <w:tc>
          <w:tcPr>
            <w:tcW w:type="dxa" w:w="604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Purpose</w:t>
            </w:r>
          </w:p>
        </w:tc>
        <w:tc>
          <w:tcPr>
            <w:tcW w:type="dxa" w:w="158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V1</w:t>
            </w:r>
          </w:p>
        </w:tc>
      </w:tr>
      <w:tr>
        <w:tc>
          <w:tcPr>
            <w:tcW w:type="dxa" w:w="2016"/>
            <w:vAlign w:val="center"/>
          </w:tcPr>
          <w:p>
            <w:r>
              <w:rPr>
                <w:rFonts w:ascii="Aptos" w:hAnsi="Aptos"/>
                <w:color w:val="152A3B"/>
                <w:sz w:val="16"/>
              </w:rPr>
              <w:t>Home / My Learning</w:t>
            </w:r>
          </w:p>
        </w:tc>
        <w:tc>
          <w:tcPr>
            <w:tcW w:type="dxa" w:w="6048"/>
            <w:vAlign w:val="center"/>
          </w:tcPr>
          <w:p>
            <w:r>
              <w:rPr>
                <w:rFonts w:ascii="Aptos" w:hAnsi="Aptos"/>
                <w:color w:val="152A3B"/>
                <w:sz w:val="16"/>
              </w:rPr>
              <w:t>Resume, mastery, recommended review</w:t>
            </w:r>
          </w:p>
        </w:tc>
        <w:tc>
          <w:tcPr>
            <w:tcW w:type="dxa" w:w="1584"/>
            <w:vAlign w:val="center"/>
          </w:tcPr>
          <w:p>
            <w:r>
              <w:rPr>
                <w:rFonts w:ascii="Aptos" w:hAnsi="Aptos"/>
                <w:color w:val="152A3B"/>
                <w:sz w:val="16"/>
              </w:rPr>
              <w:t>Yes</w:t>
            </w:r>
          </w:p>
        </w:tc>
      </w:tr>
      <w:tr>
        <w:tc>
          <w:tcPr>
            <w:tcW w:type="dxa" w:w="2016"/>
            <w:shd w:fill="F8FAFB"/>
            <w:vAlign w:val="center"/>
          </w:tcPr>
          <w:p>
            <w:r>
              <w:rPr>
                <w:rFonts w:ascii="Aptos" w:hAnsi="Aptos"/>
                <w:color w:val="152A3B"/>
                <w:sz w:val="16"/>
              </w:rPr>
              <w:t>Pods</w:t>
            </w:r>
          </w:p>
        </w:tc>
        <w:tc>
          <w:tcPr>
            <w:tcW w:type="dxa" w:w="6048"/>
            <w:shd w:fill="F8FAFB"/>
            <w:vAlign w:val="center"/>
          </w:tcPr>
          <w:p>
            <w:r>
              <w:rPr>
                <w:rFonts w:ascii="Aptos" w:hAnsi="Aptos"/>
                <w:color w:val="152A3B"/>
                <w:sz w:val="16"/>
              </w:rPr>
              <w:t>Browse Basel and future Pods</w:t>
            </w:r>
          </w:p>
        </w:tc>
        <w:tc>
          <w:tcPr>
            <w:tcW w:type="dxa" w:w="1584"/>
            <w:shd w:fill="F8FAFB"/>
            <w:vAlign w:val="center"/>
          </w:tcPr>
          <w:p>
            <w:r>
              <w:rPr>
                <w:rFonts w:ascii="Aptos" w:hAnsi="Aptos"/>
                <w:color w:val="152A3B"/>
                <w:sz w:val="16"/>
              </w:rPr>
              <w:t>Yes</w:t>
            </w:r>
          </w:p>
        </w:tc>
      </w:tr>
      <w:tr>
        <w:tc>
          <w:tcPr>
            <w:tcW w:type="dxa" w:w="2016"/>
            <w:vAlign w:val="center"/>
          </w:tcPr>
          <w:p>
            <w:r>
              <w:rPr>
                <w:rFonts w:ascii="Aptos" w:hAnsi="Aptos"/>
                <w:color w:val="152A3B"/>
                <w:sz w:val="16"/>
              </w:rPr>
              <w:t>Lesson</w:t>
            </w:r>
          </w:p>
        </w:tc>
        <w:tc>
          <w:tcPr>
            <w:tcW w:type="dxa" w:w="6048"/>
            <w:vAlign w:val="center"/>
          </w:tcPr>
          <w:p>
            <w:r>
              <w:rPr>
                <w:rFonts w:ascii="Aptos" w:hAnsi="Aptos"/>
                <w:color w:val="152A3B"/>
                <w:sz w:val="16"/>
              </w:rPr>
              <w:t>Video + timeline + tutor + tools</w:t>
            </w:r>
          </w:p>
        </w:tc>
        <w:tc>
          <w:tcPr>
            <w:tcW w:type="dxa" w:w="1584"/>
            <w:vAlign w:val="center"/>
          </w:tcPr>
          <w:p>
            <w:r>
              <w:rPr>
                <w:rFonts w:ascii="Aptos" w:hAnsi="Aptos"/>
                <w:color w:val="152A3B"/>
                <w:sz w:val="16"/>
              </w:rPr>
              <w:t>Yes</w:t>
            </w:r>
          </w:p>
        </w:tc>
      </w:tr>
      <w:tr>
        <w:tc>
          <w:tcPr>
            <w:tcW w:type="dxa" w:w="2016"/>
            <w:shd w:fill="F8FAFB"/>
            <w:vAlign w:val="center"/>
          </w:tcPr>
          <w:p>
            <w:r>
              <w:rPr>
                <w:rFonts w:ascii="Aptos" w:hAnsi="Aptos"/>
                <w:color w:val="152A3B"/>
                <w:sz w:val="16"/>
              </w:rPr>
              <w:t>Practice</w:t>
            </w:r>
          </w:p>
        </w:tc>
        <w:tc>
          <w:tcPr>
            <w:tcW w:type="dxa" w:w="6048"/>
            <w:shd w:fill="F8FAFB"/>
            <w:vAlign w:val="center"/>
          </w:tcPr>
          <w:p>
            <w:r>
              <w:rPr>
                <w:rFonts w:ascii="Aptos" w:hAnsi="Aptos"/>
                <w:color w:val="152A3B"/>
                <w:sz w:val="16"/>
              </w:rPr>
              <w:t>Cases, quizzes, viva</w:t>
            </w:r>
          </w:p>
        </w:tc>
        <w:tc>
          <w:tcPr>
            <w:tcW w:type="dxa" w:w="1584"/>
            <w:shd w:fill="F8FAFB"/>
            <w:vAlign w:val="center"/>
          </w:tcPr>
          <w:p>
            <w:r>
              <w:rPr>
                <w:rFonts w:ascii="Aptos" w:hAnsi="Aptos"/>
                <w:color w:val="152A3B"/>
                <w:sz w:val="16"/>
              </w:rPr>
              <w:t>Yes</w:t>
            </w:r>
          </w:p>
        </w:tc>
      </w:tr>
      <w:tr>
        <w:tc>
          <w:tcPr>
            <w:tcW w:type="dxa" w:w="2016"/>
            <w:vAlign w:val="center"/>
          </w:tcPr>
          <w:p>
            <w:r>
              <w:rPr>
                <w:rFonts w:ascii="Aptos" w:hAnsi="Aptos"/>
                <w:color w:val="152A3B"/>
                <w:sz w:val="16"/>
              </w:rPr>
              <w:t>Mastery</w:t>
            </w:r>
          </w:p>
        </w:tc>
        <w:tc>
          <w:tcPr>
            <w:tcW w:type="dxa" w:w="6048"/>
            <w:vAlign w:val="center"/>
          </w:tcPr>
          <w:p>
            <w:r>
              <w:rPr>
                <w:rFonts w:ascii="Aptos" w:hAnsi="Aptos"/>
                <w:color w:val="152A3B"/>
                <w:sz w:val="16"/>
              </w:rPr>
              <w:t>Concept graph/proficiency</w:t>
            </w:r>
          </w:p>
        </w:tc>
        <w:tc>
          <w:tcPr>
            <w:tcW w:type="dxa" w:w="1584"/>
            <w:vAlign w:val="center"/>
          </w:tcPr>
          <w:p>
            <w:r>
              <w:rPr>
                <w:rFonts w:ascii="Aptos" w:hAnsi="Aptos"/>
                <w:color w:val="152A3B"/>
                <w:sz w:val="16"/>
              </w:rPr>
              <w:t>Yes</w:t>
            </w:r>
          </w:p>
        </w:tc>
      </w:tr>
      <w:tr>
        <w:tc>
          <w:tcPr>
            <w:tcW w:type="dxa" w:w="2016"/>
            <w:shd w:fill="F8FAFB"/>
            <w:vAlign w:val="center"/>
          </w:tcPr>
          <w:p>
            <w:r>
              <w:rPr>
                <w:rFonts w:ascii="Aptos" w:hAnsi="Aptos"/>
                <w:color w:val="152A3B"/>
                <w:sz w:val="16"/>
              </w:rPr>
              <w:t>Sources</w:t>
            </w:r>
          </w:p>
        </w:tc>
        <w:tc>
          <w:tcPr>
            <w:tcW w:type="dxa" w:w="6048"/>
            <w:shd w:fill="F8FAFB"/>
            <w:vAlign w:val="center"/>
          </w:tcPr>
          <w:p>
            <w:r>
              <w:rPr>
                <w:rFonts w:ascii="Aptos" w:hAnsi="Aptos"/>
                <w:color w:val="152A3B"/>
                <w:sz w:val="16"/>
              </w:rPr>
              <w:t>Approved rule references</w:t>
            </w:r>
          </w:p>
        </w:tc>
        <w:tc>
          <w:tcPr>
            <w:tcW w:type="dxa" w:w="1584"/>
            <w:shd w:fill="F8FAFB"/>
            <w:vAlign w:val="center"/>
          </w:tcPr>
          <w:p>
            <w:r>
              <w:rPr>
                <w:rFonts w:ascii="Aptos" w:hAnsi="Aptos"/>
                <w:color w:val="152A3B"/>
                <w:sz w:val="16"/>
              </w:rPr>
              <w:t>Embedded + optional library</w:t>
            </w:r>
          </w:p>
        </w:tc>
      </w:tr>
      <w:tr>
        <w:tc>
          <w:tcPr>
            <w:tcW w:type="dxa" w:w="2016"/>
            <w:vAlign w:val="center"/>
          </w:tcPr>
          <w:p>
            <w:r>
              <w:rPr>
                <w:rFonts w:ascii="Aptos" w:hAnsi="Aptos"/>
                <w:color w:val="152A3B"/>
                <w:sz w:val="16"/>
              </w:rPr>
              <w:t>Admin Studio</w:t>
            </w:r>
          </w:p>
        </w:tc>
        <w:tc>
          <w:tcPr>
            <w:tcW w:type="dxa" w:w="6048"/>
            <w:vAlign w:val="center"/>
          </w:tcPr>
          <w:p>
            <w:r>
              <w:rPr>
                <w:rFonts w:ascii="Aptos" w:hAnsi="Aptos"/>
                <w:color w:val="152A3B"/>
                <w:sz w:val="16"/>
              </w:rPr>
              <w:t>Rules, lessons, review, localization, publication</w:t>
            </w:r>
          </w:p>
        </w:tc>
        <w:tc>
          <w:tcPr>
            <w:tcW w:type="dxa" w:w="1584"/>
            <w:vAlign w:val="center"/>
          </w:tcPr>
          <w:p>
            <w:r>
              <w:rPr>
                <w:rFonts w:ascii="Aptos" w:hAnsi="Aptos"/>
                <w:color w:val="152A3B"/>
                <w:sz w:val="16"/>
              </w:rPr>
              <w:t>Internal V1</w:t>
            </w:r>
          </w:p>
        </w:tc>
      </w:tr>
      <w:tr>
        <w:tc>
          <w:tcPr>
            <w:tcW w:type="dxa" w:w="2016"/>
            <w:shd w:fill="F8FAFB"/>
            <w:vAlign w:val="center"/>
          </w:tcPr>
          <w:p>
            <w:r>
              <w:rPr>
                <w:rFonts w:ascii="Aptos" w:hAnsi="Aptos"/>
                <w:color w:val="152A3B"/>
                <w:sz w:val="16"/>
              </w:rPr>
              <w:t>Enterprise</w:t>
            </w:r>
          </w:p>
        </w:tc>
        <w:tc>
          <w:tcPr>
            <w:tcW w:type="dxa" w:w="6048"/>
            <w:shd w:fill="F8FAFB"/>
            <w:vAlign w:val="center"/>
          </w:tcPr>
          <w:p>
            <w:r>
              <w:rPr>
                <w:rFonts w:ascii="Aptos" w:hAnsi="Aptos"/>
                <w:color w:val="152A3B"/>
                <w:sz w:val="16"/>
              </w:rPr>
              <w:t>Team/admin analytics</w:t>
            </w:r>
          </w:p>
        </w:tc>
        <w:tc>
          <w:tcPr>
            <w:tcW w:type="dxa" w:w="1584"/>
            <w:shd w:fill="F8FAFB"/>
            <w:vAlign w:val="center"/>
          </w:tcPr>
          <w:p>
            <w:r>
              <w:rPr>
                <w:rFonts w:ascii="Aptos" w:hAnsi="Aptos"/>
                <w:color w:val="152A3B"/>
                <w:sz w:val="16"/>
              </w:rPr>
              <w:t>Phase 2</w:t>
            </w:r>
          </w:p>
        </w:tc>
      </w:tr>
    </w:tbl>
    <w:p>
      <w:pPr>
        <w:spacing w:after="20"/>
      </w:pPr>
    </w:p>
    <w:p>
      <w:pPr>
        <w:pStyle w:val="Heading2"/>
      </w:pPr>
      <w:r>
        <w:t>4.2 Lesson player desktop layout</w:t>
      </w:r>
    </w:p>
    <w:p>
      <w:pPr>
        <w:spacing w:after="100"/>
      </w:pPr>
      <w:r>
        <w:rPr>
          <w:rFonts w:ascii="Aptos" w:hAnsi="Aptos"/>
          <w:b w:val="0"/>
          <w:color w:val="152A3B"/>
        </w:rPr>
        <w:t>Recommended desktop layout uses a dominant learning canvas on the left and an always-available Tutor panel on the right. The bottom tool rail exposes Rule, Calculate, Compare and Practice. Mobile collapses the tutor to a bottom sheet and preserves the video/timeline as the primary surface.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State</w:t>
            </w:r>
          </w:p>
        </w:tc>
        <w:tc>
          <w:tcPr>
            <w:tcW w:type="dxa" w:w="360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Left learning canvas</w:t>
            </w:r>
          </w:p>
        </w:tc>
        <w:tc>
          <w:tcPr>
            <w:tcW w:type="dxa" w:w="316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Right tutor panel</w:t>
            </w:r>
          </w:p>
        </w:tc>
        <w:tc>
          <w:tcPr>
            <w:tcW w:type="dxa" w:w="216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Bottom/secondary actions</w:t>
            </w:r>
          </w:p>
        </w:tc>
      </w:tr>
      <w:tr>
        <w:tc>
          <w:tcPr>
            <w:tcW w:type="dxa" w:w="1728"/>
            <w:vAlign w:val="center"/>
          </w:tcPr>
          <w:p>
            <w:r>
              <w:rPr>
                <w:rFonts w:ascii="Aptos" w:hAnsi="Aptos"/>
                <w:color w:val="152A3B"/>
                <w:sz w:val="15"/>
              </w:rPr>
              <w:t>Playing</w:t>
            </w:r>
          </w:p>
        </w:tc>
        <w:tc>
          <w:tcPr>
            <w:tcW w:type="dxa" w:w="3600"/>
            <w:vAlign w:val="center"/>
          </w:tcPr>
          <w:p>
            <w:r>
              <w:rPr>
                <w:rFonts w:ascii="Aptos" w:hAnsi="Aptos"/>
                <w:color w:val="152A3B"/>
                <w:sz w:val="15"/>
              </w:rPr>
              <w:t>Video / diagrams / chapter progress</w:t>
            </w:r>
          </w:p>
        </w:tc>
        <w:tc>
          <w:tcPr>
            <w:tcW w:type="dxa" w:w="3168"/>
            <w:vAlign w:val="center"/>
          </w:tcPr>
          <w:p>
            <w:r>
              <w:rPr>
                <w:rFonts w:ascii="Aptos" w:hAnsi="Aptos"/>
                <w:color w:val="152A3B"/>
                <w:sz w:val="15"/>
              </w:rPr>
              <w:t>Context summary + Ask button</w:t>
            </w:r>
          </w:p>
        </w:tc>
        <w:tc>
          <w:tcPr>
            <w:tcW w:type="dxa" w:w="2160"/>
            <w:vAlign w:val="center"/>
          </w:tcPr>
          <w:p>
            <w:r>
              <w:rPr>
                <w:rFonts w:ascii="Aptos" w:hAnsi="Aptos"/>
                <w:color w:val="152A3B"/>
                <w:sz w:val="15"/>
              </w:rPr>
              <w:t>Rule, Calculate, Compare, Practice</w:t>
            </w:r>
          </w:p>
        </w:tc>
      </w:tr>
      <w:tr>
        <w:tc>
          <w:tcPr>
            <w:tcW w:type="dxa" w:w="1728"/>
            <w:shd w:fill="F8FAFB"/>
            <w:vAlign w:val="center"/>
          </w:tcPr>
          <w:p>
            <w:r>
              <w:rPr>
                <w:rFonts w:ascii="Aptos" w:hAnsi="Aptos"/>
                <w:color w:val="152A3B"/>
                <w:sz w:val="15"/>
              </w:rPr>
              <w:t>Paused by learner</w:t>
            </w:r>
          </w:p>
        </w:tc>
        <w:tc>
          <w:tcPr>
            <w:tcW w:type="dxa" w:w="3600"/>
            <w:shd w:fill="F8FAFB"/>
            <w:vAlign w:val="center"/>
          </w:tcPr>
          <w:p>
            <w:r>
              <w:rPr>
                <w:rFonts w:ascii="Aptos" w:hAnsi="Aptos"/>
                <w:color w:val="152A3B"/>
                <w:sz w:val="15"/>
              </w:rPr>
              <w:t>Frozen exact timestamp</w:t>
            </w:r>
          </w:p>
        </w:tc>
        <w:tc>
          <w:tcPr>
            <w:tcW w:type="dxa" w:w="3168"/>
            <w:shd w:fill="F8FAFB"/>
            <w:vAlign w:val="center"/>
          </w:tcPr>
          <w:p>
            <w:r>
              <w:rPr>
                <w:rFonts w:ascii="Aptos" w:hAnsi="Aptos"/>
                <w:color w:val="152A3B"/>
                <w:sz w:val="15"/>
              </w:rPr>
              <w:t>Chat/voice input active</w:t>
            </w:r>
          </w:p>
        </w:tc>
        <w:tc>
          <w:tcPr>
            <w:tcW w:type="dxa" w:w="2160"/>
            <w:shd w:fill="F8FAFB"/>
            <w:vAlign w:val="center"/>
          </w:tcPr>
          <w:p>
            <w:r>
              <w:rPr>
                <w:rFonts w:ascii="Aptos" w:hAnsi="Aptos"/>
                <w:color w:val="152A3B"/>
                <w:sz w:val="15"/>
              </w:rPr>
              <w:t>Resume</w:t>
            </w:r>
          </w:p>
        </w:tc>
      </w:tr>
      <w:tr>
        <w:tc>
          <w:tcPr>
            <w:tcW w:type="dxa" w:w="1728"/>
            <w:vAlign w:val="center"/>
          </w:tcPr>
          <w:p>
            <w:r>
              <w:rPr>
                <w:rFonts w:ascii="Aptos" w:hAnsi="Aptos"/>
                <w:color w:val="152A3B"/>
                <w:sz w:val="15"/>
              </w:rPr>
              <w:t>Tutor answer</w:t>
            </w:r>
          </w:p>
        </w:tc>
        <w:tc>
          <w:tcPr>
            <w:tcW w:type="dxa" w:w="3600"/>
            <w:vAlign w:val="center"/>
          </w:tcPr>
          <w:p>
            <w:r>
              <w:rPr>
                <w:rFonts w:ascii="Aptos" w:hAnsi="Aptos"/>
                <w:color w:val="152A3B"/>
                <w:sz w:val="15"/>
              </w:rPr>
              <w:t>Video stays paused; may swap to whiteboard/calculation</w:t>
            </w:r>
          </w:p>
        </w:tc>
        <w:tc>
          <w:tcPr>
            <w:tcW w:type="dxa" w:w="3168"/>
            <w:vAlign w:val="center"/>
          </w:tcPr>
          <w:p>
            <w:r>
              <w:rPr>
                <w:rFonts w:ascii="Aptos" w:hAnsi="Aptos"/>
                <w:color w:val="152A3B"/>
                <w:sz w:val="15"/>
              </w:rPr>
              <w:t>Streaming grounded answer + citations</w:t>
            </w:r>
          </w:p>
        </w:tc>
        <w:tc>
          <w:tcPr>
            <w:tcW w:type="dxa" w:w="2160"/>
            <w:vAlign w:val="center"/>
          </w:tcPr>
          <w:p>
            <w:r>
              <w:rPr>
                <w:rFonts w:ascii="Aptos" w:hAnsi="Aptos"/>
                <w:color w:val="152A3B"/>
                <w:sz w:val="15"/>
              </w:rPr>
              <w:t>Show source / run example / resume</w:t>
            </w:r>
          </w:p>
        </w:tc>
      </w:tr>
      <w:tr>
        <w:tc>
          <w:tcPr>
            <w:tcW w:type="dxa" w:w="1728"/>
            <w:shd w:fill="F8FAFB"/>
            <w:vAlign w:val="center"/>
          </w:tcPr>
          <w:p>
            <w:r>
              <w:rPr>
                <w:rFonts w:ascii="Aptos" w:hAnsi="Aptos"/>
                <w:color w:val="152A3B"/>
                <w:sz w:val="15"/>
              </w:rPr>
              <w:t>Active checkpoint</w:t>
            </w:r>
          </w:p>
        </w:tc>
        <w:tc>
          <w:tcPr>
            <w:tcW w:type="dxa" w:w="3600"/>
            <w:shd w:fill="F8FAFB"/>
            <w:vAlign w:val="center"/>
          </w:tcPr>
          <w:p>
            <w:r>
              <w:rPr>
                <w:rFonts w:ascii="Aptos" w:hAnsi="Aptos"/>
                <w:color w:val="152A3B"/>
                <w:sz w:val="15"/>
              </w:rPr>
              <w:t>Question card replaces/overlays video</w:t>
            </w:r>
          </w:p>
        </w:tc>
        <w:tc>
          <w:tcPr>
            <w:tcW w:type="dxa" w:w="3168"/>
            <w:shd w:fill="F8FAFB"/>
            <w:vAlign w:val="center"/>
          </w:tcPr>
          <w:p>
            <w:r>
              <w:rPr>
                <w:rFonts w:ascii="Aptos" w:hAnsi="Aptos"/>
                <w:color w:val="152A3B"/>
                <w:sz w:val="15"/>
              </w:rPr>
              <w:t>Coach waits for answer</w:t>
            </w:r>
          </w:p>
        </w:tc>
        <w:tc>
          <w:tcPr>
            <w:tcW w:type="dxa" w:w="2160"/>
            <w:shd w:fill="F8FAFB"/>
            <w:vAlign w:val="center"/>
          </w:tcPr>
          <w:p>
            <w:r>
              <w:rPr>
                <w:rFonts w:ascii="Aptos" w:hAnsi="Aptos"/>
                <w:color w:val="152A3B"/>
                <w:sz w:val="15"/>
              </w:rPr>
              <w:t>Hint according to mode</w:t>
            </w:r>
          </w:p>
        </w:tc>
      </w:tr>
      <w:tr>
        <w:tc>
          <w:tcPr>
            <w:tcW w:type="dxa" w:w="1728"/>
            <w:vAlign w:val="center"/>
          </w:tcPr>
          <w:p>
            <w:r>
              <w:rPr>
                <w:rFonts w:ascii="Aptos" w:hAnsi="Aptos"/>
                <w:color w:val="152A3B"/>
                <w:sz w:val="15"/>
              </w:rPr>
              <w:t>Compare</w:t>
            </w:r>
          </w:p>
        </w:tc>
        <w:tc>
          <w:tcPr>
            <w:tcW w:type="dxa" w:w="3600"/>
            <w:vAlign w:val="center"/>
          </w:tcPr>
          <w:p>
            <w:r>
              <w:rPr>
                <w:rFonts w:ascii="Aptos" w:hAnsi="Aptos"/>
                <w:color w:val="152A3B"/>
                <w:sz w:val="15"/>
              </w:rPr>
              <w:t>Jurisdiction comparison grid + highlighted differences</w:t>
            </w:r>
          </w:p>
        </w:tc>
        <w:tc>
          <w:tcPr>
            <w:tcW w:type="dxa" w:w="3168"/>
            <w:vAlign w:val="center"/>
          </w:tcPr>
          <w:p>
            <w:r>
              <w:rPr>
                <w:rFonts w:ascii="Aptos" w:hAnsi="Aptos"/>
                <w:color w:val="152A3B"/>
                <w:sz w:val="15"/>
              </w:rPr>
              <w:t>Comparator explanation</w:t>
            </w:r>
          </w:p>
        </w:tc>
        <w:tc>
          <w:tcPr>
            <w:tcW w:type="dxa" w:w="2160"/>
            <w:vAlign w:val="center"/>
          </w:tcPr>
          <w:p>
            <w:r>
              <w:rPr>
                <w:rFonts w:ascii="Aptos" w:hAnsi="Aptos"/>
                <w:color w:val="152A3B"/>
                <w:sz w:val="15"/>
              </w:rPr>
              <w:t>Switch rule/status</w:t>
            </w:r>
          </w:p>
        </w:tc>
      </w:tr>
      <w:tr>
        <w:tc>
          <w:tcPr>
            <w:tcW w:type="dxa" w:w="1728"/>
            <w:shd w:fill="F8FAFB"/>
            <w:vAlign w:val="center"/>
          </w:tcPr>
          <w:p>
            <w:r>
              <w:rPr>
                <w:rFonts w:ascii="Aptos" w:hAnsi="Aptos"/>
                <w:color w:val="152A3B"/>
                <w:sz w:val="15"/>
              </w:rPr>
              <w:t>Viva</w:t>
            </w:r>
          </w:p>
        </w:tc>
        <w:tc>
          <w:tcPr>
            <w:tcW w:type="dxa" w:w="3600"/>
            <w:shd w:fill="F8FAFB"/>
            <w:vAlign w:val="center"/>
          </w:tcPr>
          <w:p>
            <w:r>
              <w:rPr>
                <w:rFonts w:ascii="Aptos" w:hAnsi="Aptos"/>
                <w:color w:val="152A3B"/>
                <w:sz w:val="15"/>
              </w:rPr>
              <w:t>Minimal prompt surface</w:t>
            </w:r>
          </w:p>
        </w:tc>
        <w:tc>
          <w:tcPr>
            <w:tcW w:type="dxa" w:w="3168"/>
            <w:shd w:fill="F8FAFB"/>
            <w:vAlign w:val="center"/>
          </w:tcPr>
          <w:p>
            <w:r>
              <w:rPr>
                <w:rFonts w:ascii="Aptos" w:hAnsi="Aptos"/>
                <w:color w:val="152A3B"/>
                <w:sz w:val="15"/>
              </w:rPr>
              <w:t>Examiner voice/transcript</w:t>
            </w:r>
          </w:p>
        </w:tc>
        <w:tc>
          <w:tcPr>
            <w:tcW w:type="dxa" w:w="2160"/>
            <w:shd w:fill="F8FAFB"/>
            <w:vAlign w:val="center"/>
          </w:tcPr>
          <w:p>
            <w:r>
              <w:rPr>
                <w:rFonts w:ascii="Aptos" w:hAnsi="Aptos"/>
                <w:color w:val="152A3B"/>
                <w:sz w:val="15"/>
              </w:rPr>
              <w:t>No coaching until scoring completes</w:t>
            </w:r>
          </w:p>
        </w:tc>
      </w:tr>
    </w:tbl>
    <w:p>
      <w:pPr>
        <w:spacing w:after="20"/>
      </w:pPr>
    </w:p>
    <w:p>
      <w:pPr>
        <w:pStyle w:val="Heading1"/>
      </w:pPr>
      <w:r>
        <w:t>5. Golden Lesson 001 Functional Specification</w:t>
      </w:r>
    </w:p>
    <w:p>
      <w:pPr>
        <w:pStyle w:val="Heading2"/>
      </w:pPr>
      <w:r>
        <w:t>5.1 Learning objective</w:t>
      </w:r>
    </w:p>
    <w:p>
      <w:pPr>
        <w:spacing w:after="100"/>
      </w:pPr>
      <w:r>
        <w:rPr>
          <w:rFonts w:ascii="Aptos" w:hAnsi="Aptos"/>
          <w:b w:val="0"/>
          <w:color w:val="152A3B"/>
        </w:rPr>
        <w:t>By the end of the lesson, a learner should be able to identify a corporate exposure, describe the data required for standardized regulatory-capital treatment, determine or explain the appropriate risk-weighting path for supported examples, calculate RWA using the approved tool, distinguish BCBS baseline from jurisdiction implementation, and defend reasoning verbally.</w:t>
      </w:r>
    </w:p>
    <w:p>
      <w:pPr>
        <w:pStyle w:val="Heading2"/>
      </w:pPr>
      <w:r>
        <w:t>5.2 Chapter structure</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Chapter</w:t>
            </w:r>
          </w:p>
        </w:tc>
        <w:tc>
          <w:tcPr>
            <w:tcW w:type="dxa" w:w="460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Approx. purpose</w:t>
            </w:r>
          </w:p>
        </w:tc>
        <w:tc>
          <w:tcPr>
            <w:tcW w:type="dxa" w:w="388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Interactive element</w:t>
            </w:r>
          </w:p>
        </w:tc>
      </w:tr>
      <w:tr>
        <w:tc>
          <w:tcPr>
            <w:tcW w:type="dxa" w:w="1440"/>
            <w:vAlign w:val="center"/>
          </w:tcPr>
          <w:p>
            <w:r>
              <w:rPr>
                <w:rFonts w:ascii="Aptos" w:hAnsi="Aptos"/>
                <w:color w:val="152A3B"/>
                <w:sz w:val="16"/>
              </w:rPr>
              <w:t>1. Why bank capital exists</w:t>
            </w:r>
          </w:p>
        </w:tc>
        <w:tc>
          <w:tcPr>
            <w:tcW w:type="dxa" w:w="4608"/>
            <w:vAlign w:val="center"/>
          </w:tcPr>
          <w:p>
            <w:r>
              <w:rPr>
                <w:rFonts w:ascii="Aptos" w:hAnsi="Aptos"/>
                <w:color w:val="152A3B"/>
                <w:sz w:val="16"/>
              </w:rPr>
              <w:t>Connect credit risk to loss-absorbing capital</w:t>
            </w:r>
          </w:p>
        </w:tc>
        <w:tc>
          <w:tcPr>
            <w:tcW w:type="dxa" w:w="3888"/>
            <w:vAlign w:val="center"/>
          </w:tcPr>
          <w:p>
            <w:r>
              <w:rPr>
                <w:rFonts w:ascii="Aptos" w:hAnsi="Aptos"/>
                <w:color w:val="152A3B"/>
                <w:sz w:val="16"/>
              </w:rPr>
              <w:t>Quick diagnostic question</w:t>
            </w:r>
          </w:p>
        </w:tc>
      </w:tr>
      <w:tr>
        <w:tc>
          <w:tcPr>
            <w:tcW w:type="dxa" w:w="1440"/>
            <w:shd w:fill="F8FAFB"/>
            <w:vAlign w:val="center"/>
          </w:tcPr>
          <w:p>
            <w:r>
              <w:rPr>
                <w:rFonts w:ascii="Aptos" w:hAnsi="Aptos"/>
                <w:color w:val="152A3B"/>
                <w:sz w:val="16"/>
              </w:rPr>
              <w:t>2. Classify the exposure</w:t>
            </w:r>
          </w:p>
        </w:tc>
        <w:tc>
          <w:tcPr>
            <w:tcW w:type="dxa" w:w="4608"/>
            <w:shd w:fill="F8FAFB"/>
            <w:vAlign w:val="center"/>
          </w:tcPr>
          <w:p>
            <w:r>
              <w:rPr>
                <w:rFonts w:ascii="Aptos" w:hAnsi="Aptos"/>
                <w:color w:val="152A3B"/>
                <w:sz w:val="16"/>
              </w:rPr>
              <w:t>Corporate vs retail/other exposure class</w:t>
            </w:r>
          </w:p>
        </w:tc>
        <w:tc>
          <w:tcPr>
            <w:tcW w:type="dxa" w:w="3888"/>
            <w:shd w:fill="F8FAFB"/>
            <w:vAlign w:val="center"/>
          </w:tcPr>
          <w:p>
            <w:r>
              <w:rPr>
                <w:rFonts w:ascii="Aptos" w:hAnsi="Aptos"/>
                <w:color w:val="152A3B"/>
                <w:sz w:val="16"/>
              </w:rPr>
              <w:t>Decision tree + learner choice</w:t>
            </w:r>
          </w:p>
        </w:tc>
      </w:tr>
      <w:tr>
        <w:tc>
          <w:tcPr>
            <w:tcW w:type="dxa" w:w="1440"/>
            <w:vAlign w:val="center"/>
          </w:tcPr>
          <w:p>
            <w:r>
              <w:rPr>
                <w:rFonts w:ascii="Aptos" w:hAnsi="Aptos"/>
                <w:color w:val="152A3B"/>
                <w:sz w:val="16"/>
              </w:rPr>
              <w:t>3. Read the rule</w:t>
            </w:r>
          </w:p>
        </w:tc>
        <w:tc>
          <w:tcPr>
            <w:tcW w:type="dxa" w:w="4608"/>
            <w:vAlign w:val="center"/>
          </w:tcPr>
          <w:p>
            <w:r>
              <w:rPr>
                <w:rFonts w:ascii="Aptos" w:hAnsi="Aptos"/>
                <w:color w:val="152A3B"/>
                <w:sz w:val="16"/>
              </w:rPr>
              <w:t>Show official source and simplified explanation</w:t>
            </w:r>
          </w:p>
        </w:tc>
        <w:tc>
          <w:tcPr>
            <w:tcW w:type="dxa" w:w="3888"/>
            <w:vAlign w:val="center"/>
          </w:tcPr>
          <w:p>
            <w:r>
              <w:rPr>
                <w:rFonts w:ascii="Aptos" w:hAnsi="Aptos"/>
                <w:color w:val="152A3B"/>
                <w:sz w:val="16"/>
              </w:rPr>
              <w:t>Open citation</w:t>
            </w:r>
          </w:p>
        </w:tc>
      </w:tr>
      <w:tr>
        <w:tc>
          <w:tcPr>
            <w:tcW w:type="dxa" w:w="1440"/>
            <w:shd w:fill="F8FAFB"/>
            <w:vAlign w:val="center"/>
          </w:tcPr>
          <w:p>
            <w:r>
              <w:rPr>
                <w:rFonts w:ascii="Aptos" w:hAnsi="Aptos"/>
                <w:color w:val="152A3B"/>
                <w:sz w:val="16"/>
              </w:rPr>
              <w:t>4. Required data</w:t>
            </w:r>
          </w:p>
        </w:tc>
        <w:tc>
          <w:tcPr>
            <w:tcW w:type="dxa" w:w="4608"/>
            <w:shd w:fill="F8FAFB"/>
            <w:vAlign w:val="center"/>
          </w:tcPr>
          <w:p>
            <w:r>
              <w:rPr>
                <w:rFonts w:ascii="Aptos" w:hAnsi="Aptos"/>
                <w:color w:val="152A3B"/>
                <w:sz w:val="16"/>
              </w:rPr>
              <w:t>Rating, borrower type, revenue, exposure, default/collateral fields</w:t>
            </w:r>
          </w:p>
        </w:tc>
        <w:tc>
          <w:tcPr>
            <w:tcW w:type="dxa" w:w="3888"/>
            <w:shd w:fill="F8FAFB"/>
            <w:vAlign w:val="center"/>
          </w:tcPr>
          <w:p>
            <w:r>
              <w:rPr>
                <w:rFonts w:ascii="Aptos" w:hAnsi="Aptos"/>
                <w:color w:val="152A3B"/>
                <w:sz w:val="16"/>
              </w:rPr>
              <w:t>FinBank record inspector</w:t>
            </w:r>
          </w:p>
        </w:tc>
      </w:tr>
      <w:tr>
        <w:tc>
          <w:tcPr>
            <w:tcW w:type="dxa" w:w="1440"/>
            <w:vAlign w:val="center"/>
          </w:tcPr>
          <w:p>
            <w:r>
              <w:rPr>
                <w:rFonts w:ascii="Aptos" w:hAnsi="Aptos"/>
                <w:color w:val="152A3B"/>
                <w:sz w:val="16"/>
              </w:rPr>
              <w:t>5. Calculate</w:t>
            </w:r>
          </w:p>
        </w:tc>
        <w:tc>
          <w:tcPr>
            <w:tcW w:type="dxa" w:w="4608"/>
            <w:vAlign w:val="center"/>
          </w:tcPr>
          <w:p>
            <w:r>
              <w:rPr>
                <w:rFonts w:ascii="Aptos" w:hAnsi="Aptos"/>
                <w:color w:val="152A3B"/>
                <w:sz w:val="16"/>
              </w:rPr>
              <w:t>EAD/RW/RWA relationship</w:t>
            </w:r>
          </w:p>
        </w:tc>
        <w:tc>
          <w:tcPr>
            <w:tcW w:type="dxa" w:w="3888"/>
            <w:vAlign w:val="center"/>
          </w:tcPr>
          <w:p>
            <w:r>
              <w:rPr>
                <w:rFonts w:ascii="Aptos" w:hAnsi="Aptos"/>
                <w:color w:val="152A3B"/>
                <w:sz w:val="16"/>
              </w:rPr>
              <w:t>Deterministic calculator</w:t>
            </w:r>
          </w:p>
        </w:tc>
      </w:tr>
      <w:tr>
        <w:tc>
          <w:tcPr>
            <w:tcW w:type="dxa" w:w="1440"/>
            <w:shd w:fill="F8FAFB"/>
            <w:vAlign w:val="center"/>
          </w:tcPr>
          <w:p>
            <w:r>
              <w:rPr>
                <w:rFonts w:ascii="Aptos" w:hAnsi="Aptos"/>
                <w:color w:val="152A3B"/>
                <w:sz w:val="16"/>
              </w:rPr>
              <w:t>6. What-if</w:t>
            </w:r>
          </w:p>
        </w:tc>
        <w:tc>
          <w:tcPr>
            <w:tcW w:type="dxa" w:w="4608"/>
            <w:shd w:fill="F8FAFB"/>
            <w:vAlign w:val="center"/>
          </w:tcPr>
          <w:p>
            <w:r>
              <w:rPr>
                <w:rFonts w:ascii="Aptos" w:hAnsi="Aptos"/>
                <w:color w:val="152A3B"/>
                <w:sz w:val="16"/>
              </w:rPr>
              <w:t>Change inputs and observe result</w:t>
            </w:r>
          </w:p>
        </w:tc>
        <w:tc>
          <w:tcPr>
            <w:tcW w:type="dxa" w:w="3888"/>
            <w:shd w:fill="F8FAFB"/>
            <w:vAlign w:val="center"/>
          </w:tcPr>
          <w:p>
            <w:r>
              <w:rPr>
                <w:rFonts w:ascii="Aptos" w:hAnsi="Aptos"/>
                <w:color w:val="152A3B"/>
                <w:sz w:val="16"/>
              </w:rPr>
              <w:t>Interactive sliders/selectors</w:t>
            </w:r>
          </w:p>
        </w:tc>
      </w:tr>
      <w:tr>
        <w:tc>
          <w:tcPr>
            <w:tcW w:type="dxa" w:w="1440"/>
            <w:vAlign w:val="center"/>
          </w:tcPr>
          <w:p>
            <w:r>
              <w:rPr>
                <w:rFonts w:ascii="Aptos" w:hAnsi="Aptos"/>
                <w:color w:val="152A3B"/>
                <w:sz w:val="16"/>
              </w:rPr>
              <w:t>7. Jurisdiction compare</w:t>
            </w:r>
          </w:p>
        </w:tc>
        <w:tc>
          <w:tcPr>
            <w:tcW w:type="dxa" w:w="4608"/>
            <w:vAlign w:val="center"/>
          </w:tcPr>
          <w:p>
            <w:r>
              <w:rPr>
                <w:rFonts w:ascii="Aptos" w:hAnsi="Aptos"/>
                <w:color w:val="152A3B"/>
                <w:sz w:val="16"/>
              </w:rPr>
              <w:t>BCBS/U.S./SAMA/UAE</w:t>
            </w:r>
          </w:p>
        </w:tc>
        <w:tc>
          <w:tcPr>
            <w:tcW w:type="dxa" w:w="3888"/>
            <w:vAlign w:val="center"/>
          </w:tcPr>
          <w:p>
            <w:r>
              <w:rPr>
                <w:rFonts w:ascii="Aptos" w:hAnsi="Aptos"/>
                <w:color w:val="152A3B"/>
                <w:sz w:val="16"/>
              </w:rPr>
              <w:t>Comparison matrix</w:t>
            </w:r>
          </w:p>
        </w:tc>
      </w:tr>
      <w:tr>
        <w:tc>
          <w:tcPr>
            <w:tcW w:type="dxa" w:w="1440"/>
            <w:shd w:fill="F8FAFB"/>
            <w:vAlign w:val="center"/>
          </w:tcPr>
          <w:p>
            <w:r>
              <w:rPr>
                <w:rFonts w:ascii="Aptos" w:hAnsi="Aptos"/>
                <w:color w:val="152A3B"/>
                <w:sz w:val="16"/>
              </w:rPr>
              <w:t>8. Practice</w:t>
            </w:r>
          </w:p>
        </w:tc>
        <w:tc>
          <w:tcPr>
            <w:tcW w:type="dxa" w:w="4608"/>
            <w:shd w:fill="F8FAFB"/>
            <w:vAlign w:val="center"/>
          </w:tcPr>
          <w:p>
            <w:r>
              <w:rPr>
                <w:rFonts w:ascii="Aptos" w:hAnsi="Aptos"/>
                <w:color w:val="152A3B"/>
                <w:sz w:val="16"/>
              </w:rPr>
              <w:t>Near-boundary cases and misconceptions</w:t>
            </w:r>
          </w:p>
        </w:tc>
        <w:tc>
          <w:tcPr>
            <w:tcW w:type="dxa" w:w="3888"/>
            <w:shd w:fill="F8FAFB"/>
            <w:vAlign w:val="center"/>
          </w:tcPr>
          <w:p>
            <w:r>
              <w:rPr>
                <w:rFonts w:ascii="Aptos" w:hAnsi="Aptos"/>
                <w:color w:val="152A3B"/>
                <w:sz w:val="16"/>
              </w:rPr>
              <w:t>Generated constrained cases</w:t>
            </w:r>
          </w:p>
        </w:tc>
      </w:tr>
      <w:tr>
        <w:tc>
          <w:tcPr>
            <w:tcW w:type="dxa" w:w="1440"/>
            <w:vAlign w:val="center"/>
          </w:tcPr>
          <w:p>
            <w:r>
              <w:rPr>
                <w:rFonts w:ascii="Aptos" w:hAnsi="Aptos"/>
                <w:color w:val="152A3B"/>
                <w:sz w:val="16"/>
              </w:rPr>
              <w:t>9. Viva</w:t>
            </w:r>
          </w:p>
        </w:tc>
        <w:tc>
          <w:tcPr>
            <w:tcW w:type="dxa" w:w="4608"/>
            <w:vAlign w:val="center"/>
          </w:tcPr>
          <w:p>
            <w:r>
              <w:rPr>
                <w:rFonts w:ascii="Aptos" w:hAnsi="Aptos"/>
                <w:color w:val="152A3B"/>
                <w:sz w:val="16"/>
              </w:rPr>
              <w:t>Explain and calculate verbally</w:t>
            </w:r>
          </w:p>
        </w:tc>
        <w:tc>
          <w:tcPr>
            <w:tcW w:type="dxa" w:w="3888"/>
            <w:vAlign w:val="center"/>
          </w:tcPr>
          <w:p>
            <w:r>
              <w:rPr>
                <w:rFonts w:ascii="Aptos" w:hAnsi="Aptos"/>
                <w:color w:val="152A3B"/>
                <w:sz w:val="16"/>
              </w:rPr>
              <w:t>Scored realtime voice</w:t>
            </w:r>
          </w:p>
        </w:tc>
      </w:tr>
      <w:tr>
        <w:tc>
          <w:tcPr>
            <w:tcW w:type="dxa" w:w="1440"/>
            <w:shd w:fill="F8FAFB"/>
            <w:vAlign w:val="center"/>
          </w:tcPr>
          <w:p>
            <w:r>
              <w:rPr>
                <w:rFonts w:ascii="Aptos" w:hAnsi="Aptos"/>
                <w:color w:val="152A3B"/>
                <w:sz w:val="16"/>
              </w:rPr>
              <w:t>10. Mastery</w:t>
            </w:r>
          </w:p>
        </w:tc>
        <w:tc>
          <w:tcPr>
            <w:tcW w:type="dxa" w:w="4608"/>
            <w:shd w:fill="F8FAFB"/>
            <w:vAlign w:val="center"/>
          </w:tcPr>
          <w:p>
            <w:r>
              <w:rPr>
                <w:rFonts w:ascii="Aptos" w:hAnsi="Aptos"/>
                <w:color w:val="152A3B"/>
                <w:sz w:val="16"/>
              </w:rPr>
              <w:t>Feedback and remediation</w:t>
            </w:r>
          </w:p>
        </w:tc>
        <w:tc>
          <w:tcPr>
            <w:tcW w:type="dxa" w:w="3888"/>
            <w:shd w:fill="F8FAFB"/>
            <w:vAlign w:val="center"/>
          </w:tcPr>
          <w:p>
            <w:r>
              <w:rPr>
                <w:rFonts w:ascii="Aptos" w:hAnsi="Aptos"/>
                <w:color w:val="152A3B"/>
                <w:sz w:val="16"/>
              </w:rPr>
              <w:t>Concept mastery summary</w:t>
            </w:r>
          </w:p>
        </w:tc>
      </w:tr>
    </w:tbl>
    <w:p>
      <w:pPr>
        <w:spacing w:after="20"/>
      </w:pPr>
    </w:p>
    <w:p>
      <w:pPr>
        <w:pStyle w:val="Heading2"/>
      </w:pPr>
      <w:r>
        <w:t>5.3 Semantic timeline contract</w:t>
      </w:r>
    </w:p>
    <w:p>
      <w:pPr>
        <w:spacing w:after="100"/>
      </w:pPr>
      <w:r>
        <w:rPr>
          <w:rFonts w:ascii="Aptos" w:hAnsi="Aptos"/>
          <w:b w:val="0"/>
          <w:color w:val="152A3B"/>
        </w:rPr>
        <w:t>Every video segment has machine-readable context. The player sends current segment state to tutor sessions rather than forcing retrieval to infer what the learner is seeing.</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Field</w:t>
            </w:r>
          </w:p>
        </w:tc>
        <w:tc>
          <w:tcPr>
            <w:tcW w:type="dxa" w:w="331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Example</w:t>
            </w:r>
          </w:p>
        </w:tc>
        <w:tc>
          <w:tcPr>
            <w:tcW w:type="dxa" w:w="432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Requirement</w:t>
            </w:r>
          </w:p>
        </w:tc>
      </w:tr>
      <w:tr>
        <w:tc>
          <w:tcPr>
            <w:tcW w:type="dxa" w:w="2304"/>
            <w:vAlign w:val="center"/>
          </w:tcPr>
          <w:p>
            <w:r>
              <w:rPr>
                <w:rFonts w:ascii="Aptos" w:hAnsi="Aptos"/>
                <w:color w:val="152A3B"/>
                <w:sz w:val="15"/>
              </w:rPr>
              <w:t>lesson_version_id</w:t>
            </w:r>
          </w:p>
        </w:tc>
        <w:tc>
          <w:tcPr>
            <w:tcW w:type="dxa" w:w="3312"/>
            <w:vAlign w:val="center"/>
          </w:tcPr>
          <w:p>
            <w:r>
              <w:rPr>
                <w:rFonts w:ascii="Aptos" w:hAnsi="Aptos"/>
                <w:color w:val="152A3B"/>
                <w:sz w:val="15"/>
              </w:rPr>
              <w:t>GL001-en-v1.0</w:t>
            </w:r>
          </w:p>
        </w:tc>
        <w:tc>
          <w:tcPr>
            <w:tcW w:type="dxa" w:w="4320"/>
            <w:vAlign w:val="center"/>
          </w:tcPr>
          <w:p>
            <w:r>
              <w:rPr>
                <w:rFonts w:ascii="Aptos" w:hAnsi="Aptos"/>
                <w:color w:val="152A3B"/>
                <w:sz w:val="15"/>
              </w:rPr>
              <w:t>Immutable after publish</w:t>
            </w:r>
          </w:p>
        </w:tc>
      </w:tr>
      <w:tr>
        <w:tc>
          <w:tcPr>
            <w:tcW w:type="dxa" w:w="2304"/>
            <w:shd w:fill="F8FAFB"/>
            <w:vAlign w:val="center"/>
          </w:tcPr>
          <w:p>
            <w:r>
              <w:rPr>
                <w:rFonts w:ascii="Aptos" w:hAnsi="Aptos"/>
                <w:color w:val="152A3B"/>
                <w:sz w:val="15"/>
              </w:rPr>
              <w:t>segment_id</w:t>
            </w:r>
          </w:p>
        </w:tc>
        <w:tc>
          <w:tcPr>
            <w:tcW w:type="dxa" w:w="3312"/>
            <w:shd w:fill="F8FAFB"/>
            <w:vAlign w:val="center"/>
          </w:tcPr>
          <w:p>
            <w:r>
              <w:rPr>
                <w:rFonts w:ascii="Aptos" w:hAnsi="Aptos"/>
                <w:color w:val="152A3B"/>
                <w:sz w:val="15"/>
              </w:rPr>
              <w:t>corp-classification-03</w:t>
            </w:r>
          </w:p>
        </w:tc>
        <w:tc>
          <w:tcPr>
            <w:tcW w:type="dxa" w:w="4320"/>
            <w:shd w:fill="F8FAFB"/>
            <w:vAlign w:val="center"/>
          </w:tcPr>
          <w:p>
            <w:r>
              <w:rPr>
                <w:rFonts w:ascii="Aptos" w:hAnsi="Aptos"/>
                <w:color w:val="152A3B"/>
                <w:sz w:val="15"/>
              </w:rPr>
              <w:t>Stable semantic identifier</w:t>
            </w:r>
          </w:p>
        </w:tc>
      </w:tr>
      <w:tr>
        <w:tc>
          <w:tcPr>
            <w:tcW w:type="dxa" w:w="2304"/>
            <w:vAlign w:val="center"/>
          </w:tcPr>
          <w:p>
            <w:r>
              <w:rPr>
                <w:rFonts w:ascii="Aptos" w:hAnsi="Aptos"/>
                <w:color w:val="152A3B"/>
                <w:sz w:val="15"/>
              </w:rPr>
              <w:t>start_ms / end_ms</w:t>
            </w:r>
          </w:p>
        </w:tc>
        <w:tc>
          <w:tcPr>
            <w:tcW w:type="dxa" w:w="3312"/>
            <w:vAlign w:val="center"/>
          </w:tcPr>
          <w:p>
            <w:r>
              <w:rPr>
                <w:rFonts w:ascii="Aptos" w:hAnsi="Aptos"/>
                <w:color w:val="152A3B"/>
                <w:sz w:val="15"/>
              </w:rPr>
              <w:t>402000 / 447000</w:t>
            </w:r>
          </w:p>
        </w:tc>
        <w:tc>
          <w:tcPr>
            <w:tcW w:type="dxa" w:w="4320"/>
            <w:vAlign w:val="center"/>
          </w:tcPr>
          <w:p>
            <w:r>
              <w:rPr>
                <w:rFonts w:ascii="Aptos" w:hAnsi="Aptos"/>
                <w:color w:val="152A3B"/>
                <w:sz w:val="15"/>
              </w:rPr>
              <w:t>Exact media location</w:t>
            </w:r>
          </w:p>
        </w:tc>
      </w:tr>
      <w:tr>
        <w:tc>
          <w:tcPr>
            <w:tcW w:type="dxa" w:w="2304"/>
            <w:shd w:fill="F8FAFB"/>
            <w:vAlign w:val="center"/>
          </w:tcPr>
          <w:p>
            <w:r>
              <w:rPr>
                <w:rFonts w:ascii="Aptos" w:hAnsi="Aptos"/>
                <w:color w:val="152A3B"/>
                <w:sz w:val="15"/>
              </w:rPr>
              <w:t>concept_ids</w:t>
            </w:r>
          </w:p>
        </w:tc>
        <w:tc>
          <w:tcPr>
            <w:tcW w:type="dxa" w:w="3312"/>
            <w:shd w:fill="F8FAFB"/>
            <w:vAlign w:val="center"/>
          </w:tcPr>
          <w:p>
            <w:r>
              <w:rPr>
                <w:rFonts w:ascii="Aptos" w:hAnsi="Aptos"/>
                <w:color w:val="152A3B"/>
                <w:sz w:val="15"/>
              </w:rPr>
              <w:t>corporate_exposure, exposure_class</w:t>
            </w:r>
          </w:p>
        </w:tc>
        <w:tc>
          <w:tcPr>
            <w:tcW w:type="dxa" w:w="4320"/>
            <w:shd w:fill="F8FAFB"/>
            <w:vAlign w:val="center"/>
          </w:tcPr>
          <w:p>
            <w:r>
              <w:rPr>
                <w:rFonts w:ascii="Aptos" w:hAnsi="Aptos"/>
                <w:color w:val="152A3B"/>
                <w:sz w:val="15"/>
              </w:rPr>
              <w:t>One or more</w:t>
            </w:r>
          </w:p>
        </w:tc>
      </w:tr>
      <w:tr>
        <w:tc>
          <w:tcPr>
            <w:tcW w:type="dxa" w:w="2304"/>
            <w:vAlign w:val="center"/>
          </w:tcPr>
          <w:p>
            <w:r>
              <w:rPr>
                <w:rFonts w:ascii="Aptos" w:hAnsi="Aptos"/>
                <w:color w:val="152A3B"/>
                <w:sz w:val="15"/>
              </w:rPr>
              <w:t>jurisdiction_context</w:t>
            </w:r>
          </w:p>
        </w:tc>
        <w:tc>
          <w:tcPr>
            <w:tcW w:type="dxa" w:w="3312"/>
            <w:vAlign w:val="center"/>
          </w:tcPr>
          <w:p>
            <w:r>
              <w:rPr>
                <w:rFonts w:ascii="Aptos" w:hAnsi="Aptos"/>
                <w:color w:val="152A3B"/>
                <w:sz w:val="15"/>
              </w:rPr>
              <w:t>SAMA</w:t>
            </w:r>
          </w:p>
        </w:tc>
        <w:tc>
          <w:tcPr>
            <w:tcW w:type="dxa" w:w="4320"/>
            <w:vAlign w:val="center"/>
          </w:tcPr>
          <w:p>
            <w:r>
              <w:rPr>
                <w:rFonts w:ascii="Aptos" w:hAnsi="Aptos"/>
                <w:color w:val="152A3B"/>
                <w:sz w:val="15"/>
              </w:rPr>
              <w:t>Can be neutral/multiple</w:t>
            </w:r>
          </w:p>
        </w:tc>
      </w:tr>
      <w:tr>
        <w:tc>
          <w:tcPr>
            <w:tcW w:type="dxa" w:w="2304"/>
            <w:shd w:fill="F8FAFB"/>
            <w:vAlign w:val="center"/>
          </w:tcPr>
          <w:p>
            <w:r>
              <w:rPr>
                <w:rFonts w:ascii="Aptos" w:hAnsi="Aptos"/>
                <w:color w:val="152A3B"/>
                <w:sz w:val="15"/>
              </w:rPr>
              <w:t>rule_ids</w:t>
            </w:r>
          </w:p>
        </w:tc>
        <w:tc>
          <w:tcPr>
            <w:tcW w:type="dxa" w:w="3312"/>
            <w:shd w:fill="F8FAFB"/>
            <w:vAlign w:val="center"/>
          </w:tcPr>
          <w:p>
            <w:r>
              <w:rPr>
                <w:rFonts w:ascii="Aptos" w:hAnsi="Aptos"/>
                <w:color w:val="152A3B"/>
                <w:sz w:val="15"/>
              </w:rPr>
              <w:t>SAMA-CR-7.37</w:t>
            </w:r>
          </w:p>
        </w:tc>
        <w:tc>
          <w:tcPr>
            <w:tcW w:type="dxa" w:w="4320"/>
            <w:shd w:fill="F8FAFB"/>
            <w:vAlign w:val="center"/>
          </w:tcPr>
          <w:p>
            <w:r>
              <w:rPr>
                <w:rFonts w:ascii="Aptos" w:hAnsi="Aptos"/>
                <w:color w:val="152A3B"/>
                <w:sz w:val="15"/>
              </w:rPr>
              <w:t>Approved structured IDs</w:t>
            </w:r>
          </w:p>
        </w:tc>
      </w:tr>
      <w:tr>
        <w:tc>
          <w:tcPr>
            <w:tcW w:type="dxa" w:w="2304"/>
            <w:vAlign w:val="center"/>
          </w:tcPr>
          <w:p>
            <w:r>
              <w:rPr>
                <w:rFonts w:ascii="Aptos" w:hAnsi="Aptos"/>
                <w:color w:val="152A3B"/>
                <w:sz w:val="15"/>
              </w:rPr>
              <w:t>example_id</w:t>
            </w:r>
          </w:p>
        </w:tc>
        <w:tc>
          <w:tcPr>
            <w:tcW w:type="dxa" w:w="3312"/>
            <w:vAlign w:val="center"/>
          </w:tcPr>
          <w:p>
            <w:r>
              <w:rPr>
                <w:rFonts w:ascii="Aptos" w:hAnsi="Aptos"/>
                <w:color w:val="152A3B"/>
                <w:sz w:val="15"/>
              </w:rPr>
              <w:t>FINBANK-CORP-001</w:t>
            </w:r>
          </w:p>
        </w:tc>
        <w:tc>
          <w:tcPr>
            <w:tcW w:type="dxa" w:w="4320"/>
            <w:vAlign w:val="center"/>
          </w:tcPr>
          <w:p>
            <w:r>
              <w:rPr>
                <w:rFonts w:ascii="Aptos" w:hAnsi="Aptos"/>
                <w:color w:val="152A3B"/>
                <w:sz w:val="15"/>
              </w:rPr>
              <w:t>Synthetic fixture</w:t>
            </w:r>
          </w:p>
        </w:tc>
      </w:tr>
      <w:tr>
        <w:tc>
          <w:tcPr>
            <w:tcW w:type="dxa" w:w="2304"/>
            <w:shd w:fill="F8FAFB"/>
            <w:vAlign w:val="center"/>
          </w:tcPr>
          <w:p>
            <w:r>
              <w:rPr>
                <w:rFonts w:ascii="Aptos" w:hAnsi="Aptos"/>
                <w:color w:val="152A3B"/>
                <w:sz w:val="15"/>
              </w:rPr>
              <w:t>tool_context</w:t>
            </w:r>
          </w:p>
        </w:tc>
        <w:tc>
          <w:tcPr>
            <w:tcW w:type="dxa" w:w="3312"/>
            <w:shd w:fill="F8FAFB"/>
            <w:vAlign w:val="center"/>
          </w:tcPr>
          <w:p>
            <w:r>
              <w:rPr>
                <w:rFonts w:ascii="Aptos" w:hAnsi="Aptos"/>
                <w:color w:val="152A3B"/>
                <w:sz w:val="15"/>
              </w:rPr>
              <w:t>credit_rwa_calculator</w:t>
            </w:r>
          </w:p>
        </w:tc>
        <w:tc>
          <w:tcPr>
            <w:tcW w:type="dxa" w:w="4320"/>
            <w:shd w:fill="F8FAFB"/>
            <w:vAlign w:val="center"/>
          </w:tcPr>
          <w:p>
            <w:r>
              <w:rPr>
                <w:rFonts w:ascii="Aptos" w:hAnsi="Aptos"/>
                <w:color w:val="152A3B"/>
                <w:sz w:val="15"/>
              </w:rPr>
              <w:t>Optional</w:t>
            </w:r>
          </w:p>
        </w:tc>
      </w:tr>
      <w:tr>
        <w:tc>
          <w:tcPr>
            <w:tcW w:type="dxa" w:w="2304"/>
            <w:vAlign w:val="center"/>
          </w:tcPr>
          <w:p>
            <w:r>
              <w:rPr>
                <w:rFonts w:ascii="Aptos" w:hAnsi="Aptos"/>
                <w:color w:val="152A3B"/>
                <w:sz w:val="15"/>
              </w:rPr>
              <w:t>visual_context</w:t>
            </w:r>
          </w:p>
        </w:tc>
        <w:tc>
          <w:tcPr>
            <w:tcW w:type="dxa" w:w="3312"/>
            <w:vAlign w:val="center"/>
          </w:tcPr>
          <w:p>
            <w:r>
              <w:rPr>
                <w:rFonts w:ascii="Aptos" w:hAnsi="Aptos"/>
                <w:color w:val="152A3B"/>
                <w:sz w:val="15"/>
              </w:rPr>
              <w:t>classification-decision-tree</w:t>
            </w:r>
          </w:p>
        </w:tc>
        <w:tc>
          <w:tcPr>
            <w:tcW w:type="dxa" w:w="4320"/>
            <w:vAlign w:val="center"/>
          </w:tcPr>
          <w:p>
            <w:r>
              <w:rPr>
                <w:rFonts w:ascii="Aptos" w:hAnsi="Aptos"/>
                <w:color w:val="152A3B"/>
                <w:sz w:val="15"/>
              </w:rPr>
              <w:t>Allows tutor to refer to current visual</w:t>
            </w:r>
          </w:p>
        </w:tc>
      </w:tr>
    </w:tbl>
    <w:p>
      <w:pPr>
        <w:spacing w:after="20"/>
      </w:pPr>
    </w:p>
    <w:p>
      <w:pPr>
        <w:pStyle w:val="Heading2"/>
      </w:pPr>
      <w:r>
        <w:t>5.4 Pause-and-ask acceptance behavior</w:t>
      </w:r>
    </w:p>
    <w:p>
      <w:pPr>
        <w:spacing w:after="60"/>
      </w:pPr>
      <w:r>
        <w:rPr>
          <w:rFonts w:ascii="Aptos" w:hAnsi="Aptos"/>
          <w:b/>
          <w:color w:val="081726"/>
          <w:sz w:val="19"/>
        </w:rPr>
        <w:t xml:space="preserve">1. </w:t>
      </w:r>
      <w:r>
        <w:rPr>
          <w:rFonts w:ascii="Aptos" w:hAnsi="Aptos"/>
          <w:color w:val="152A3B"/>
          <w:sz w:val="19"/>
        </w:rPr>
        <w:t>Pause action freezes current timestamp and writes a learner event.</w:t>
      </w:r>
    </w:p>
    <w:p>
      <w:pPr>
        <w:spacing w:after="60"/>
      </w:pPr>
      <w:r>
        <w:rPr>
          <w:rFonts w:ascii="Aptos" w:hAnsi="Aptos"/>
          <w:b/>
          <w:color w:val="081726"/>
          <w:sz w:val="19"/>
        </w:rPr>
        <w:t xml:space="preserve">2. </w:t>
      </w:r>
      <w:r>
        <w:rPr>
          <w:rFonts w:ascii="Aptos" w:hAnsi="Aptos"/>
          <w:color w:val="152A3B"/>
          <w:sz w:val="19"/>
        </w:rPr>
        <w:t>Question request carries lesson version, segment, current example, selected jurisdiction, tutor mode and language.</w:t>
      </w:r>
    </w:p>
    <w:p>
      <w:pPr>
        <w:spacing w:after="60"/>
      </w:pPr>
      <w:r>
        <w:rPr>
          <w:rFonts w:ascii="Aptos" w:hAnsi="Aptos"/>
          <w:b/>
          <w:color w:val="081726"/>
          <w:sz w:val="19"/>
        </w:rPr>
        <w:t xml:space="preserve">3. </w:t>
      </w:r>
      <w:r>
        <w:rPr>
          <w:rFonts w:ascii="Aptos" w:hAnsi="Aptos"/>
          <w:color w:val="152A3B"/>
          <w:sz w:val="19"/>
        </w:rPr>
        <w:t>Tutor must retrieve approved sources for regulatory claims; citations are rendered as structured UI objects.</w:t>
      </w:r>
    </w:p>
    <w:p>
      <w:pPr>
        <w:spacing w:after="60"/>
      </w:pPr>
      <w:r>
        <w:rPr>
          <w:rFonts w:ascii="Aptos" w:hAnsi="Aptos"/>
          <w:b/>
          <w:color w:val="081726"/>
          <w:sz w:val="19"/>
        </w:rPr>
        <w:t xml:space="preserve">4. </w:t>
      </w:r>
      <w:r>
        <w:rPr>
          <w:rFonts w:ascii="Aptos" w:hAnsi="Aptos"/>
          <w:color w:val="152A3B"/>
          <w:sz w:val="19"/>
        </w:rPr>
        <w:t>If calculation is requested, tutor must call the deterministic calculator and quote the result returned by the tool.</w:t>
      </w:r>
    </w:p>
    <w:p>
      <w:pPr>
        <w:spacing w:after="60"/>
      </w:pPr>
      <w:r>
        <w:rPr>
          <w:rFonts w:ascii="Aptos" w:hAnsi="Aptos"/>
          <w:b/>
          <w:color w:val="081726"/>
          <w:sz w:val="19"/>
        </w:rPr>
        <w:t xml:space="preserve">5. </w:t>
      </w:r>
      <w:r>
        <w:rPr>
          <w:rFonts w:ascii="Aptos" w:hAnsi="Aptos"/>
          <w:color w:val="152A3B"/>
          <w:sz w:val="19"/>
        </w:rPr>
        <w:t>If source coverage is insufficient, tutor says what is missing rather than inventing an answer.</w:t>
      </w:r>
    </w:p>
    <w:p>
      <w:pPr>
        <w:spacing w:after="60"/>
      </w:pPr>
      <w:r>
        <w:rPr>
          <w:rFonts w:ascii="Aptos" w:hAnsi="Aptos"/>
          <w:b/>
          <w:color w:val="081726"/>
          <w:sz w:val="19"/>
        </w:rPr>
        <w:t xml:space="preserve">6. </w:t>
      </w:r>
      <w:r>
        <w:rPr>
          <w:rFonts w:ascii="Aptos" w:hAnsi="Aptos"/>
          <w:color w:val="152A3B"/>
          <w:sz w:val="19"/>
        </w:rPr>
        <w:t>Learner can ask a follow-up without losing segment context.</w:t>
      </w:r>
    </w:p>
    <w:p>
      <w:pPr>
        <w:spacing w:after="60"/>
      </w:pPr>
      <w:r>
        <w:rPr>
          <w:rFonts w:ascii="Aptos" w:hAnsi="Aptos"/>
          <w:b/>
          <w:color w:val="081726"/>
          <w:sz w:val="19"/>
        </w:rPr>
        <w:t xml:space="preserve">7. </w:t>
      </w:r>
      <w:r>
        <w:rPr>
          <w:rFonts w:ascii="Aptos" w:hAnsi="Aptos"/>
          <w:color w:val="152A3B"/>
          <w:sz w:val="19"/>
        </w:rPr>
        <w:t>On “resume”, playback returns to the same or an explicitly chosen timestamp.</w:t>
      </w:r>
    </w:p>
    <w:p>
      <w:pPr>
        <w:spacing w:after="60"/>
      </w:pPr>
      <w:r>
        <w:rPr>
          <w:rFonts w:ascii="Aptos" w:hAnsi="Aptos"/>
          <w:b/>
          <w:color w:val="081726"/>
          <w:sz w:val="19"/>
        </w:rPr>
        <w:t xml:space="preserve">8. </w:t>
      </w:r>
      <w:r>
        <w:rPr>
          <w:rFonts w:ascii="Aptos" w:hAnsi="Aptos"/>
          <w:color w:val="152A3B"/>
          <w:sz w:val="19"/>
        </w:rPr>
        <w:t>Tutor conversation is summarized into learning events/misconceptions; raw transcript retention follows privacy settings.</w:t>
      </w:r>
    </w:p>
    <w:p>
      <w:pPr>
        <w:spacing w:after="40"/>
        <w:jc w:val="center"/>
      </w:pPr>
      <w:r>
        <w:drawing>
          <wp:inline xmlns:a="http://schemas.openxmlformats.org/drawingml/2006/main" xmlns:pic="http://schemas.openxmlformats.org/drawingml/2006/picture">
            <wp:extent cx="6492240" cy="3651885"/>
            <wp:docPr id="2" name="Picture 2"/>
            <wp:cNvGraphicFramePr>
              <a:graphicFrameLocks noChangeAspect="1"/>
            </wp:cNvGraphicFramePr>
            <a:graphic>
              <a:graphicData uri="http://schemas.openxmlformats.org/drawingml/2006/picture">
                <pic:pic>
                  <pic:nvPicPr>
                    <pic:cNvPr id="0" name="tutor_runtime.png"/>
                    <pic:cNvPicPr/>
                  </pic:nvPicPr>
                  <pic:blipFill>
                    <a:blip r:embed="rId12"/>
                    <a:stretch>
                      <a:fillRect/>
                    </a:stretch>
                  </pic:blipFill>
                  <pic:spPr>
                    <a:xfrm>
                      <a:off x="0" y="0"/>
                      <a:ext cx="6492240" cy="3651885"/>
                    </a:xfrm>
                    <a:prstGeom prst="rect"/>
                  </pic:spPr>
                </pic:pic>
              </a:graphicData>
            </a:graphic>
          </wp:inline>
        </w:drawing>
      </w:r>
    </w:p>
    <w:p>
      <w:pPr>
        <w:spacing w:after="120"/>
        <w:jc w:val="center"/>
      </w:pPr>
      <w:r>
        <w:rPr>
          <w:rFonts w:ascii="Aptos" w:hAnsi="Aptos"/>
          <w:color w:val="617789"/>
          <w:sz w:val="16"/>
        </w:rPr>
        <w:t>Figure 1 — Runtime path for pause-anywhere text/voice tutoring.</w:t>
      </w:r>
    </w:p>
    <w:p>
      <w:pPr>
        <w:pStyle w:val="Heading1"/>
      </w:pPr>
      <w:r>
        <w:t>6. AI Tutor and Adaptive Learning</w:t>
      </w:r>
    </w:p>
    <w:p>
      <w:pPr>
        <w:pStyle w:val="Heading2"/>
      </w:pPr>
      <w:r>
        <w:t>6.1 Tutor modes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Mode</w:t>
            </w:r>
          </w:p>
        </w:tc>
        <w:tc>
          <w:tcPr>
            <w:tcW w:type="dxa" w:w="460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Behavior</w:t>
            </w:r>
          </w:p>
        </w:tc>
        <w:tc>
          <w:tcPr>
            <w:tcW w:type="dxa" w:w="345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Answer policy</w:t>
            </w:r>
          </w:p>
        </w:tc>
      </w:tr>
      <w:tr>
        <w:tc>
          <w:tcPr>
            <w:tcW w:type="dxa" w:w="2016"/>
            <w:vAlign w:val="center"/>
          </w:tcPr>
          <w:p>
            <w:r>
              <w:rPr>
                <w:rFonts w:ascii="Aptos" w:hAnsi="Aptos"/>
                <w:color w:val="152A3B"/>
                <w:sz w:val="16"/>
              </w:rPr>
              <w:t>Teacher</w:t>
            </w:r>
          </w:p>
        </w:tc>
        <w:tc>
          <w:tcPr>
            <w:tcW w:type="dxa" w:w="4608"/>
            <w:vAlign w:val="center"/>
          </w:tcPr>
          <w:p>
            <w:r>
              <w:rPr>
                <w:rFonts w:ascii="Aptos" w:hAnsi="Aptos"/>
                <w:color w:val="152A3B"/>
                <w:sz w:val="16"/>
              </w:rPr>
              <w:t>Explain progressively using lesson context</w:t>
            </w:r>
          </w:p>
        </w:tc>
        <w:tc>
          <w:tcPr>
            <w:tcW w:type="dxa" w:w="3456"/>
            <w:vAlign w:val="center"/>
          </w:tcPr>
          <w:p>
            <w:r>
              <w:rPr>
                <w:rFonts w:ascii="Aptos" w:hAnsi="Aptos"/>
                <w:color w:val="152A3B"/>
                <w:sz w:val="16"/>
              </w:rPr>
              <w:t>Can answer directly with citations/tools</w:t>
            </w:r>
          </w:p>
        </w:tc>
      </w:tr>
      <w:tr>
        <w:tc>
          <w:tcPr>
            <w:tcW w:type="dxa" w:w="2016"/>
            <w:shd w:fill="F8FAFB"/>
            <w:vAlign w:val="center"/>
          </w:tcPr>
          <w:p>
            <w:r>
              <w:rPr>
                <w:rFonts w:ascii="Aptos" w:hAnsi="Aptos"/>
                <w:color w:val="152A3B"/>
                <w:sz w:val="16"/>
              </w:rPr>
              <w:t>Socratic coach</w:t>
            </w:r>
          </w:p>
        </w:tc>
        <w:tc>
          <w:tcPr>
            <w:tcW w:type="dxa" w:w="4608"/>
            <w:shd w:fill="F8FAFB"/>
            <w:vAlign w:val="center"/>
          </w:tcPr>
          <w:p>
            <w:r>
              <w:rPr>
                <w:rFonts w:ascii="Aptos" w:hAnsi="Aptos"/>
                <w:color w:val="152A3B"/>
                <w:sz w:val="16"/>
              </w:rPr>
              <w:t>Ask learner to reason before revealing</w:t>
            </w:r>
          </w:p>
        </w:tc>
        <w:tc>
          <w:tcPr>
            <w:tcW w:type="dxa" w:w="3456"/>
            <w:shd w:fill="F8FAFB"/>
            <w:vAlign w:val="center"/>
          </w:tcPr>
          <w:p>
            <w:r>
              <w:rPr>
                <w:rFonts w:ascii="Aptos" w:hAnsi="Aptos"/>
                <w:color w:val="152A3B"/>
                <w:sz w:val="16"/>
              </w:rPr>
              <w:t>Do not immediately give final answer</w:t>
            </w:r>
          </w:p>
        </w:tc>
      </w:tr>
      <w:tr>
        <w:tc>
          <w:tcPr>
            <w:tcW w:type="dxa" w:w="2016"/>
            <w:vAlign w:val="center"/>
          </w:tcPr>
          <w:p>
            <w:r>
              <w:rPr>
                <w:rFonts w:ascii="Aptos" w:hAnsi="Aptos"/>
                <w:color w:val="152A3B"/>
                <w:sz w:val="16"/>
              </w:rPr>
              <w:t>Calculation coach</w:t>
            </w:r>
          </w:p>
        </w:tc>
        <w:tc>
          <w:tcPr>
            <w:tcW w:type="dxa" w:w="4608"/>
            <w:vAlign w:val="center"/>
          </w:tcPr>
          <w:p>
            <w:r>
              <w:rPr>
                <w:rFonts w:ascii="Aptos" w:hAnsi="Aptos"/>
                <w:color w:val="152A3B"/>
                <w:sz w:val="16"/>
              </w:rPr>
              <w:t>Guide inputs/formula and invoke tool</w:t>
            </w:r>
          </w:p>
        </w:tc>
        <w:tc>
          <w:tcPr>
            <w:tcW w:type="dxa" w:w="3456"/>
            <w:vAlign w:val="center"/>
          </w:tcPr>
          <w:p>
            <w:r>
              <w:rPr>
                <w:rFonts w:ascii="Aptos" w:hAnsi="Aptos"/>
                <w:color w:val="152A3B"/>
                <w:sz w:val="16"/>
              </w:rPr>
              <w:t>Tool output is authoritative</w:t>
            </w:r>
          </w:p>
        </w:tc>
      </w:tr>
      <w:tr>
        <w:tc>
          <w:tcPr>
            <w:tcW w:type="dxa" w:w="2016"/>
            <w:shd w:fill="F8FAFB"/>
            <w:vAlign w:val="center"/>
          </w:tcPr>
          <w:p>
            <w:r>
              <w:rPr>
                <w:rFonts w:ascii="Aptos" w:hAnsi="Aptos"/>
                <w:color w:val="152A3B"/>
                <w:sz w:val="16"/>
              </w:rPr>
              <w:t>Practitioner</w:t>
            </w:r>
          </w:p>
        </w:tc>
        <w:tc>
          <w:tcPr>
            <w:tcW w:type="dxa" w:w="4608"/>
            <w:shd w:fill="F8FAFB"/>
            <w:vAlign w:val="center"/>
          </w:tcPr>
          <w:p>
            <w:r>
              <w:rPr>
                <w:rFonts w:ascii="Aptos" w:hAnsi="Aptos"/>
                <w:color w:val="152A3B"/>
                <w:sz w:val="16"/>
              </w:rPr>
              <w:t>Connect rule to real bank workflow/data</w:t>
            </w:r>
          </w:p>
        </w:tc>
        <w:tc>
          <w:tcPr>
            <w:tcW w:type="dxa" w:w="3456"/>
            <w:shd w:fill="F8FAFB"/>
            <w:vAlign w:val="center"/>
          </w:tcPr>
          <w:p>
            <w:r>
              <w:rPr>
                <w:rFonts w:ascii="Aptos" w:hAnsi="Aptos"/>
                <w:color w:val="152A3B"/>
                <w:sz w:val="16"/>
              </w:rPr>
              <w:t>Use approved workflow examples</w:t>
            </w:r>
          </w:p>
        </w:tc>
      </w:tr>
      <w:tr>
        <w:tc>
          <w:tcPr>
            <w:tcW w:type="dxa" w:w="2016"/>
            <w:vAlign w:val="center"/>
          </w:tcPr>
          <w:p>
            <w:r>
              <w:rPr>
                <w:rFonts w:ascii="Aptos" w:hAnsi="Aptos"/>
                <w:color w:val="152A3B"/>
                <w:sz w:val="16"/>
              </w:rPr>
              <w:t>Jurisdiction comparator</w:t>
            </w:r>
          </w:p>
        </w:tc>
        <w:tc>
          <w:tcPr>
            <w:tcW w:type="dxa" w:w="4608"/>
            <w:vAlign w:val="center"/>
          </w:tcPr>
          <w:p>
            <w:r>
              <w:rPr>
                <w:rFonts w:ascii="Aptos" w:hAnsi="Aptos"/>
                <w:color w:val="152A3B"/>
                <w:sz w:val="16"/>
              </w:rPr>
              <w:t>Explain common principle vs local implementation</w:t>
            </w:r>
          </w:p>
        </w:tc>
        <w:tc>
          <w:tcPr>
            <w:tcW w:type="dxa" w:w="3456"/>
            <w:vAlign w:val="center"/>
          </w:tcPr>
          <w:p>
            <w:r>
              <w:rPr>
                <w:rFonts w:ascii="Aptos" w:hAnsi="Aptos"/>
                <w:color w:val="152A3B"/>
                <w:sz w:val="16"/>
              </w:rPr>
              <w:t>Must label rule status/version</w:t>
            </w:r>
          </w:p>
        </w:tc>
      </w:tr>
      <w:tr>
        <w:tc>
          <w:tcPr>
            <w:tcW w:type="dxa" w:w="2016"/>
            <w:shd w:fill="F8FAFB"/>
            <w:vAlign w:val="center"/>
          </w:tcPr>
          <w:p>
            <w:r>
              <w:rPr>
                <w:rFonts w:ascii="Aptos" w:hAnsi="Aptos"/>
                <w:color w:val="152A3B"/>
                <w:sz w:val="16"/>
              </w:rPr>
              <w:t>Examiner / Viva</w:t>
            </w:r>
          </w:p>
        </w:tc>
        <w:tc>
          <w:tcPr>
            <w:tcW w:type="dxa" w:w="4608"/>
            <w:shd w:fill="F8FAFB"/>
            <w:vAlign w:val="center"/>
          </w:tcPr>
          <w:p>
            <w:r>
              <w:rPr>
                <w:rFonts w:ascii="Aptos" w:hAnsi="Aptos"/>
                <w:color w:val="152A3B"/>
                <w:sz w:val="16"/>
              </w:rPr>
              <w:t>Ask and score against rubric</w:t>
            </w:r>
          </w:p>
        </w:tc>
        <w:tc>
          <w:tcPr>
            <w:tcW w:type="dxa" w:w="3456"/>
            <w:shd w:fill="F8FAFB"/>
            <w:vAlign w:val="center"/>
          </w:tcPr>
          <w:p>
            <w:r>
              <w:rPr>
                <w:rFonts w:ascii="Aptos" w:hAnsi="Aptos"/>
                <w:color w:val="152A3B"/>
                <w:sz w:val="16"/>
              </w:rPr>
              <w:t>No coaching during scored portion</w:t>
            </w:r>
          </w:p>
        </w:tc>
      </w:tr>
    </w:tbl>
    <w:p>
      <w:pPr>
        <w:spacing w:after="20"/>
      </w:pPr>
    </w:p>
    <w:p>
      <w:pPr>
        <w:pStyle w:val="Heading2"/>
      </w:pPr>
      <w:r>
        <w:t>6.2 Grounding hierarchy</w:t>
      </w:r>
    </w:p>
    <w:p>
      <w:pPr>
        <w:spacing w:after="60"/>
      </w:pPr>
      <w:r>
        <w:rPr>
          <w:rFonts w:ascii="Aptos" w:hAnsi="Aptos"/>
          <w:b/>
          <w:color w:val="081726"/>
          <w:sz w:val="19"/>
        </w:rPr>
        <w:t xml:space="preserve">1. </w:t>
      </w:r>
      <w:r>
        <w:rPr>
          <w:rFonts w:ascii="Aptos" w:hAnsi="Aptos"/>
          <w:color w:val="152A3B"/>
          <w:sz w:val="19"/>
        </w:rPr>
        <w:t>Approved structured regulatory sources and rule citations.</w:t>
      </w:r>
    </w:p>
    <w:p>
      <w:pPr>
        <w:spacing w:after="60"/>
      </w:pPr>
      <w:r>
        <w:rPr>
          <w:rFonts w:ascii="Aptos" w:hAnsi="Aptos"/>
          <w:b/>
          <w:color w:val="081726"/>
          <w:sz w:val="19"/>
        </w:rPr>
        <w:t xml:space="preserve">2. </w:t>
      </w:r>
      <w:r>
        <w:rPr>
          <w:rFonts w:ascii="Aptos" w:hAnsi="Aptos"/>
          <w:color w:val="152A3B"/>
          <w:sz w:val="19"/>
        </w:rPr>
        <w:t>Approved lesson content and jurisdiction explanations.</w:t>
      </w:r>
    </w:p>
    <w:p>
      <w:pPr>
        <w:spacing w:after="60"/>
      </w:pPr>
      <w:r>
        <w:rPr>
          <w:rFonts w:ascii="Aptos" w:hAnsi="Aptos"/>
          <w:b/>
          <w:color w:val="081726"/>
          <w:sz w:val="19"/>
        </w:rPr>
        <w:t xml:space="preserve">3. </w:t>
      </w:r>
      <w:r>
        <w:rPr>
          <w:rFonts w:ascii="Aptos" w:hAnsi="Aptos"/>
          <w:color w:val="152A3B"/>
          <w:sz w:val="19"/>
        </w:rPr>
        <w:t>Deterministic calculation and comparison tools.</w:t>
      </w:r>
    </w:p>
    <w:p>
      <w:pPr>
        <w:spacing w:after="60"/>
      </w:pPr>
      <w:r>
        <w:rPr>
          <w:rFonts w:ascii="Aptos" w:hAnsi="Aptos"/>
          <w:b/>
          <w:color w:val="081726"/>
          <w:sz w:val="19"/>
        </w:rPr>
        <w:t xml:space="preserve">4. </w:t>
      </w:r>
      <w:r>
        <w:rPr>
          <w:rFonts w:ascii="Aptos" w:hAnsi="Aptos"/>
          <w:color w:val="152A3B"/>
          <w:sz w:val="19"/>
        </w:rPr>
        <w:t>Reviewed FinBank synthetic examples and workflow mappings.</w:t>
      </w:r>
    </w:p>
    <w:p>
      <w:pPr>
        <w:spacing w:after="60"/>
      </w:pPr>
      <w:r>
        <w:rPr>
          <w:rFonts w:ascii="Aptos" w:hAnsi="Aptos"/>
          <w:b/>
          <w:color w:val="081726"/>
          <w:sz w:val="19"/>
        </w:rPr>
        <w:t xml:space="preserve">5. </w:t>
      </w:r>
      <w:r>
        <w:rPr>
          <w:rFonts w:ascii="Aptos" w:hAnsi="Aptos"/>
          <w:color w:val="152A3B"/>
          <w:sz w:val="19"/>
        </w:rPr>
        <w:t>General model knowledge only for explanatory analogy or non-authoritative context.</w:t>
      </w:r>
    </w:p>
    <w:p>
      <w:pPr>
        <w:pStyle w:val="Heading2"/>
      </w:pPr>
      <w:r>
        <w:t>6.3 Adaptive learning model</w:t>
      </w:r>
    </w:p>
    <w:p>
      <w:pPr>
        <w:spacing w:after="100"/>
      </w:pPr>
      <w:r>
        <w:rPr>
          <w:rFonts w:ascii="Aptos" w:hAnsi="Aptos"/>
          <w:b w:val="0"/>
          <w:color w:val="152A3B"/>
        </w:rPr>
        <w:t>Do not classify a person as a fixed visual/auditory learner. Adapt from evidence: mastery, repeated misconceptions, response quality, latency, confidence, successful explanation format, practice transfer, preferred language, voice/text preference and spaced-retention checks.</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Signal</w:t>
            </w:r>
          </w:p>
        </w:tc>
        <w:tc>
          <w:tcPr>
            <w:tcW w:type="dxa" w:w="381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Example</w:t>
            </w:r>
          </w:p>
        </w:tc>
        <w:tc>
          <w:tcPr>
            <w:tcW w:type="dxa" w:w="446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Adaptive action</w:t>
            </w:r>
          </w:p>
        </w:tc>
      </w:tr>
      <w:tr>
        <w:tc>
          <w:tcPr>
            <w:tcW w:type="dxa" w:w="1800"/>
            <w:vAlign w:val="center"/>
          </w:tcPr>
          <w:p>
            <w:r>
              <w:rPr>
                <w:rFonts w:ascii="Aptos" w:hAnsi="Aptos"/>
                <w:color w:val="152A3B"/>
                <w:sz w:val="16"/>
              </w:rPr>
              <w:t>Repeated error</w:t>
            </w:r>
          </w:p>
        </w:tc>
        <w:tc>
          <w:tcPr>
            <w:tcW w:type="dxa" w:w="3816"/>
            <w:vAlign w:val="center"/>
          </w:tcPr>
          <w:p>
            <w:r>
              <w:rPr>
                <w:rFonts w:ascii="Aptos" w:hAnsi="Aptos"/>
                <w:color w:val="152A3B"/>
                <w:sz w:val="16"/>
              </w:rPr>
              <w:t>Treats outstanding amount as EAD in all cases</w:t>
            </w:r>
          </w:p>
        </w:tc>
        <w:tc>
          <w:tcPr>
            <w:tcW w:type="dxa" w:w="4464"/>
            <w:vAlign w:val="center"/>
          </w:tcPr>
          <w:p>
            <w:r>
              <w:rPr>
                <w:rFonts w:ascii="Aptos" w:hAnsi="Aptos"/>
                <w:color w:val="152A3B"/>
                <w:sz w:val="16"/>
              </w:rPr>
              <w:t>Insert off-balance-sheet counterexample later</w:t>
            </w:r>
          </w:p>
        </w:tc>
      </w:tr>
      <w:tr>
        <w:tc>
          <w:tcPr>
            <w:tcW w:type="dxa" w:w="1800"/>
            <w:shd w:fill="F8FAFB"/>
            <w:vAlign w:val="center"/>
          </w:tcPr>
          <w:p>
            <w:r>
              <w:rPr>
                <w:rFonts w:ascii="Aptos" w:hAnsi="Aptos"/>
                <w:color w:val="152A3B"/>
                <w:sz w:val="16"/>
              </w:rPr>
              <w:t>High success after worked examples</w:t>
            </w:r>
          </w:p>
        </w:tc>
        <w:tc>
          <w:tcPr>
            <w:tcW w:type="dxa" w:w="3816"/>
            <w:shd w:fill="F8FAFB"/>
            <w:vAlign w:val="center"/>
          </w:tcPr>
          <w:p>
            <w:r>
              <w:rPr>
                <w:rFonts w:ascii="Aptos" w:hAnsi="Aptos"/>
                <w:color w:val="152A3B"/>
                <w:sz w:val="16"/>
              </w:rPr>
              <w:t>Abstract explanation fails; worked example succeeds</w:t>
            </w:r>
          </w:p>
        </w:tc>
        <w:tc>
          <w:tcPr>
            <w:tcW w:type="dxa" w:w="4464"/>
            <w:shd w:fill="F8FAFB"/>
            <w:vAlign w:val="center"/>
          </w:tcPr>
          <w:p>
            <w:r>
              <w:rPr>
                <w:rFonts w:ascii="Aptos" w:hAnsi="Aptos"/>
                <w:color w:val="152A3B"/>
                <w:sz w:val="16"/>
              </w:rPr>
              <w:t>Prefer worked example before independent task</w:t>
            </w:r>
          </w:p>
        </w:tc>
      </w:tr>
      <w:tr>
        <w:tc>
          <w:tcPr>
            <w:tcW w:type="dxa" w:w="1800"/>
            <w:vAlign w:val="center"/>
          </w:tcPr>
          <w:p>
            <w:r>
              <w:rPr>
                <w:rFonts w:ascii="Aptos" w:hAnsi="Aptos"/>
                <w:color w:val="152A3B"/>
                <w:sz w:val="16"/>
              </w:rPr>
              <w:t>Fast correct answers</w:t>
            </w:r>
          </w:p>
        </w:tc>
        <w:tc>
          <w:tcPr>
            <w:tcW w:type="dxa" w:w="3816"/>
            <w:vAlign w:val="center"/>
          </w:tcPr>
          <w:p>
            <w:r>
              <w:rPr>
                <w:rFonts w:ascii="Aptos" w:hAnsi="Aptos"/>
                <w:color w:val="152A3B"/>
                <w:sz w:val="16"/>
              </w:rPr>
              <w:t>Three consecutive high-confidence correct cases</w:t>
            </w:r>
          </w:p>
        </w:tc>
        <w:tc>
          <w:tcPr>
            <w:tcW w:type="dxa" w:w="4464"/>
            <w:vAlign w:val="center"/>
          </w:tcPr>
          <w:p>
            <w:r>
              <w:rPr>
                <w:rFonts w:ascii="Aptos" w:hAnsi="Aptos"/>
                <w:color w:val="152A3B"/>
                <w:sz w:val="16"/>
              </w:rPr>
              <w:t>Increase difficulty / reduce scaffolding</w:t>
            </w:r>
          </w:p>
        </w:tc>
      </w:tr>
      <w:tr>
        <w:tc>
          <w:tcPr>
            <w:tcW w:type="dxa" w:w="1800"/>
            <w:shd w:fill="F8FAFB"/>
            <w:vAlign w:val="center"/>
          </w:tcPr>
          <w:p>
            <w:r>
              <w:rPr>
                <w:rFonts w:ascii="Aptos" w:hAnsi="Aptos"/>
                <w:color w:val="152A3B"/>
                <w:sz w:val="16"/>
              </w:rPr>
              <w:t>Low retention</w:t>
            </w:r>
          </w:p>
        </w:tc>
        <w:tc>
          <w:tcPr>
            <w:tcW w:type="dxa" w:w="3816"/>
            <w:shd w:fill="F8FAFB"/>
            <w:vAlign w:val="center"/>
          </w:tcPr>
          <w:p>
            <w:r>
              <w:rPr>
                <w:rFonts w:ascii="Aptos" w:hAnsi="Aptos"/>
                <w:color w:val="152A3B"/>
                <w:sz w:val="16"/>
              </w:rPr>
              <w:t>Concept mastered then fails 7-day review</w:t>
            </w:r>
          </w:p>
        </w:tc>
        <w:tc>
          <w:tcPr>
            <w:tcW w:type="dxa" w:w="4464"/>
            <w:shd w:fill="F8FAFB"/>
            <w:vAlign w:val="center"/>
          </w:tcPr>
          <w:p>
            <w:r>
              <w:rPr>
                <w:rFonts w:ascii="Aptos" w:hAnsi="Aptos"/>
                <w:color w:val="152A3B"/>
                <w:sz w:val="16"/>
              </w:rPr>
              <w:t>Schedule spaced retrieval practice</w:t>
            </w:r>
          </w:p>
        </w:tc>
      </w:tr>
      <w:tr>
        <w:tc>
          <w:tcPr>
            <w:tcW w:type="dxa" w:w="1800"/>
            <w:vAlign w:val="center"/>
          </w:tcPr>
          <w:p>
            <w:r>
              <w:rPr>
                <w:rFonts w:ascii="Aptos" w:hAnsi="Aptos"/>
                <w:color w:val="152A3B"/>
                <w:sz w:val="16"/>
              </w:rPr>
              <w:t>Arabic chosen for questions</w:t>
            </w:r>
          </w:p>
        </w:tc>
        <w:tc>
          <w:tcPr>
            <w:tcW w:type="dxa" w:w="3816"/>
            <w:vAlign w:val="center"/>
          </w:tcPr>
          <w:p>
            <w:r>
              <w:rPr>
                <w:rFonts w:ascii="Aptos" w:hAnsi="Aptos"/>
                <w:color w:val="152A3B"/>
                <w:sz w:val="16"/>
              </w:rPr>
              <w:t>Learner studies English video but asks in Arabic</w:t>
            </w:r>
          </w:p>
        </w:tc>
        <w:tc>
          <w:tcPr>
            <w:tcW w:type="dxa" w:w="4464"/>
            <w:vAlign w:val="center"/>
          </w:tcPr>
          <w:p>
            <w:r>
              <w:rPr>
                <w:rFonts w:ascii="Aptos" w:hAnsi="Aptos"/>
                <w:color w:val="152A3B"/>
                <w:sz w:val="16"/>
              </w:rPr>
              <w:t>Answer Arabic while retaining English banking terminology mode</w:t>
            </w:r>
          </w:p>
        </w:tc>
      </w:tr>
      <w:tr>
        <w:tc>
          <w:tcPr>
            <w:tcW w:type="dxa" w:w="1800"/>
            <w:shd w:fill="F8FAFB"/>
            <w:vAlign w:val="center"/>
          </w:tcPr>
          <w:p>
            <w:r>
              <w:rPr>
                <w:rFonts w:ascii="Aptos" w:hAnsi="Aptos"/>
                <w:color w:val="152A3B"/>
                <w:sz w:val="16"/>
              </w:rPr>
              <w:t>Viva reasoning weak</w:t>
            </w:r>
          </w:p>
        </w:tc>
        <w:tc>
          <w:tcPr>
            <w:tcW w:type="dxa" w:w="3816"/>
            <w:shd w:fill="F8FAFB"/>
            <w:vAlign w:val="center"/>
          </w:tcPr>
          <w:p>
            <w:r>
              <w:rPr>
                <w:rFonts w:ascii="Aptos" w:hAnsi="Aptos"/>
                <w:color w:val="152A3B"/>
                <w:sz w:val="16"/>
              </w:rPr>
              <w:t>Correct numeric answer without rule reasoning</w:t>
            </w:r>
          </w:p>
        </w:tc>
        <w:tc>
          <w:tcPr>
            <w:tcW w:type="dxa" w:w="4464"/>
            <w:shd w:fill="F8FAFB"/>
            <w:vAlign w:val="center"/>
          </w:tcPr>
          <w:p>
            <w:r>
              <w:rPr>
                <w:rFonts w:ascii="Aptos" w:hAnsi="Aptos"/>
                <w:color w:val="152A3B"/>
                <w:sz w:val="16"/>
              </w:rPr>
              <w:t>Recommend jurisdiction/rule interpretation practice</w:t>
            </w:r>
          </w:p>
        </w:tc>
      </w:tr>
    </w:tbl>
    <w:p>
      <w:pPr>
        <w:spacing w:after="20"/>
      </w:pPr>
    </w:p>
    <w:p>
      <w:pPr>
        <w:pStyle w:val="Heading2"/>
      </w:pPr>
      <w:r>
        <w:t>6.4 AI safety/correctness gates</w:t>
      </w:r>
    </w:p>
    <w:p>
      <w:pPr>
        <w:pStyle w:val="ListBullet"/>
        <w:spacing w:after="40"/>
      </w:pPr>
      <w:r>
        <w:rPr>
          <w:rFonts w:ascii="Aptos" w:hAnsi="Aptos"/>
          <w:color w:val="152A3B"/>
          <w:sz w:val="19"/>
        </w:rPr>
        <w:t>No fabricated paragraph numbers, citations, effective dates, report fields or numerical results.</w:t>
      </w:r>
    </w:p>
    <w:p>
      <w:pPr>
        <w:pStyle w:val="ListBullet"/>
        <w:spacing w:after="40"/>
      </w:pPr>
      <w:r>
        <w:rPr>
          <w:rFonts w:ascii="Aptos" w:hAnsi="Aptos"/>
          <w:color w:val="152A3B"/>
          <w:sz w:val="19"/>
        </w:rPr>
        <w:t>No conversion of proposal/consultation into effective rule status.</w:t>
      </w:r>
    </w:p>
    <w:p>
      <w:pPr>
        <w:pStyle w:val="ListBullet"/>
        <w:spacing w:after="40"/>
      </w:pPr>
      <w:r>
        <w:rPr>
          <w:rFonts w:ascii="Aptos" w:hAnsi="Aptos"/>
          <w:color w:val="152A3B"/>
          <w:sz w:val="19"/>
        </w:rPr>
        <w:t>No authoritative numerical response if required calculator fails.</w:t>
      </w:r>
    </w:p>
    <w:p>
      <w:pPr>
        <w:pStyle w:val="ListBullet"/>
        <w:spacing w:after="40"/>
      </w:pPr>
      <w:r>
        <w:rPr>
          <w:rFonts w:ascii="Aptos" w:hAnsi="Aptos"/>
          <w:color w:val="152A3B"/>
          <w:sz w:val="19"/>
        </w:rPr>
        <w:t>Retrieved documents are untrusted input for prompt injection; only structured approved content is authoritative.</w:t>
      </w:r>
    </w:p>
    <w:p>
      <w:pPr>
        <w:pStyle w:val="ListBullet"/>
        <w:spacing w:after="40"/>
      </w:pPr>
      <w:r>
        <w:rPr>
          <w:rFonts w:ascii="Aptos" w:hAnsi="Aptos"/>
          <w:color w:val="152A3B"/>
          <w:sz w:val="19"/>
        </w:rPr>
        <w:t>All provider/model/prompt versions are logged for reproducibility and evaluations.</w:t>
      </w:r>
    </w:p>
    <w:p>
      <w:pPr>
        <w:pStyle w:val="ListBullet"/>
        <w:spacing w:after="40"/>
      </w:pPr>
      <w:r>
        <w:rPr>
          <w:rFonts w:ascii="Aptos" w:hAnsi="Aptos"/>
          <w:color w:val="152A3B"/>
          <w:sz w:val="19"/>
        </w:rPr>
        <w:t>Tutor must have a feature-level kill switch and fallback to text-only/source-only experience.</w:t>
      </w:r>
    </w:p>
    <w:p>
      <w:pPr>
        <w:pStyle w:val="Heading1"/>
      </w:pPr>
      <w:r>
        <w:t>7. Regulatory Knowledge and Content Model</w:t>
      </w:r>
    </w:p>
    <w:p>
      <w:pPr>
        <w:pStyle w:val="Heading2"/>
      </w:pPr>
      <w:r>
        <w:t>7.1 Canonical model</w:t>
      </w:r>
    </w:p>
    <w:p>
      <w:pPr>
        <w:spacing w:after="100"/>
      </w:pPr>
      <w:r>
        <w:rPr>
          <w:rFonts w:ascii="Aptos" w:hAnsi="Aptos"/>
          <w:b w:val="0"/>
          <w:color w:val="152A3B"/>
        </w:rPr>
        <w:t>Use the consolidated BCBS Basel Framework as the canonical prudential concept layer, then map U.S., SAMA and CBUAE jurisdiction implementations. The Basel Committee describes the consolidated Framework as the integrated home for current and forthcoming Basel standards. The March 19, 2026 U.S. capital package is a proposal and must therefore remain explicitly versioned/status-labelled in the learning product. [R9][R12]</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Entity</w:t>
            </w:r>
          </w:p>
        </w:tc>
        <w:tc>
          <w:tcPr>
            <w:tcW w:type="dxa" w:w="316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Purpose</w:t>
            </w:r>
          </w:p>
        </w:tc>
        <w:tc>
          <w:tcPr>
            <w:tcW w:type="dxa" w:w="496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Key fields</w:t>
            </w:r>
          </w:p>
        </w:tc>
      </w:tr>
      <w:tr>
        <w:tc>
          <w:tcPr>
            <w:tcW w:type="dxa" w:w="1800"/>
            <w:vAlign w:val="center"/>
          </w:tcPr>
          <w:p>
            <w:r>
              <w:rPr>
                <w:rFonts w:ascii="Aptos" w:hAnsi="Aptos"/>
                <w:color w:val="152A3B"/>
                <w:sz w:val="16"/>
              </w:rPr>
              <w:t>RegulatorySource</w:t>
            </w:r>
          </w:p>
        </w:tc>
        <w:tc>
          <w:tcPr>
            <w:tcW w:type="dxa" w:w="3168"/>
            <w:vAlign w:val="center"/>
          </w:tcPr>
          <w:p>
            <w:r>
              <w:rPr>
                <w:rFonts w:ascii="Aptos" w:hAnsi="Aptos"/>
                <w:color w:val="152A3B"/>
                <w:sz w:val="16"/>
              </w:rPr>
              <w:t>Authority/source registry</w:t>
            </w:r>
          </w:p>
        </w:tc>
        <w:tc>
          <w:tcPr>
            <w:tcW w:type="dxa" w:w="4968"/>
            <w:vAlign w:val="center"/>
          </w:tcPr>
          <w:p>
            <w:r>
              <w:rPr>
                <w:rFonts w:ascii="Aptos" w:hAnsi="Aptos"/>
                <w:color w:val="152A3B"/>
                <w:sz w:val="16"/>
              </w:rPr>
              <w:t>authority, jurisdiction, canonical URL</w:t>
            </w:r>
          </w:p>
        </w:tc>
      </w:tr>
      <w:tr>
        <w:tc>
          <w:tcPr>
            <w:tcW w:type="dxa" w:w="1800"/>
            <w:shd w:fill="F8FAFB"/>
            <w:vAlign w:val="center"/>
          </w:tcPr>
          <w:p>
            <w:r>
              <w:rPr>
                <w:rFonts w:ascii="Aptos" w:hAnsi="Aptos"/>
                <w:color w:val="152A3B"/>
                <w:sz w:val="16"/>
              </w:rPr>
              <w:t>RegulatoryDocument</w:t>
            </w:r>
          </w:p>
        </w:tc>
        <w:tc>
          <w:tcPr>
            <w:tcW w:type="dxa" w:w="3168"/>
            <w:shd w:fill="F8FAFB"/>
            <w:vAlign w:val="center"/>
          </w:tcPr>
          <w:p>
            <w:r>
              <w:rPr>
                <w:rFonts w:ascii="Aptos" w:hAnsi="Aptos"/>
                <w:color w:val="152A3B"/>
                <w:sz w:val="16"/>
              </w:rPr>
              <w:t>Versioned publication</w:t>
            </w:r>
          </w:p>
        </w:tc>
        <w:tc>
          <w:tcPr>
            <w:tcW w:type="dxa" w:w="4968"/>
            <w:shd w:fill="F8FAFB"/>
            <w:vAlign w:val="center"/>
          </w:tcPr>
          <w:p>
            <w:r>
              <w:rPr>
                <w:rFonts w:ascii="Aptos" w:hAnsi="Aptos"/>
                <w:color w:val="152A3B"/>
                <w:sz w:val="16"/>
              </w:rPr>
              <w:t>status, publication/effective dates, hash</w:t>
            </w:r>
          </w:p>
        </w:tc>
      </w:tr>
      <w:tr>
        <w:tc>
          <w:tcPr>
            <w:tcW w:type="dxa" w:w="1800"/>
            <w:vAlign w:val="center"/>
          </w:tcPr>
          <w:p>
            <w:r>
              <w:rPr>
                <w:rFonts w:ascii="Aptos" w:hAnsi="Aptos"/>
                <w:color w:val="152A3B"/>
                <w:sz w:val="16"/>
              </w:rPr>
              <w:t>Rule</w:t>
            </w:r>
          </w:p>
        </w:tc>
        <w:tc>
          <w:tcPr>
            <w:tcW w:type="dxa" w:w="3168"/>
            <w:vAlign w:val="center"/>
          </w:tcPr>
          <w:p>
            <w:r>
              <w:rPr>
                <w:rFonts w:ascii="Aptos" w:hAnsi="Aptos"/>
                <w:color w:val="152A3B"/>
                <w:sz w:val="16"/>
              </w:rPr>
              <w:t>Canonical concept/rule</w:t>
            </w:r>
          </w:p>
        </w:tc>
        <w:tc>
          <w:tcPr>
            <w:tcW w:type="dxa" w:w="4968"/>
            <w:vAlign w:val="center"/>
          </w:tcPr>
          <w:p>
            <w:r>
              <w:rPr>
                <w:rFonts w:ascii="Aptos" w:hAnsi="Aptos"/>
                <w:color w:val="152A3B"/>
                <w:sz w:val="16"/>
              </w:rPr>
              <w:t>canonical ID, module, concept</w:t>
            </w:r>
          </w:p>
        </w:tc>
      </w:tr>
      <w:tr>
        <w:tc>
          <w:tcPr>
            <w:tcW w:type="dxa" w:w="1800"/>
            <w:shd w:fill="F8FAFB"/>
            <w:vAlign w:val="center"/>
          </w:tcPr>
          <w:p>
            <w:r>
              <w:rPr>
                <w:rFonts w:ascii="Aptos" w:hAnsi="Aptos"/>
                <w:color w:val="152A3B"/>
                <w:sz w:val="16"/>
              </w:rPr>
              <w:t>JurisdictionRule</w:t>
            </w:r>
          </w:p>
        </w:tc>
        <w:tc>
          <w:tcPr>
            <w:tcW w:type="dxa" w:w="3168"/>
            <w:shd w:fill="F8FAFB"/>
            <w:vAlign w:val="center"/>
          </w:tcPr>
          <w:p>
            <w:r>
              <w:rPr>
                <w:rFonts w:ascii="Aptos" w:hAnsi="Aptos"/>
                <w:color w:val="152A3B"/>
                <w:sz w:val="16"/>
              </w:rPr>
              <w:t>Local implementation</w:t>
            </w:r>
          </w:p>
        </w:tc>
        <w:tc>
          <w:tcPr>
            <w:tcW w:type="dxa" w:w="4968"/>
            <w:shd w:fill="F8FAFB"/>
            <w:vAlign w:val="center"/>
          </w:tcPr>
          <w:p>
            <w:r>
              <w:rPr>
                <w:rFonts w:ascii="Aptos" w:hAnsi="Aptos"/>
                <w:color w:val="152A3B"/>
                <w:sz w:val="16"/>
              </w:rPr>
              <w:t>jurisdiction, status, effective range, source mapping</w:t>
            </w:r>
          </w:p>
        </w:tc>
      </w:tr>
      <w:tr>
        <w:tc>
          <w:tcPr>
            <w:tcW w:type="dxa" w:w="1800"/>
            <w:vAlign w:val="center"/>
          </w:tcPr>
          <w:p>
            <w:r>
              <w:rPr>
                <w:rFonts w:ascii="Aptos" w:hAnsi="Aptos"/>
                <w:color w:val="152A3B"/>
                <w:sz w:val="16"/>
              </w:rPr>
              <w:t>RuleCitation</w:t>
            </w:r>
          </w:p>
        </w:tc>
        <w:tc>
          <w:tcPr>
            <w:tcW w:type="dxa" w:w="3168"/>
            <w:vAlign w:val="center"/>
          </w:tcPr>
          <w:p>
            <w:r>
              <w:rPr>
                <w:rFonts w:ascii="Aptos" w:hAnsi="Aptos"/>
                <w:color w:val="152A3B"/>
                <w:sz w:val="16"/>
              </w:rPr>
              <w:t>Exact evidence locator</w:t>
            </w:r>
          </w:p>
        </w:tc>
        <w:tc>
          <w:tcPr>
            <w:tcW w:type="dxa" w:w="4968"/>
            <w:vAlign w:val="center"/>
          </w:tcPr>
          <w:p>
            <w:r>
              <w:rPr>
                <w:rFonts w:ascii="Aptos" w:hAnsi="Aptos"/>
                <w:color w:val="152A3B"/>
                <w:sz w:val="16"/>
              </w:rPr>
              <w:t>document, locator, excerpt metadata</w:t>
            </w:r>
          </w:p>
        </w:tc>
      </w:tr>
      <w:tr>
        <w:tc>
          <w:tcPr>
            <w:tcW w:type="dxa" w:w="1800"/>
            <w:shd w:fill="F8FAFB"/>
            <w:vAlign w:val="center"/>
          </w:tcPr>
          <w:p>
            <w:r>
              <w:rPr>
                <w:rFonts w:ascii="Aptos" w:hAnsi="Aptos"/>
                <w:color w:val="152A3B"/>
                <w:sz w:val="16"/>
              </w:rPr>
              <w:t>Concept</w:t>
            </w:r>
          </w:p>
        </w:tc>
        <w:tc>
          <w:tcPr>
            <w:tcW w:type="dxa" w:w="3168"/>
            <w:shd w:fill="F8FAFB"/>
            <w:vAlign w:val="center"/>
          </w:tcPr>
          <w:p>
            <w:r>
              <w:rPr>
                <w:rFonts w:ascii="Aptos" w:hAnsi="Aptos"/>
                <w:color w:val="152A3B"/>
                <w:sz w:val="16"/>
              </w:rPr>
              <w:t>Learning graph node</w:t>
            </w:r>
          </w:p>
        </w:tc>
        <w:tc>
          <w:tcPr>
            <w:tcW w:type="dxa" w:w="4968"/>
            <w:shd w:fill="F8FAFB"/>
            <w:vAlign w:val="center"/>
          </w:tcPr>
          <w:p>
            <w:r>
              <w:rPr>
                <w:rFonts w:ascii="Aptos" w:hAnsi="Aptos"/>
                <w:color w:val="152A3B"/>
                <w:sz w:val="16"/>
              </w:rPr>
              <w:t>prerequisites, glossary, mastery rubric</w:t>
            </w:r>
          </w:p>
        </w:tc>
      </w:tr>
      <w:tr>
        <w:tc>
          <w:tcPr>
            <w:tcW w:type="dxa" w:w="1800"/>
            <w:vAlign w:val="center"/>
          </w:tcPr>
          <w:p>
            <w:r>
              <w:rPr>
                <w:rFonts w:ascii="Aptos" w:hAnsi="Aptos"/>
                <w:color w:val="152A3B"/>
                <w:sz w:val="16"/>
              </w:rPr>
              <w:t>LessonVersion</w:t>
            </w:r>
          </w:p>
        </w:tc>
        <w:tc>
          <w:tcPr>
            <w:tcW w:type="dxa" w:w="3168"/>
            <w:vAlign w:val="center"/>
          </w:tcPr>
          <w:p>
            <w:r>
              <w:rPr>
                <w:rFonts w:ascii="Aptos" w:hAnsi="Aptos"/>
                <w:color w:val="152A3B"/>
                <w:sz w:val="16"/>
              </w:rPr>
              <w:t>Published learning object</w:t>
            </w:r>
          </w:p>
        </w:tc>
        <w:tc>
          <w:tcPr>
            <w:tcW w:type="dxa" w:w="4968"/>
            <w:vAlign w:val="center"/>
          </w:tcPr>
          <w:p>
            <w:r>
              <w:rPr>
                <w:rFonts w:ascii="Aptos" w:hAnsi="Aptos"/>
                <w:color w:val="152A3B"/>
                <w:sz w:val="16"/>
              </w:rPr>
              <w:t>locale, rule versions, review state</w:t>
            </w:r>
          </w:p>
        </w:tc>
      </w:tr>
      <w:tr>
        <w:tc>
          <w:tcPr>
            <w:tcW w:type="dxa" w:w="1800"/>
            <w:shd w:fill="F8FAFB"/>
            <w:vAlign w:val="center"/>
          </w:tcPr>
          <w:p>
            <w:r>
              <w:rPr>
                <w:rFonts w:ascii="Aptos" w:hAnsi="Aptos"/>
                <w:color w:val="152A3B"/>
                <w:sz w:val="16"/>
              </w:rPr>
              <w:t>LessonSegment</w:t>
            </w:r>
          </w:p>
        </w:tc>
        <w:tc>
          <w:tcPr>
            <w:tcW w:type="dxa" w:w="3168"/>
            <w:shd w:fill="F8FAFB"/>
            <w:vAlign w:val="center"/>
          </w:tcPr>
          <w:p>
            <w:r>
              <w:rPr>
                <w:rFonts w:ascii="Aptos" w:hAnsi="Aptos"/>
                <w:color w:val="152A3B"/>
                <w:sz w:val="16"/>
              </w:rPr>
              <w:t>Video/tutor context</w:t>
            </w:r>
          </w:p>
        </w:tc>
        <w:tc>
          <w:tcPr>
            <w:tcW w:type="dxa" w:w="4968"/>
            <w:shd w:fill="F8FAFB"/>
            <w:vAlign w:val="center"/>
          </w:tcPr>
          <w:p>
            <w:r>
              <w:rPr>
                <w:rFonts w:ascii="Aptos" w:hAnsi="Aptos"/>
                <w:color w:val="152A3B"/>
                <w:sz w:val="16"/>
              </w:rPr>
              <w:t>timestamps, concepts, rules, example/tool context</w:t>
            </w:r>
          </w:p>
        </w:tc>
      </w:tr>
    </w:tbl>
    <w:p>
      <w:pPr>
        <w:spacing w:after="20"/>
      </w:pPr>
    </w:p>
    <w:p>
      <w:pPr>
        <w:pStyle w:val="Heading2"/>
      </w:pPr>
      <w:r>
        <w:t>7.2 Publication state machine</w:t>
      </w:r>
    </w:p>
    <w:p>
      <w:pPr>
        <w:spacing w:after="100"/>
      </w:pPr>
      <w:r>
        <w:rPr>
          <w:rFonts w:ascii="Aptos" w:hAnsi="Aptos"/>
          <w:b w:val="0"/>
          <w:color w:val="152A3B"/>
        </w:rPr>
        <w:t>Draft -&gt; automated validation -&gt; primary SME review -&gt; calculation/test verification -&gt; editorial/localization review -&gt; approved -&gt; published -&gt; superseded/withdrawn. Published versions are immutable. Corrections create new versions so learner history remains reproducible.</w:t>
      </w:r>
    </w:p>
    <w:p>
      <w:pPr>
        <w:spacing w:after="40"/>
        <w:jc w:val="center"/>
      </w:pPr>
      <w:r>
        <w:drawing>
          <wp:inline xmlns:a="http://schemas.openxmlformats.org/drawingml/2006/main" xmlns:pic="http://schemas.openxmlformats.org/drawingml/2006/picture">
            <wp:extent cx="6400800" cy="3720465"/>
            <wp:docPr id="3" name="Picture 3"/>
            <wp:cNvGraphicFramePr>
              <a:graphicFrameLocks noChangeAspect="1"/>
            </wp:cNvGraphicFramePr>
            <a:graphic>
              <a:graphicData uri="http://schemas.openxmlformats.org/drawingml/2006/picture">
                <pic:pic>
                  <pic:nvPicPr>
                    <pic:cNvPr id="0" name="content_flow.png"/>
                    <pic:cNvPicPr/>
                  </pic:nvPicPr>
                  <pic:blipFill>
                    <a:blip r:embed="rId13"/>
                    <a:stretch>
                      <a:fillRect/>
                    </a:stretch>
                  </pic:blipFill>
                  <pic:spPr>
                    <a:xfrm>
                      <a:off x="0" y="0"/>
                      <a:ext cx="6400800" cy="3720465"/>
                    </a:xfrm>
                    <a:prstGeom prst="rect"/>
                  </pic:spPr>
                </pic:pic>
              </a:graphicData>
            </a:graphic>
          </wp:inline>
        </w:drawing>
      </w:r>
    </w:p>
    <w:p>
      <w:pPr>
        <w:spacing w:after="120"/>
        <w:jc w:val="center"/>
      </w:pPr>
      <w:r>
        <w:rPr>
          <w:rFonts w:ascii="Aptos" w:hAnsi="Aptos"/>
          <w:color w:val="617789"/>
          <w:sz w:val="16"/>
        </w:rPr>
        <w:t>Figure 2 — Regulatory and media content publication workflow.</w:t>
      </w:r>
    </w:p>
    <w:p>
      <w:pPr>
        <w:pStyle w:val="Heading1"/>
      </w:pPr>
      <w:r>
        <w:t>8. FinBank and Deterministic Calculation Layer</w:t>
      </w:r>
    </w:p>
    <w:p>
      <w:pPr>
        <w:pStyle w:val="Heading2"/>
      </w:pPr>
      <w:r>
        <w:t>8.1 FinBank purpose</w:t>
      </w:r>
    </w:p>
    <w:p>
      <w:pPr>
        <w:spacing w:after="100"/>
      </w:pPr>
      <w:r>
        <w:rPr>
          <w:rFonts w:ascii="Aptos" w:hAnsi="Aptos"/>
          <w:b w:val="0"/>
          <w:color w:val="152A3B"/>
        </w:rPr>
        <w:t>FinBank is a reusable synthetic digital bank. The same corporate loan can later appear in Basel, profitability, FTP, ALM, reporting and AML learning contexts. V1 includes a small deterministic corporate-loan universe; future Pods enrich the same canonical product/customer/account model.</w:t>
      </w:r>
    </w:p>
    <w:p>
      <w:pPr>
        <w:pStyle w:val="Heading2"/>
      </w:pPr>
      <w:r>
        <w:t>8.2 Calculation service contract</w:t>
      </w:r>
    </w:p>
    <w:tbl>
      <w:tblPr>
        <w:tblStyle w:val="TableGrid"/>
        <w:tblW w:type="auto" w:w="0"/>
        <w:jc w:val="center"/>
        <w:tblLook w:firstColumn="1" w:firstRow="1" w:lastColumn="0" w:lastRow="0" w:noHBand="0" w:noVBand="1" w:val="04A0"/>
      </w:tblPr>
      <w:tblGrid>
        <w:gridCol w:w="3389"/>
        <w:gridCol w:w="3389"/>
        <w:gridCol w:w="3389"/>
      </w:tblGrid>
      <w:tr>
        <w:tc>
          <w:tcPr>
            <w:tcW w:type="dxa" w:w="309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Input</w:t>
            </w:r>
          </w:p>
        </w:tc>
        <w:tc>
          <w:tcPr>
            <w:tcW w:type="dxa" w:w="360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Output</w:t>
            </w:r>
          </w:p>
        </w:tc>
        <w:tc>
          <w:tcPr>
            <w:tcW w:type="dxa" w:w="338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Required metadata</w:t>
            </w:r>
          </w:p>
        </w:tc>
      </w:tr>
      <w:tr>
        <w:tc>
          <w:tcPr>
            <w:tcW w:type="dxa" w:w="3096"/>
            <w:vAlign w:val="center"/>
          </w:tcPr>
          <w:p>
            <w:r>
              <w:rPr>
                <w:rFonts w:ascii="Aptos" w:hAnsi="Aptos"/>
                <w:color w:val="152A3B"/>
                <w:sz w:val="16"/>
              </w:rPr>
              <w:t>Exposure fixture or learner-modified values</w:t>
            </w:r>
          </w:p>
        </w:tc>
        <w:tc>
          <w:tcPr>
            <w:tcW w:type="dxa" w:w="3600"/>
            <w:vAlign w:val="center"/>
          </w:tcPr>
          <w:p>
            <w:r>
              <w:rPr>
                <w:rFonts w:ascii="Aptos" w:hAnsi="Aptos"/>
                <w:color w:val="152A3B"/>
                <w:sz w:val="16"/>
              </w:rPr>
              <w:t>classification, EAD, RW, RWA, capital teaching outputs</w:t>
            </w:r>
          </w:p>
        </w:tc>
        <w:tc>
          <w:tcPr>
            <w:tcW w:type="dxa" w:w="3384"/>
            <w:vAlign w:val="center"/>
          </w:tcPr>
          <w:p>
            <w:r>
              <w:rPr>
                <w:rFonts w:ascii="Aptos" w:hAnsi="Aptos"/>
                <w:color w:val="152A3B"/>
                <w:sz w:val="16"/>
              </w:rPr>
              <w:t>jurisdiction, ruleset version, input hash, rule IDs</w:t>
            </w:r>
          </w:p>
        </w:tc>
      </w:tr>
      <w:tr>
        <w:tc>
          <w:tcPr>
            <w:tcW w:type="dxa" w:w="3096"/>
            <w:shd w:fill="F8FAFB"/>
            <w:vAlign w:val="center"/>
          </w:tcPr>
          <w:p>
            <w:r>
              <w:rPr>
                <w:rFonts w:ascii="Aptos" w:hAnsi="Aptos"/>
                <w:color w:val="152A3B"/>
                <w:sz w:val="16"/>
              </w:rPr>
              <w:t>Two jurisdictions/rulesets</w:t>
            </w:r>
          </w:p>
        </w:tc>
        <w:tc>
          <w:tcPr>
            <w:tcW w:type="dxa" w:w="3600"/>
            <w:shd w:fill="F8FAFB"/>
            <w:vAlign w:val="center"/>
          </w:tcPr>
          <w:p>
            <w:r>
              <w:rPr>
                <w:rFonts w:ascii="Aptos" w:hAnsi="Aptos"/>
                <w:color w:val="152A3B"/>
                <w:sz w:val="16"/>
              </w:rPr>
              <w:t>side-by-side results + structured delta</w:t>
            </w:r>
          </w:p>
        </w:tc>
        <w:tc>
          <w:tcPr>
            <w:tcW w:type="dxa" w:w="3384"/>
            <w:shd w:fill="F8FAFB"/>
            <w:vAlign w:val="center"/>
          </w:tcPr>
          <w:p>
            <w:r>
              <w:rPr>
                <w:rFonts w:ascii="Aptos" w:hAnsi="Aptos"/>
                <w:color w:val="152A3B"/>
                <w:sz w:val="16"/>
              </w:rPr>
              <w:t>both ruleset versions, reasons/citations</w:t>
            </w:r>
          </w:p>
        </w:tc>
      </w:tr>
      <w:tr>
        <w:tc>
          <w:tcPr>
            <w:tcW w:type="dxa" w:w="3096"/>
            <w:vAlign w:val="center"/>
          </w:tcPr>
          <w:p>
            <w:r>
              <w:rPr>
                <w:rFonts w:ascii="Aptos" w:hAnsi="Aptos"/>
                <w:color w:val="152A3B"/>
                <w:sz w:val="16"/>
              </w:rPr>
              <w:t>Invalid/incomplete input</w:t>
            </w:r>
          </w:p>
        </w:tc>
        <w:tc>
          <w:tcPr>
            <w:tcW w:type="dxa" w:w="3600"/>
            <w:vAlign w:val="center"/>
          </w:tcPr>
          <w:p>
            <w:r>
              <w:rPr>
                <w:rFonts w:ascii="Aptos" w:hAnsi="Aptos"/>
                <w:color w:val="152A3B"/>
                <w:sz w:val="16"/>
              </w:rPr>
              <w:t>typed validation errors and missing-data requirements</w:t>
            </w:r>
          </w:p>
        </w:tc>
        <w:tc>
          <w:tcPr>
            <w:tcW w:type="dxa" w:w="3384"/>
            <w:vAlign w:val="center"/>
          </w:tcPr>
          <w:p>
            <w:r>
              <w:rPr>
                <w:rFonts w:ascii="Aptos" w:hAnsi="Aptos"/>
                <w:color w:val="152A3B"/>
                <w:sz w:val="16"/>
              </w:rPr>
              <w:t>no guessed defaults unless rule explicitly defines one</w:t>
            </w:r>
          </w:p>
        </w:tc>
      </w:tr>
    </w:tbl>
    <w:p>
      <w:pPr>
        <w:spacing w:after="20"/>
      </w:pPr>
    </w:p>
    <w:p>
      <w:pPr>
        <w:pStyle w:val="Heading2"/>
      </w:pPr>
      <w:r>
        <w:t>8.3 Precision rule</w:t>
      </w:r>
    </w:p>
    <w:p>
      <w:pPr>
        <w:spacing w:after="100"/>
      </w:pPr>
      <w:r>
        <w:rPr>
          <w:rFonts w:ascii="Aptos" w:hAnsi="Aptos"/>
          <w:b w:val="0"/>
          <w:color w:val="152A3B"/>
        </w:rPr>
        <w:t>Authoritative monetary/risk calculations use Decimal/fixed-point policies and deterministic code. UI may format values, but it must never recompute authoritative results with floating-point JavaScript logic.</w:t>
      </w:r>
    </w:p>
    <w:p>
      <w:pPr>
        <w:pStyle w:val="Heading1"/>
      </w:pPr>
      <w:r>
        <w:t>9.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Domain</w:t>
            </w:r>
          </w:p>
        </w:tc>
        <w:tc>
          <w:tcPr>
            <w:tcW w:type="dxa" w:w="489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Core tables / aggregates</w:t>
            </w:r>
          </w:p>
        </w:tc>
        <w:tc>
          <w:tcPr>
            <w:tcW w:type="dxa" w:w="374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Notes</w:t>
            </w:r>
          </w:p>
        </w:tc>
      </w:tr>
      <w:tr>
        <w:tc>
          <w:tcPr>
            <w:tcW w:type="dxa" w:w="1440"/>
            <w:vAlign w:val="center"/>
          </w:tcPr>
          <w:p>
            <w:r>
              <w:rPr>
                <w:rFonts w:ascii="Aptos" w:hAnsi="Aptos"/>
                <w:color w:val="152A3B"/>
                <w:sz w:val="15"/>
              </w:rPr>
              <w:t>Identity/tenant</w:t>
            </w:r>
          </w:p>
        </w:tc>
        <w:tc>
          <w:tcPr>
            <w:tcW w:type="dxa" w:w="4896"/>
            <w:vAlign w:val="center"/>
          </w:tcPr>
          <w:p>
            <w:r>
              <w:rPr>
                <w:rFonts w:ascii="Aptos" w:hAnsi="Aptos"/>
                <w:color w:val="152A3B"/>
                <w:sz w:val="15"/>
              </w:rPr>
              <w:t>tenant, user, role, entitlement, subscription</w:t>
            </w:r>
          </w:p>
        </w:tc>
        <w:tc>
          <w:tcPr>
            <w:tcW w:type="dxa" w:w="3744"/>
            <w:vAlign w:val="center"/>
          </w:tcPr>
          <w:p>
            <w:r>
              <w:rPr>
                <w:rFonts w:ascii="Aptos" w:hAnsi="Aptos"/>
                <w:color w:val="152A3B"/>
                <w:sz w:val="15"/>
              </w:rPr>
              <w:t>Design tenant-ready from V1; enterprise features later</w:t>
            </w:r>
          </w:p>
        </w:tc>
      </w:tr>
      <w:tr>
        <w:tc>
          <w:tcPr>
            <w:tcW w:type="dxa" w:w="1440"/>
            <w:shd w:fill="F8FAFB"/>
            <w:vAlign w:val="center"/>
          </w:tcPr>
          <w:p>
            <w:r>
              <w:rPr>
                <w:rFonts w:ascii="Aptos" w:hAnsi="Aptos"/>
                <w:color w:val="152A3B"/>
                <w:sz w:val="15"/>
              </w:rPr>
              <w:t>Content</w:t>
            </w:r>
          </w:p>
        </w:tc>
        <w:tc>
          <w:tcPr>
            <w:tcW w:type="dxa" w:w="4896"/>
            <w:shd w:fill="F8FAFB"/>
            <w:vAlign w:val="center"/>
          </w:tcPr>
          <w:p>
            <w:r>
              <w:rPr>
                <w:rFonts w:ascii="Aptos" w:hAnsi="Aptos"/>
                <w:color w:val="152A3B"/>
                <w:sz w:val="15"/>
              </w:rPr>
              <w:t>source, document, rule, jurisdiction_rule, citation, concept, lesson, lesson_version, segment</w:t>
            </w:r>
          </w:p>
        </w:tc>
        <w:tc>
          <w:tcPr>
            <w:tcW w:type="dxa" w:w="3744"/>
            <w:shd w:fill="F8FAFB"/>
            <w:vAlign w:val="center"/>
          </w:tcPr>
          <w:p>
            <w:r>
              <w:rPr>
                <w:rFonts w:ascii="Aptos" w:hAnsi="Aptos"/>
                <w:color w:val="152A3B"/>
                <w:sz w:val="15"/>
              </w:rPr>
              <w:t>Published content immutable</w:t>
            </w:r>
          </w:p>
        </w:tc>
      </w:tr>
      <w:tr>
        <w:tc>
          <w:tcPr>
            <w:tcW w:type="dxa" w:w="1440"/>
            <w:vAlign w:val="center"/>
          </w:tcPr>
          <w:p>
            <w:r>
              <w:rPr>
                <w:rFonts w:ascii="Aptos" w:hAnsi="Aptos"/>
                <w:color w:val="152A3B"/>
                <w:sz w:val="15"/>
              </w:rPr>
              <w:t>Media</w:t>
            </w:r>
          </w:p>
        </w:tc>
        <w:tc>
          <w:tcPr>
            <w:tcW w:type="dxa" w:w="4896"/>
            <w:vAlign w:val="center"/>
          </w:tcPr>
          <w:p>
            <w:r>
              <w:rPr>
                <w:rFonts w:ascii="Aptos" w:hAnsi="Aptos"/>
                <w:color w:val="152A3B"/>
                <w:sz w:val="15"/>
              </w:rPr>
              <w:t>asset, rendition, caption_track, voice_asset, provenance</w:t>
            </w:r>
          </w:p>
        </w:tc>
        <w:tc>
          <w:tcPr>
            <w:tcW w:type="dxa" w:w="3744"/>
            <w:vAlign w:val="center"/>
          </w:tcPr>
          <w:p>
            <w:r>
              <w:rPr>
                <w:rFonts w:ascii="Aptos" w:hAnsi="Aptos"/>
                <w:color w:val="152A3B"/>
                <w:sz w:val="15"/>
              </w:rPr>
              <w:t>Store provider/provenance and rights metadata</w:t>
            </w:r>
          </w:p>
        </w:tc>
      </w:tr>
      <w:tr>
        <w:tc>
          <w:tcPr>
            <w:tcW w:type="dxa" w:w="1440"/>
            <w:shd w:fill="F8FAFB"/>
            <w:vAlign w:val="center"/>
          </w:tcPr>
          <w:p>
            <w:r>
              <w:rPr>
                <w:rFonts w:ascii="Aptos" w:hAnsi="Aptos"/>
                <w:color w:val="152A3B"/>
                <w:sz w:val="15"/>
              </w:rPr>
              <w:t>FinBank</w:t>
            </w:r>
          </w:p>
        </w:tc>
        <w:tc>
          <w:tcPr>
            <w:tcW w:type="dxa" w:w="4896"/>
            <w:shd w:fill="F8FAFB"/>
            <w:vAlign w:val="center"/>
          </w:tcPr>
          <w:p>
            <w:r>
              <w:rPr>
                <w:rFonts w:ascii="Aptos" w:hAnsi="Aptos"/>
                <w:color w:val="152A3B"/>
                <w:sz w:val="15"/>
              </w:rPr>
              <w:t>legal_entity, counterparty, product, facility, exposure, collateral, rating, fixture_version</w:t>
            </w:r>
          </w:p>
        </w:tc>
        <w:tc>
          <w:tcPr>
            <w:tcW w:type="dxa" w:w="3744"/>
            <w:shd w:fill="F8FAFB"/>
            <w:vAlign w:val="center"/>
          </w:tcPr>
          <w:p>
            <w:r>
              <w:rPr>
                <w:rFonts w:ascii="Aptos" w:hAnsi="Aptos"/>
                <w:color w:val="152A3B"/>
                <w:sz w:val="15"/>
              </w:rPr>
              <w:t>Synthetic and reproducible</w:t>
            </w:r>
          </w:p>
        </w:tc>
      </w:tr>
      <w:tr>
        <w:tc>
          <w:tcPr>
            <w:tcW w:type="dxa" w:w="1440"/>
            <w:vAlign w:val="center"/>
          </w:tcPr>
          <w:p>
            <w:r>
              <w:rPr>
                <w:rFonts w:ascii="Aptos" w:hAnsi="Aptos"/>
                <w:color w:val="152A3B"/>
                <w:sz w:val="15"/>
              </w:rPr>
              <w:t>Learning</w:t>
            </w:r>
          </w:p>
        </w:tc>
        <w:tc>
          <w:tcPr>
            <w:tcW w:type="dxa" w:w="4896"/>
            <w:vAlign w:val="center"/>
          </w:tcPr>
          <w:p>
            <w:r>
              <w:rPr>
                <w:rFonts w:ascii="Aptos" w:hAnsi="Aptos"/>
                <w:color w:val="152A3B"/>
                <w:sz w:val="15"/>
              </w:rPr>
              <w:t>enrollment, learning_event, mastery, misconception, assessment_attempt, answer_evidence</w:t>
            </w:r>
          </w:p>
        </w:tc>
        <w:tc>
          <w:tcPr>
            <w:tcW w:type="dxa" w:w="3744"/>
            <w:vAlign w:val="center"/>
          </w:tcPr>
          <w:p>
            <w:r>
              <w:rPr>
                <w:rFonts w:ascii="Aptos" w:hAnsi="Aptos"/>
                <w:color w:val="152A3B"/>
                <w:sz w:val="15"/>
              </w:rPr>
              <w:t>Learning events append-only</w:t>
            </w:r>
          </w:p>
        </w:tc>
      </w:tr>
      <w:tr>
        <w:tc>
          <w:tcPr>
            <w:tcW w:type="dxa" w:w="1440"/>
            <w:shd w:fill="F8FAFB"/>
            <w:vAlign w:val="center"/>
          </w:tcPr>
          <w:p>
            <w:r>
              <w:rPr>
                <w:rFonts w:ascii="Aptos" w:hAnsi="Aptos"/>
                <w:color w:val="152A3B"/>
                <w:sz w:val="15"/>
              </w:rPr>
              <w:t>Tutor</w:t>
            </w:r>
          </w:p>
        </w:tc>
        <w:tc>
          <w:tcPr>
            <w:tcW w:type="dxa" w:w="4896"/>
            <w:shd w:fill="F8FAFB"/>
            <w:vAlign w:val="center"/>
          </w:tcPr>
          <w:p>
            <w:r>
              <w:rPr>
                <w:rFonts w:ascii="Aptos" w:hAnsi="Aptos"/>
                <w:color w:val="152A3B"/>
                <w:sz w:val="15"/>
              </w:rPr>
              <w:t>conversation, turn, tool_call, citation_used, tutor_mode, prompt_version</w:t>
            </w:r>
          </w:p>
        </w:tc>
        <w:tc>
          <w:tcPr>
            <w:tcW w:type="dxa" w:w="3744"/>
            <w:shd w:fill="F8FAFB"/>
            <w:vAlign w:val="center"/>
          </w:tcPr>
          <w:p>
            <w:r>
              <w:rPr>
                <w:rFonts w:ascii="Aptos" w:hAnsi="Aptos"/>
                <w:color w:val="152A3B"/>
                <w:sz w:val="15"/>
              </w:rPr>
              <w:t>Retention configurable</w:t>
            </w:r>
          </w:p>
        </w:tc>
      </w:tr>
      <w:tr>
        <w:tc>
          <w:tcPr>
            <w:tcW w:type="dxa" w:w="1440"/>
            <w:vAlign w:val="center"/>
          </w:tcPr>
          <w:p>
            <w:r>
              <w:rPr>
                <w:rFonts w:ascii="Aptos" w:hAnsi="Aptos"/>
                <w:color w:val="152A3B"/>
                <w:sz w:val="15"/>
              </w:rPr>
              <w:t>Operations</w:t>
            </w:r>
          </w:p>
        </w:tc>
        <w:tc>
          <w:tcPr>
            <w:tcW w:type="dxa" w:w="4896"/>
            <w:vAlign w:val="center"/>
          </w:tcPr>
          <w:p>
            <w:r>
              <w:rPr>
                <w:rFonts w:ascii="Aptos" w:hAnsi="Aptos"/>
                <w:color w:val="152A3B"/>
                <w:sz w:val="15"/>
              </w:rPr>
              <w:t>provider_usage, cost_event, audit_event, feature_flag, job_run</w:t>
            </w:r>
          </w:p>
        </w:tc>
        <w:tc>
          <w:tcPr>
            <w:tcW w:type="dxa" w:w="3744"/>
            <w:vAlign w:val="center"/>
          </w:tcPr>
          <w:p>
            <w:r>
              <w:rPr>
                <w:rFonts w:ascii="Aptos" w:hAnsi="Aptos"/>
                <w:color w:val="152A3B"/>
                <w:sz w:val="15"/>
              </w:rPr>
              <w:t>Supports unit economics and audit</w:t>
            </w:r>
          </w:p>
        </w:tc>
      </w:tr>
    </w:tbl>
    <w:p>
      <w:pPr>
        <w:spacing w:after="20"/>
      </w:pPr>
    </w:p>
    <w:p>
      <w:pPr>
        <w:pStyle w:val="Heading2"/>
      </w:pPr>
      <w:r>
        <w:t>9.1 Mastery event examples</w:t>
      </w:r>
    </w:p>
    <w:p>
      <w:pPr>
        <w:pStyle w:val="ListBullet"/>
        <w:spacing w:after="40"/>
      </w:pPr>
      <w:r>
        <w:rPr>
          <w:rFonts w:ascii="Aptos" w:hAnsi="Aptos"/>
          <w:color w:val="152A3B"/>
          <w:sz w:val="19"/>
        </w:rPr>
        <w:t>video_segment_completed</w:t>
      </w:r>
    </w:p>
    <w:p>
      <w:pPr>
        <w:pStyle w:val="ListBullet"/>
        <w:spacing w:after="40"/>
      </w:pPr>
      <w:r>
        <w:rPr>
          <w:rFonts w:ascii="Aptos" w:hAnsi="Aptos"/>
          <w:color w:val="152A3B"/>
          <w:sz w:val="19"/>
        </w:rPr>
        <w:t>checkpoint_answered</w:t>
      </w:r>
    </w:p>
    <w:p>
      <w:pPr>
        <w:pStyle w:val="ListBullet"/>
        <w:spacing w:after="40"/>
      </w:pPr>
      <w:r>
        <w:rPr>
          <w:rFonts w:ascii="Aptos" w:hAnsi="Aptos"/>
          <w:color w:val="152A3B"/>
          <w:sz w:val="19"/>
        </w:rPr>
        <w:t>calculation_attempted</w:t>
      </w:r>
    </w:p>
    <w:p>
      <w:pPr>
        <w:pStyle w:val="ListBullet"/>
        <w:spacing w:after="40"/>
      </w:pPr>
      <w:r>
        <w:rPr>
          <w:rFonts w:ascii="Aptos" w:hAnsi="Aptos"/>
          <w:color w:val="152A3B"/>
          <w:sz w:val="19"/>
        </w:rPr>
        <w:t>rule_source_opened</w:t>
      </w:r>
    </w:p>
    <w:p>
      <w:pPr>
        <w:pStyle w:val="ListBullet"/>
        <w:spacing w:after="40"/>
      </w:pPr>
      <w:r>
        <w:rPr>
          <w:rFonts w:ascii="Aptos" w:hAnsi="Aptos"/>
          <w:color w:val="152A3B"/>
          <w:sz w:val="19"/>
        </w:rPr>
        <w:t>practice_case_completed</w:t>
      </w:r>
    </w:p>
    <w:p>
      <w:pPr>
        <w:pStyle w:val="ListBullet"/>
        <w:spacing w:after="40"/>
      </w:pPr>
      <w:r>
        <w:rPr>
          <w:rFonts w:ascii="Aptos" w:hAnsi="Aptos"/>
          <w:color w:val="152A3B"/>
          <w:sz w:val="19"/>
        </w:rPr>
        <w:t>viva_question_scored</w:t>
      </w:r>
    </w:p>
    <w:p>
      <w:pPr>
        <w:pStyle w:val="ListBullet"/>
        <w:spacing w:after="40"/>
      </w:pPr>
      <w:r>
        <w:rPr>
          <w:rFonts w:ascii="Aptos" w:hAnsi="Aptos"/>
          <w:color w:val="152A3B"/>
          <w:sz w:val="19"/>
        </w:rPr>
        <w:t>misconception_detected</w:t>
      </w:r>
    </w:p>
    <w:p>
      <w:pPr>
        <w:pStyle w:val="ListBullet"/>
        <w:spacing w:after="40"/>
      </w:pPr>
      <w:r>
        <w:rPr>
          <w:rFonts w:ascii="Aptos" w:hAnsi="Aptos"/>
          <w:color w:val="152A3B"/>
          <w:sz w:val="19"/>
        </w:rPr>
        <w:t>misconception_resolved</w:t>
      </w:r>
    </w:p>
    <w:p>
      <w:pPr>
        <w:pStyle w:val="ListBullet"/>
        <w:spacing w:after="40"/>
      </w:pPr>
      <w:r>
        <w:rPr>
          <w:rFonts w:ascii="Aptos" w:hAnsi="Aptos"/>
          <w:color w:val="152A3B"/>
          <w:sz w:val="19"/>
        </w:rPr>
        <w:t>spaced_review_passed</w:t>
      </w:r>
    </w:p>
    <w:p>
      <w:pPr>
        <w:pStyle w:val="Heading1"/>
      </w:pPr>
      <w:r>
        <w:t>10. API, Events and Integration Contracts</w:t>
      </w:r>
    </w:p>
    <w:p>
      <w:pPr>
        <w:pStyle w:val="Heading2"/>
      </w:pPr>
      <w:r>
        <w:t>10.1 API style</w:t>
      </w:r>
    </w:p>
    <w:p>
      <w:pPr>
        <w:pStyle w:val="ListBullet"/>
        <w:spacing w:after="40"/>
      </w:pPr>
      <w:r>
        <w:rPr>
          <w:rFonts w:ascii="Aptos" w:hAnsi="Aptos"/>
          <w:color w:val="152A3B"/>
          <w:sz w:val="19"/>
        </w:rPr>
        <w:t>REST/JSON for resource and deterministic-tool APIs; generated OpenAPI contract.</w:t>
      </w:r>
    </w:p>
    <w:p>
      <w:pPr>
        <w:pStyle w:val="ListBullet"/>
        <w:spacing w:after="40"/>
      </w:pPr>
      <w:r>
        <w:rPr>
          <w:rFonts w:ascii="Aptos" w:hAnsi="Aptos"/>
          <w:color w:val="152A3B"/>
          <w:sz w:val="19"/>
        </w:rPr>
        <w:t>Server-Sent Events for streamed text tutor responses.</w:t>
      </w:r>
    </w:p>
    <w:p>
      <w:pPr>
        <w:pStyle w:val="ListBullet"/>
        <w:spacing w:after="40"/>
      </w:pPr>
      <w:r>
        <w:rPr>
          <w:rFonts w:ascii="Aptos" w:hAnsi="Aptos"/>
          <w:color w:val="152A3B"/>
          <w:sz w:val="19"/>
        </w:rPr>
        <w:t>WebRTC for low-latency browser voice; server issues only short-lived/ephemeral authorization where provider supports it.</w:t>
      </w:r>
    </w:p>
    <w:p>
      <w:pPr>
        <w:pStyle w:val="ListBullet"/>
        <w:spacing w:after="40"/>
      </w:pPr>
      <w:r>
        <w:rPr>
          <w:rFonts w:ascii="Aptos" w:hAnsi="Aptos"/>
          <w:color w:val="152A3B"/>
          <w:sz w:val="19"/>
        </w:rPr>
        <w:t>Idempotency keys for billable content/media and state-changing async operations.</w:t>
      </w:r>
    </w:p>
    <w:p>
      <w:pPr>
        <w:pStyle w:val="ListBullet"/>
        <w:spacing w:after="40"/>
      </w:pPr>
      <w:r>
        <w:rPr>
          <w:rFonts w:ascii="Aptos" w:hAnsi="Aptos"/>
          <w:color w:val="152A3B"/>
          <w:sz w:val="19"/>
        </w:rPr>
        <w:t>Every response includes trace/request ID; calculation response includes rule/version/input-hash metadata.</w:t>
      </w:r>
    </w:p>
    <w:p>
      <w:pPr>
        <w:pStyle w:val="Heading2"/>
      </w:pPr>
      <w:r>
        <w:t>10.2 Proposed endpoint families</w:t>
      </w:r>
    </w:p>
    <w:tbl>
      <w:tblPr>
        <w:tblStyle w:val="TableGrid"/>
        <w:tblW w:type="auto" w:w="0"/>
        <w:jc w:val="center"/>
        <w:tblLook w:firstColumn="1" w:firstRow="1" w:lastColumn="0" w:lastRow="0" w:noHBand="0" w:noVBand="1" w:val="04A0"/>
      </w:tblPr>
      <w:tblGrid>
        <w:gridCol w:w="5083"/>
        <w:gridCol w:w="5083"/>
      </w:tblGrid>
      <w:tr>
        <w:tc>
          <w:tcPr>
            <w:tcW w:type="dxa" w:w="288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Endpoint family</w:t>
            </w:r>
          </w:p>
        </w:tc>
        <w:tc>
          <w:tcPr>
            <w:tcW w:type="dxa" w:w="720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Examples</w:t>
            </w:r>
          </w:p>
        </w:tc>
      </w:tr>
      <w:tr>
        <w:tc>
          <w:tcPr>
            <w:tcW w:type="dxa" w:w="2880"/>
            <w:vAlign w:val="center"/>
          </w:tcPr>
          <w:p>
            <w:r>
              <w:rPr>
                <w:rFonts w:ascii="Aptos" w:hAnsi="Aptos"/>
                <w:color w:val="152A3B"/>
                <w:sz w:val="16"/>
              </w:rPr>
              <w:t>Identity/learning</w:t>
            </w:r>
          </w:p>
        </w:tc>
        <w:tc>
          <w:tcPr>
            <w:tcW w:type="dxa" w:w="7200"/>
            <w:vAlign w:val="center"/>
          </w:tcPr>
          <w:p>
            <w:r>
              <w:rPr>
                <w:rFonts w:ascii="Aptos" w:hAnsi="Aptos"/>
                <w:color w:val="152A3B"/>
                <w:sz w:val="16"/>
              </w:rPr>
              <w:t>/api/v1/me, /enrollments, /mastery</w:t>
            </w:r>
          </w:p>
        </w:tc>
      </w:tr>
      <w:tr>
        <w:tc>
          <w:tcPr>
            <w:tcW w:type="dxa" w:w="2880"/>
            <w:shd w:fill="F8FAFB"/>
            <w:vAlign w:val="center"/>
          </w:tcPr>
          <w:p>
            <w:r>
              <w:rPr>
                <w:rFonts w:ascii="Aptos" w:hAnsi="Aptos"/>
                <w:color w:val="152A3B"/>
                <w:sz w:val="16"/>
              </w:rPr>
              <w:t>Catalog/content</w:t>
            </w:r>
          </w:p>
        </w:tc>
        <w:tc>
          <w:tcPr>
            <w:tcW w:type="dxa" w:w="7200"/>
            <w:shd w:fill="F8FAFB"/>
            <w:vAlign w:val="center"/>
          </w:tcPr>
          <w:p>
            <w:r>
              <w:rPr>
                <w:rFonts w:ascii="Aptos" w:hAnsi="Aptos"/>
                <w:color w:val="152A3B"/>
                <w:sz w:val="16"/>
              </w:rPr>
              <w:t>/pods, /lessons/{id}, /lessons/{id}/timeline</w:t>
            </w:r>
          </w:p>
        </w:tc>
      </w:tr>
      <w:tr>
        <w:tc>
          <w:tcPr>
            <w:tcW w:type="dxa" w:w="2880"/>
            <w:vAlign w:val="center"/>
          </w:tcPr>
          <w:p>
            <w:r>
              <w:rPr>
                <w:rFonts w:ascii="Aptos" w:hAnsi="Aptos"/>
                <w:color w:val="152A3B"/>
                <w:sz w:val="16"/>
              </w:rPr>
              <w:t>Tutor</w:t>
            </w:r>
          </w:p>
        </w:tc>
        <w:tc>
          <w:tcPr>
            <w:tcW w:type="dxa" w:w="7200"/>
            <w:vAlign w:val="center"/>
          </w:tcPr>
          <w:p>
            <w:r>
              <w:rPr>
                <w:rFonts w:ascii="Aptos" w:hAnsi="Aptos"/>
                <w:color w:val="152A3B"/>
                <w:sz w:val="16"/>
              </w:rPr>
              <w:t>/tutor/sessions, /tutor/sessions/{id}/messages, /tutor/realtime-token</w:t>
            </w:r>
          </w:p>
        </w:tc>
      </w:tr>
      <w:tr>
        <w:tc>
          <w:tcPr>
            <w:tcW w:type="dxa" w:w="2880"/>
            <w:shd w:fill="F8FAFB"/>
            <w:vAlign w:val="center"/>
          </w:tcPr>
          <w:p>
            <w:r>
              <w:rPr>
                <w:rFonts w:ascii="Aptos" w:hAnsi="Aptos"/>
                <w:color w:val="152A3B"/>
                <w:sz w:val="16"/>
              </w:rPr>
              <w:t>Tools</w:t>
            </w:r>
          </w:p>
        </w:tc>
        <w:tc>
          <w:tcPr>
            <w:tcW w:type="dxa" w:w="7200"/>
            <w:shd w:fill="F8FAFB"/>
            <w:vAlign w:val="center"/>
          </w:tcPr>
          <w:p>
            <w:r>
              <w:rPr>
                <w:rFonts w:ascii="Aptos" w:hAnsi="Aptos"/>
                <w:color w:val="152A3B"/>
                <w:sz w:val="16"/>
              </w:rPr>
              <w:t>/calculations/credit-rwa, /comparisons/jurisdictions</w:t>
            </w:r>
          </w:p>
        </w:tc>
      </w:tr>
      <w:tr>
        <w:tc>
          <w:tcPr>
            <w:tcW w:type="dxa" w:w="2880"/>
            <w:vAlign w:val="center"/>
          </w:tcPr>
          <w:p>
            <w:r>
              <w:rPr>
                <w:rFonts w:ascii="Aptos" w:hAnsi="Aptos"/>
                <w:color w:val="152A3B"/>
                <w:sz w:val="16"/>
              </w:rPr>
              <w:t>Assessments</w:t>
            </w:r>
          </w:p>
        </w:tc>
        <w:tc>
          <w:tcPr>
            <w:tcW w:type="dxa" w:w="7200"/>
            <w:vAlign w:val="center"/>
          </w:tcPr>
          <w:p>
            <w:r>
              <w:rPr>
                <w:rFonts w:ascii="Aptos" w:hAnsi="Aptos"/>
                <w:color w:val="152A3B"/>
                <w:sz w:val="16"/>
              </w:rPr>
              <w:t>/practice, /viva/sessions, /attempts</w:t>
            </w:r>
          </w:p>
        </w:tc>
      </w:tr>
      <w:tr>
        <w:tc>
          <w:tcPr>
            <w:tcW w:type="dxa" w:w="2880"/>
            <w:shd w:fill="F8FAFB"/>
            <w:vAlign w:val="center"/>
          </w:tcPr>
          <w:p>
            <w:r>
              <w:rPr>
                <w:rFonts w:ascii="Aptos" w:hAnsi="Aptos"/>
                <w:color w:val="152A3B"/>
                <w:sz w:val="16"/>
              </w:rPr>
              <w:t>Sources</w:t>
            </w:r>
          </w:p>
        </w:tc>
        <w:tc>
          <w:tcPr>
            <w:tcW w:type="dxa" w:w="7200"/>
            <w:shd w:fill="F8FAFB"/>
            <w:vAlign w:val="center"/>
          </w:tcPr>
          <w:p>
            <w:r>
              <w:rPr>
                <w:rFonts w:ascii="Aptos" w:hAnsi="Aptos"/>
                <w:color w:val="152A3B"/>
                <w:sz w:val="16"/>
              </w:rPr>
              <w:t>/rules/{id}, /citations/{id}</w:t>
            </w:r>
          </w:p>
        </w:tc>
      </w:tr>
      <w:tr>
        <w:tc>
          <w:tcPr>
            <w:tcW w:type="dxa" w:w="2880"/>
            <w:vAlign w:val="center"/>
          </w:tcPr>
          <w:p>
            <w:r>
              <w:rPr>
                <w:rFonts w:ascii="Aptos" w:hAnsi="Aptos"/>
                <w:color w:val="152A3B"/>
                <w:sz w:val="16"/>
              </w:rPr>
              <w:t>Admin</w:t>
            </w:r>
          </w:p>
        </w:tc>
        <w:tc>
          <w:tcPr>
            <w:tcW w:type="dxa" w:w="7200"/>
            <w:vAlign w:val="center"/>
          </w:tcPr>
          <w:p>
            <w:r>
              <w:rPr>
                <w:rFonts w:ascii="Aptos" w:hAnsi="Aptos"/>
                <w:color w:val="152A3B"/>
                <w:sz w:val="16"/>
              </w:rPr>
              <w:t>/admin/rules, /admin/lessons, /admin/reviews, /admin/publications</w:t>
            </w:r>
          </w:p>
        </w:tc>
      </w:tr>
      <w:tr>
        <w:tc>
          <w:tcPr>
            <w:tcW w:type="dxa" w:w="2880"/>
            <w:shd w:fill="F8FAFB"/>
            <w:vAlign w:val="center"/>
          </w:tcPr>
          <w:p>
            <w:r>
              <w:rPr>
                <w:rFonts w:ascii="Aptos" w:hAnsi="Aptos"/>
                <w:color w:val="152A3B"/>
                <w:sz w:val="16"/>
              </w:rPr>
              <w:t>Operations</w:t>
            </w:r>
          </w:p>
        </w:tc>
        <w:tc>
          <w:tcPr>
            <w:tcW w:type="dxa" w:w="7200"/>
            <w:shd w:fill="F8FAFB"/>
            <w:vAlign w:val="center"/>
          </w:tcPr>
          <w:p>
            <w:r>
              <w:rPr>
                <w:rFonts w:ascii="Aptos" w:hAnsi="Aptos"/>
                <w:color w:val="152A3B"/>
                <w:sz w:val="16"/>
              </w:rPr>
              <w:t>/health, /ready, internal usage/cost endpoints</w:t>
            </w:r>
          </w:p>
        </w:tc>
      </w:tr>
    </w:tbl>
    <w:p>
      <w:pPr>
        <w:spacing w:after="20"/>
      </w:pPr>
    </w:p>
    <w:p>
      <w:pPr>
        <w:pStyle w:val="Heading2"/>
      </w:pPr>
      <w:r>
        <w:t>10.3 Domain events</w:t>
      </w:r>
    </w:p>
    <w:p>
      <w:pPr>
        <w:spacing w:after="100"/>
      </w:pPr>
      <w:r>
        <w:rPr>
          <w:rFonts w:ascii="Aptos" w:hAnsi="Aptos"/>
          <w:b w:val="0"/>
          <w:color w:val="152A3B"/>
        </w:rPr>
        <w:t>Use an internal event vocabulary from day one even inside a modular monolith. Examples: LessonStarted, SegmentCompleted, TutorQuestionAsked, ToolExecuted, MasteryChanged, ContentApproved, LessonPublished, RegulatoryChangeCandidateCreated, ProviderCostRecorded.</w:t>
      </w:r>
    </w:p>
    <w:p>
      <w:pPr>
        <w:pStyle w:val="Heading1"/>
      </w:pPr>
      <w:r>
        <w:t>11. Video, Voice and Media Architecture</w:t>
      </w:r>
    </w:p>
    <w:p>
      <w:pPr>
        <w:pStyle w:val="Heading2"/>
      </w:pPr>
      <w:r>
        <w:t>11.1 Pre-render vs realtime</w:t>
      </w:r>
    </w:p>
    <w:tbl>
      <w:tblPr>
        <w:tblStyle w:val="TableGrid"/>
        <w:tblW w:type="auto" w:w="0"/>
        <w:jc w:val="center"/>
        <w:tblLook w:firstColumn="1" w:firstRow="1" w:lastColumn="0" w:lastRow="0" w:noHBand="0" w:noVBand="1" w:val="04A0"/>
      </w:tblPr>
      <w:tblGrid>
        <w:gridCol w:w="5083"/>
        <w:gridCol w:w="5083"/>
      </w:tblGrid>
      <w:tr>
        <w:tc>
          <w:tcPr>
            <w:tcW w:type="dxa" w:w="511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Pre-render / offline</w:t>
            </w:r>
          </w:p>
        </w:tc>
        <w:tc>
          <w:tcPr>
            <w:tcW w:type="dxa" w:w="511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Realtime</w:t>
            </w:r>
          </w:p>
        </w:tc>
      </w:tr>
      <w:tr>
        <w:tc>
          <w:tcPr>
            <w:tcW w:type="dxa" w:w="5112"/>
            <w:vAlign w:val="center"/>
          </w:tcPr>
          <w:p>
            <w:r>
              <w:rPr>
                <w:rFonts w:ascii="Aptos" w:hAnsi="Aptos"/>
                <w:color w:val="152A3B"/>
                <w:sz w:val="16"/>
              </w:rPr>
              <w:t>Core lesson video, authoritative diagrams/tables, captions, translations, reusable illustrative media</w:t>
            </w:r>
          </w:p>
        </w:tc>
        <w:tc>
          <w:tcPr>
            <w:tcW w:type="dxa" w:w="5112"/>
            <w:vAlign w:val="center"/>
          </w:tcPr>
          <w:p>
            <w:r>
              <w:rPr>
                <w:rFonts w:ascii="Aptos" w:hAnsi="Aptos"/>
                <w:color w:val="152A3B"/>
                <w:sz w:val="16"/>
              </w:rPr>
              <w:t>Tutor text, voice, whiteboard, deterministic calculations, live assessment</w:t>
            </w:r>
          </w:p>
        </w:tc>
      </w:tr>
      <w:tr>
        <w:tc>
          <w:tcPr>
            <w:tcW w:type="dxa" w:w="5112"/>
            <w:shd w:fill="F8FAFB"/>
            <w:vAlign w:val="center"/>
          </w:tcPr>
          <w:p>
            <w:r>
              <w:rPr>
                <w:rFonts w:ascii="Aptos" w:hAnsi="Aptos"/>
                <w:color w:val="152A3B"/>
                <w:sz w:val="16"/>
              </w:rPr>
              <w:t>Can be reviewed once and served cheaply through CDN</w:t>
            </w:r>
          </w:p>
        </w:tc>
        <w:tc>
          <w:tcPr>
            <w:tcW w:type="dxa" w:w="5112"/>
            <w:shd w:fill="F8FAFB"/>
            <w:vAlign w:val="center"/>
          </w:tcPr>
          <w:p>
            <w:r>
              <w:rPr>
                <w:rFonts w:ascii="Aptos" w:hAnsi="Aptos"/>
                <w:color w:val="152A3B"/>
                <w:sz w:val="16"/>
              </w:rPr>
              <w:t>Must be instrumented for latency/cost and have fallback paths</w:t>
            </w:r>
          </w:p>
        </w:tc>
      </w:tr>
    </w:tbl>
    <w:p>
      <w:pPr>
        <w:spacing w:after="20"/>
      </w:pPr>
    </w:p>
    <w:p>
      <w:pPr>
        <w:pStyle w:val="Heading2"/>
      </w:pPr>
      <w:r>
        <w:t>11.2 Media provider strategy</w:t>
      </w:r>
    </w:p>
    <w:p>
      <w:pPr>
        <w:spacing w:after="100"/>
      </w:pPr>
      <w:r>
        <w:rPr>
          <w:rFonts w:ascii="Aptos" w:hAnsi="Aptos"/>
          <w:b w:val="0"/>
          <w:color w:val="152A3B"/>
        </w:rPr>
        <w:t>Keep generation behind adapters. Google describes Gemini 2.5 Flash Image (“nano-banana”) as an image generation/editing model suitable for maintaining character consistency and targeted edits; use such models for illustrative assets, not authoritative formulas. [R4] HeyGen LiveAvatar exposes embeddable realtime avatar sessions; treat avatar as optional presentation, not a core dependency. [R2]</w:t>
      </w:r>
    </w:p>
    <w:p>
      <w:pPr>
        <w:pStyle w:val="Heading2"/>
      </w:pPr>
      <w:r>
        <w:t>11.3 Voice strategy</w:t>
      </w:r>
    </w:p>
    <w:p>
      <w:pPr>
        <w:spacing w:after="100"/>
      </w:pPr>
      <w:r>
        <w:rPr>
          <w:rFonts w:ascii="Aptos" w:hAnsi="Aptos"/>
          <w:b w:val="0"/>
          <w:color w:val="152A3B"/>
        </w:rPr>
        <w:t>Support both direct speech-to-speech and chained STT -&gt; text tutor -&gt; TTS behind a common interface. Current OpenAI voice-agent guidance describes speech-to-speech as the low-latency path for barge-in and natural turn taking, while chained pipelines give tighter control over intermediate text. [R1] ElevenLabs documents multimodal agents with configurable turn-taking/interruptions and bring-your-own-model options. [R3]</w:t>
      </w:r>
    </w:p>
    <w:p>
      <w:pPr>
        <w:pStyle w:val="Heading2"/>
      </w:pPr>
      <w:r>
        <w:t>11.4 Voice-session context</w:t>
      </w:r>
    </w:p>
    <w:p>
      <w:pPr>
        <w:pStyle w:val="ListBullet"/>
        <w:spacing w:after="40"/>
      </w:pPr>
      <w:r>
        <w:rPr>
          <w:rFonts w:ascii="Aptos" w:hAnsi="Aptos"/>
          <w:color w:val="152A3B"/>
          <w:sz w:val="19"/>
        </w:rPr>
        <w:t>lesson/version/segment</w:t>
      </w:r>
    </w:p>
    <w:p>
      <w:pPr>
        <w:pStyle w:val="ListBullet"/>
        <w:spacing w:after="40"/>
      </w:pPr>
      <w:r>
        <w:rPr>
          <w:rFonts w:ascii="Aptos" w:hAnsi="Aptos"/>
          <w:color w:val="152A3B"/>
          <w:sz w:val="19"/>
        </w:rPr>
        <w:t>language and jurisdiction</w:t>
      </w:r>
    </w:p>
    <w:p>
      <w:pPr>
        <w:pStyle w:val="ListBullet"/>
        <w:spacing w:after="40"/>
      </w:pPr>
      <w:r>
        <w:rPr>
          <w:rFonts w:ascii="Aptos" w:hAnsi="Aptos"/>
          <w:color w:val="152A3B"/>
          <w:sz w:val="19"/>
        </w:rPr>
        <w:t>current FinBank example</w:t>
      </w:r>
    </w:p>
    <w:p>
      <w:pPr>
        <w:pStyle w:val="ListBullet"/>
        <w:spacing w:after="40"/>
      </w:pPr>
      <w:r>
        <w:rPr>
          <w:rFonts w:ascii="Aptos" w:hAnsi="Aptos"/>
          <w:color w:val="152A3B"/>
          <w:sz w:val="19"/>
        </w:rPr>
        <w:t>current calculator state</w:t>
      </w:r>
    </w:p>
    <w:p>
      <w:pPr>
        <w:pStyle w:val="ListBullet"/>
        <w:spacing w:after="40"/>
      </w:pPr>
      <w:r>
        <w:rPr>
          <w:rFonts w:ascii="Aptos" w:hAnsi="Aptos"/>
          <w:color w:val="152A3B"/>
          <w:sz w:val="19"/>
        </w:rPr>
        <w:t>tutor mode</w:t>
      </w:r>
    </w:p>
    <w:p>
      <w:pPr>
        <w:pStyle w:val="ListBullet"/>
        <w:spacing w:after="40"/>
      </w:pPr>
      <w:r>
        <w:rPr>
          <w:rFonts w:ascii="Aptos" w:hAnsi="Aptos"/>
          <w:color w:val="152A3B"/>
          <w:sz w:val="19"/>
        </w:rPr>
        <w:t>learner mastery summary</w:t>
      </w:r>
    </w:p>
    <w:p>
      <w:pPr>
        <w:pStyle w:val="ListBullet"/>
        <w:spacing w:after="40"/>
      </w:pPr>
      <w:r>
        <w:rPr>
          <w:rFonts w:ascii="Aptos" w:hAnsi="Aptos"/>
          <w:color w:val="152A3B"/>
          <w:sz w:val="19"/>
        </w:rPr>
        <w:t>approved tool catalog</w:t>
      </w:r>
    </w:p>
    <w:p>
      <w:pPr>
        <w:pStyle w:val="ListBullet"/>
        <w:spacing w:after="40"/>
      </w:pPr>
      <w:r>
        <w:rPr>
          <w:rFonts w:ascii="Aptos" w:hAnsi="Aptos"/>
          <w:color w:val="152A3B"/>
          <w:sz w:val="19"/>
        </w:rPr>
        <w:t>citation scope</w:t>
      </w:r>
    </w:p>
    <w:p>
      <w:pPr>
        <w:pStyle w:val="Heading1"/>
      </w:pPr>
      <w:r>
        <w:t>12. Localization and Arabic</w:t>
      </w:r>
    </w:p>
    <w:p>
      <w:pPr>
        <w:pStyle w:val="Heading2"/>
      </w:pPr>
      <w:r>
        <w:t>12.1 Architecture</w:t>
      </w:r>
    </w:p>
    <w:p>
      <w:pPr>
        <w:pStyle w:val="ListBullet"/>
        <w:spacing w:after="40"/>
      </w:pPr>
      <w:r>
        <w:rPr>
          <w:rFonts w:ascii="Aptos" w:hAnsi="Aptos"/>
          <w:color w:val="152A3B"/>
          <w:sz w:val="19"/>
        </w:rPr>
        <w:t>Concept/rule IDs are language-neutral.</w:t>
      </w:r>
    </w:p>
    <w:p>
      <w:pPr>
        <w:pStyle w:val="ListBullet"/>
        <w:spacing w:after="40"/>
      </w:pPr>
      <w:r>
        <w:rPr>
          <w:rFonts w:ascii="Aptos" w:hAnsi="Aptos"/>
          <w:color w:val="152A3B"/>
          <w:sz w:val="19"/>
        </w:rPr>
        <w:t>Original regulatory source language is preserved; explanation language is separate.</w:t>
      </w:r>
    </w:p>
    <w:p>
      <w:pPr>
        <w:pStyle w:val="ListBullet"/>
        <w:spacing w:after="40"/>
      </w:pPr>
      <w:r>
        <w:rPr>
          <w:rFonts w:ascii="Aptos" w:hAnsi="Aptos"/>
          <w:color w:val="152A3B"/>
          <w:sz w:val="19"/>
        </w:rPr>
        <w:t>English and Modern Standard Arabic launch content; optional Arabic + English financial-term mode.</w:t>
      </w:r>
    </w:p>
    <w:p>
      <w:pPr>
        <w:pStyle w:val="ListBullet"/>
        <w:spacing w:after="40"/>
      </w:pPr>
      <w:r>
        <w:rPr>
          <w:rFonts w:ascii="Aptos" w:hAnsi="Aptos"/>
          <w:color w:val="152A3B"/>
          <w:sz w:val="19"/>
        </w:rPr>
        <w:t>Central glossary controls RWA, EAD, CCF, CET1 and other recurring terms across scripts, tutor and UI.</w:t>
      </w:r>
    </w:p>
    <w:p>
      <w:pPr>
        <w:pStyle w:val="ListBullet"/>
        <w:spacing w:after="40"/>
      </w:pPr>
      <w:r>
        <w:rPr>
          <w:rFonts w:ascii="Aptos" w:hAnsi="Aptos"/>
          <w:color w:val="152A3B"/>
          <w:sz w:val="19"/>
        </w:rPr>
        <w:t>RTL support is a first-class design-system requirement, not post-launch translation work.</w:t>
      </w:r>
    </w:p>
    <w:p>
      <w:pPr>
        <w:pStyle w:val="ListBullet"/>
        <w:spacing w:after="40"/>
      </w:pPr>
      <w:r>
        <w:rPr>
          <w:rFonts w:ascii="Aptos" w:hAnsi="Aptos"/>
          <w:color w:val="152A3B"/>
          <w:sz w:val="19"/>
        </w:rPr>
        <w:t>Arabic tutor/voice quality has its own evaluation set and human linguistic review.</w:t>
      </w:r>
    </w:p>
    <w:p>
      <w:pPr>
        <w:pStyle w:val="Heading2"/>
      </w:pPr>
      <w:r>
        <w:t>12.2 Localization objects</w:t>
      </w:r>
    </w:p>
    <w:tbl>
      <w:tblPr>
        <w:tblStyle w:val="TableGrid"/>
        <w:tblW w:type="auto" w:w="0"/>
        <w:jc w:val="center"/>
        <w:tblLook w:firstColumn="1" w:firstRow="1" w:lastColumn="0" w:lastRow="0" w:noHBand="0" w:noVBand="1" w:val="04A0"/>
      </w:tblPr>
      <w:tblGrid>
        <w:gridCol w:w="5083"/>
        <w:gridCol w:w="5083"/>
      </w:tblGrid>
      <w:tr>
        <w:tc>
          <w:tcPr>
            <w:tcW w:type="dxa" w:w="244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Object</w:t>
            </w:r>
          </w:p>
        </w:tc>
        <w:tc>
          <w:tcPr>
            <w:tcW w:type="dxa" w:w="763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Localization rule</w:t>
            </w:r>
          </w:p>
        </w:tc>
      </w:tr>
      <w:tr>
        <w:tc>
          <w:tcPr>
            <w:tcW w:type="dxa" w:w="2448"/>
            <w:vAlign w:val="center"/>
          </w:tcPr>
          <w:p>
            <w:r>
              <w:rPr>
                <w:rFonts w:ascii="Aptos" w:hAnsi="Aptos"/>
                <w:color w:val="152A3B"/>
                <w:sz w:val="16"/>
              </w:rPr>
              <w:t>Lesson</w:t>
            </w:r>
          </w:p>
        </w:tc>
        <w:tc>
          <w:tcPr>
            <w:tcW w:type="dxa" w:w="7632"/>
            <w:vAlign w:val="center"/>
          </w:tcPr>
          <w:p>
            <w:r>
              <w:rPr>
                <w:rFonts w:ascii="Aptos" w:hAnsi="Aptos"/>
                <w:color w:val="152A3B"/>
                <w:sz w:val="16"/>
              </w:rPr>
              <w:t>Locale-specific immutable lesson version</w:t>
            </w:r>
          </w:p>
        </w:tc>
      </w:tr>
      <w:tr>
        <w:tc>
          <w:tcPr>
            <w:tcW w:type="dxa" w:w="2448"/>
            <w:shd w:fill="F8FAFB"/>
            <w:vAlign w:val="center"/>
          </w:tcPr>
          <w:p>
            <w:r>
              <w:rPr>
                <w:rFonts w:ascii="Aptos" w:hAnsi="Aptos"/>
                <w:color w:val="152A3B"/>
                <w:sz w:val="16"/>
              </w:rPr>
              <w:t>Segment/captions</w:t>
            </w:r>
          </w:p>
        </w:tc>
        <w:tc>
          <w:tcPr>
            <w:tcW w:type="dxa" w:w="7632"/>
            <w:shd w:fill="F8FAFB"/>
            <w:vAlign w:val="center"/>
          </w:tcPr>
          <w:p>
            <w:r>
              <w:rPr>
                <w:rFonts w:ascii="Aptos" w:hAnsi="Aptos"/>
                <w:color w:val="152A3B"/>
                <w:sz w:val="16"/>
              </w:rPr>
              <w:t>Aligned to semantic segment ID</w:t>
            </w:r>
          </w:p>
        </w:tc>
      </w:tr>
      <w:tr>
        <w:tc>
          <w:tcPr>
            <w:tcW w:type="dxa" w:w="2448"/>
            <w:vAlign w:val="center"/>
          </w:tcPr>
          <w:p>
            <w:r>
              <w:rPr>
                <w:rFonts w:ascii="Aptos" w:hAnsi="Aptos"/>
                <w:color w:val="152A3B"/>
                <w:sz w:val="16"/>
              </w:rPr>
              <w:t>Rule explanation</w:t>
            </w:r>
          </w:p>
        </w:tc>
        <w:tc>
          <w:tcPr>
            <w:tcW w:type="dxa" w:w="7632"/>
            <w:vAlign w:val="center"/>
          </w:tcPr>
          <w:p>
            <w:r>
              <w:rPr>
                <w:rFonts w:ascii="Aptos" w:hAnsi="Aptos"/>
                <w:color w:val="152A3B"/>
                <w:sz w:val="16"/>
              </w:rPr>
              <w:t>Localized explanation mapped to same jurisdiction rule</w:t>
            </w:r>
          </w:p>
        </w:tc>
      </w:tr>
      <w:tr>
        <w:tc>
          <w:tcPr>
            <w:tcW w:type="dxa" w:w="2448"/>
            <w:shd w:fill="F8FAFB"/>
            <w:vAlign w:val="center"/>
          </w:tcPr>
          <w:p>
            <w:r>
              <w:rPr>
                <w:rFonts w:ascii="Aptos" w:hAnsi="Aptos"/>
                <w:color w:val="152A3B"/>
                <w:sz w:val="16"/>
              </w:rPr>
              <w:t>Glossary</w:t>
            </w:r>
          </w:p>
        </w:tc>
        <w:tc>
          <w:tcPr>
            <w:tcW w:type="dxa" w:w="7632"/>
            <w:shd w:fill="F8FAFB"/>
            <w:vAlign w:val="center"/>
          </w:tcPr>
          <w:p>
            <w:r>
              <w:rPr>
                <w:rFonts w:ascii="Aptos" w:hAnsi="Aptos"/>
                <w:color w:val="152A3B"/>
                <w:sz w:val="16"/>
              </w:rPr>
              <w:t>Approved terminology, acronym behavior and notes</w:t>
            </w:r>
          </w:p>
        </w:tc>
      </w:tr>
      <w:tr>
        <w:tc>
          <w:tcPr>
            <w:tcW w:type="dxa" w:w="2448"/>
            <w:vAlign w:val="center"/>
          </w:tcPr>
          <w:p>
            <w:r>
              <w:rPr>
                <w:rFonts w:ascii="Aptos" w:hAnsi="Aptos"/>
                <w:color w:val="152A3B"/>
                <w:sz w:val="16"/>
              </w:rPr>
              <w:t>Voice asset</w:t>
            </w:r>
          </w:p>
        </w:tc>
        <w:tc>
          <w:tcPr>
            <w:tcW w:type="dxa" w:w="7632"/>
            <w:vAlign w:val="center"/>
          </w:tcPr>
          <w:p>
            <w:r>
              <w:rPr>
                <w:rFonts w:ascii="Aptos" w:hAnsi="Aptos"/>
                <w:color w:val="152A3B"/>
                <w:sz w:val="16"/>
              </w:rPr>
              <w:t>Locale/persona/provider/version metadata</w:t>
            </w:r>
          </w:p>
        </w:tc>
      </w:tr>
      <w:tr>
        <w:tc>
          <w:tcPr>
            <w:tcW w:type="dxa" w:w="2448"/>
            <w:shd w:fill="F8FAFB"/>
            <w:vAlign w:val="center"/>
          </w:tcPr>
          <w:p>
            <w:r>
              <w:rPr>
                <w:rFonts w:ascii="Aptos" w:hAnsi="Aptos"/>
                <w:color w:val="152A3B"/>
                <w:sz w:val="16"/>
              </w:rPr>
              <w:t>Assessment rubric</w:t>
            </w:r>
          </w:p>
        </w:tc>
        <w:tc>
          <w:tcPr>
            <w:tcW w:type="dxa" w:w="7632"/>
            <w:shd w:fill="F8FAFB"/>
            <w:vAlign w:val="center"/>
          </w:tcPr>
          <w:p>
            <w:r>
              <w:rPr>
                <w:rFonts w:ascii="Aptos" w:hAnsi="Aptos"/>
                <w:color w:val="152A3B"/>
                <w:sz w:val="16"/>
              </w:rPr>
              <w:t>Meaning preserved; not blindly translated</w:t>
            </w:r>
          </w:p>
        </w:tc>
      </w:tr>
    </w:tbl>
    <w:p>
      <w:pPr>
        <w:spacing w:after="20"/>
      </w:pPr>
    </w:p>
    <w:p>
      <w:pPr>
        <w:pStyle w:val="Heading1"/>
      </w:pPr>
      <w:r>
        <w:t>13. Security, Privacy and Governance</w:t>
      </w:r>
    </w:p>
    <w:tbl>
      <w:tblPr>
        <w:tblStyle w:val="TableGrid"/>
        <w:tblW w:type="auto" w:w="0"/>
        <w:jc w:val="center"/>
        <w:tblLook w:firstColumn="1" w:firstRow="1" w:lastColumn="0" w:lastRow="0" w:noHBand="0" w:noVBand="1" w:val="04A0"/>
      </w:tblPr>
      <w:tblGrid>
        <w:gridCol w:w="5083"/>
        <w:gridCol w:w="5083"/>
      </w:tblGrid>
      <w:tr>
        <w:tc>
          <w:tcPr>
            <w:tcW w:type="dxa" w:w="259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Area</w:t>
            </w:r>
          </w:p>
        </w:tc>
        <w:tc>
          <w:tcPr>
            <w:tcW w:type="dxa" w:w="748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V1 requirement</w:t>
            </w:r>
          </w:p>
        </w:tc>
      </w:tr>
      <w:tr>
        <w:tc>
          <w:tcPr>
            <w:tcW w:type="dxa" w:w="2592"/>
            <w:vAlign w:val="center"/>
          </w:tcPr>
          <w:p>
            <w:r>
              <w:rPr>
                <w:rFonts w:ascii="Aptos" w:hAnsi="Aptos"/>
                <w:color w:val="152A3B"/>
                <w:sz w:val="16"/>
              </w:rPr>
              <w:t>Authentication</w:t>
            </w:r>
          </w:p>
        </w:tc>
        <w:tc>
          <w:tcPr>
            <w:tcW w:type="dxa" w:w="7488"/>
            <w:vAlign w:val="center"/>
          </w:tcPr>
          <w:p>
            <w:r>
              <w:rPr>
                <w:rFonts w:ascii="Aptos" w:hAnsi="Aptos"/>
                <w:color w:val="152A3B"/>
                <w:sz w:val="16"/>
              </w:rPr>
              <w:t>OIDC-compatible provider; MFA mandatory for admin/SME</w:t>
            </w:r>
          </w:p>
        </w:tc>
      </w:tr>
      <w:tr>
        <w:tc>
          <w:tcPr>
            <w:tcW w:type="dxa" w:w="2592"/>
            <w:shd w:fill="F8FAFB"/>
            <w:vAlign w:val="center"/>
          </w:tcPr>
          <w:p>
            <w:r>
              <w:rPr>
                <w:rFonts w:ascii="Aptos" w:hAnsi="Aptos"/>
                <w:color w:val="152A3B"/>
                <w:sz w:val="16"/>
              </w:rPr>
              <w:t>Authorization</w:t>
            </w:r>
          </w:p>
        </w:tc>
        <w:tc>
          <w:tcPr>
            <w:tcW w:type="dxa" w:w="7488"/>
            <w:shd w:fill="F8FAFB"/>
            <w:vAlign w:val="center"/>
          </w:tcPr>
          <w:p>
            <w:r>
              <w:rPr>
                <w:rFonts w:ascii="Aptos" w:hAnsi="Aptos"/>
                <w:color w:val="152A3B"/>
                <w:sz w:val="16"/>
              </w:rPr>
              <w:t>RBAC and tenant-aware access; server-enforced</w:t>
            </w:r>
          </w:p>
        </w:tc>
      </w:tr>
      <w:tr>
        <w:tc>
          <w:tcPr>
            <w:tcW w:type="dxa" w:w="2592"/>
            <w:vAlign w:val="center"/>
          </w:tcPr>
          <w:p>
            <w:r>
              <w:rPr>
                <w:rFonts w:ascii="Aptos" w:hAnsi="Aptos"/>
                <w:color w:val="152A3B"/>
                <w:sz w:val="16"/>
              </w:rPr>
              <w:t>Secrets</w:t>
            </w:r>
          </w:p>
        </w:tc>
        <w:tc>
          <w:tcPr>
            <w:tcW w:type="dxa" w:w="7488"/>
            <w:vAlign w:val="center"/>
          </w:tcPr>
          <w:p>
            <w:r>
              <w:rPr>
                <w:rFonts w:ascii="Aptos" w:hAnsi="Aptos"/>
                <w:color w:val="152A3B"/>
                <w:sz w:val="16"/>
              </w:rPr>
              <w:t>Managed secret store; never browser/static config</w:t>
            </w:r>
          </w:p>
        </w:tc>
      </w:tr>
      <w:tr>
        <w:tc>
          <w:tcPr>
            <w:tcW w:type="dxa" w:w="2592"/>
            <w:shd w:fill="F8FAFB"/>
            <w:vAlign w:val="center"/>
          </w:tcPr>
          <w:p>
            <w:r>
              <w:rPr>
                <w:rFonts w:ascii="Aptos" w:hAnsi="Aptos"/>
                <w:color w:val="152A3B"/>
                <w:sz w:val="16"/>
              </w:rPr>
              <w:t>Encryption</w:t>
            </w:r>
          </w:p>
        </w:tc>
        <w:tc>
          <w:tcPr>
            <w:tcW w:type="dxa" w:w="7488"/>
            <w:shd w:fill="F8FAFB"/>
            <w:vAlign w:val="center"/>
          </w:tcPr>
          <w:p>
            <w:r>
              <w:rPr>
                <w:rFonts w:ascii="Aptos" w:hAnsi="Aptos"/>
                <w:color w:val="152A3B"/>
                <w:sz w:val="16"/>
              </w:rPr>
              <w:t>TLS in transit; managed encryption at rest</w:t>
            </w:r>
          </w:p>
        </w:tc>
      </w:tr>
      <w:tr>
        <w:tc>
          <w:tcPr>
            <w:tcW w:type="dxa" w:w="2592"/>
            <w:vAlign w:val="center"/>
          </w:tcPr>
          <w:p>
            <w:r>
              <w:rPr>
                <w:rFonts w:ascii="Aptos" w:hAnsi="Aptos"/>
                <w:color w:val="152A3B"/>
                <w:sz w:val="16"/>
              </w:rPr>
              <w:t>AI data minimization</w:t>
            </w:r>
          </w:p>
        </w:tc>
        <w:tc>
          <w:tcPr>
            <w:tcW w:type="dxa" w:w="7488"/>
            <w:vAlign w:val="center"/>
          </w:tcPr>
          <w:p>
            <w:r>
              <w:rPr>
                <w:rFonts w:ascii="Aptos" w:hAnsi="Aptos"/>
                <w:color w:val="152A3B"/>
                <w:sz w:val="16"/>
              </w:rPr>
              <w:t>Send only context needed for answer; provider calls tracked</w:t>
            </w:r>
          </w:p>
        </w:tc>
      </w:tr>
      <w:tr>
        <w:tc>
          <w:tcPr>
            <w:tcW w:type="dxa" w:w="2592"/>
            <w:shd w:fill="F8FAFB"/>
            <w:vAlign w:val="center"/>
          </w:tcPr>
          <w:p>
            <w:r>
              <w:rPr>
                <w:rFonts w:ascii="Aptos" w:hAnsi="Aptos"/>
                <w:color w:val="152A3B"/>
                <w:sz w:val="16"/>
              </w:rPr>
              <w:t>Transcript retention</w:t>
            </w:r>
          </w:p>
        </w:tc>
        <w:tc>
          <w:tcPr>
            <w:tcW w:type="dxa" w:w="7488"/>
            <w:shd w:fill="F8FAFB"/>
            <w:vAlign w:val="center"/>
          </w:tcPr>
          <w:p>
            <w:r>
              <w:rPr>
                <w:rFonts w:ascii="Aptos" w:hAnsi="Aptos"/>
                <w:color w:val="152A3B"/>
                <w:sz w:val="16"/>
              </w:rPr>
              <w:t>Explicit policy/consent; configurable later for enterprise</w:t>
            </w:r>
          </w:p>
        </w:tc>
      </w:tr>
      <w:tr>
        <w:tc>
          <w:tcPr>
            <w:tcW w:type="dxa" w:w="2592"/>
            <w:vAlign w:val="center"/>
          </w:tcPr>
          <w:p>
            <w:r>
              <w:rPr>
                <w:rFonts w:ascii="Aptos" w:hAnsi="Aptos"/>
                <w:color w:val="152A3B"/>
                <w:sz w:val="16"/>
              </w:rPr>
              <w:t>Admin audit</w:t>
            </w:r>
          </w:p>
        </w:tc>
        <w:tc>
          <w:tcPr>
            <w:tcW w:type="dxa" w:w="7488"/>
            <w:vAlign w:val="center"/>
          </w:tcPr>
          <w:p>
            <w:r>
              <w:rPr>
                <w:rFonts w:ascii="Aptos" w:hAnsi="Aptos"/>
                <w:color w:val="152A3B"/>
                <w:sz w:val="16"/>
              </w:rPr>
              <w:t>Append-only audit for publication, roles, entitlements, provider flags</w:t>
            </w:r>
          </w:p>
        </w:tc>
      </w:tr>
      <w:tr>
        <w:tc>
          <w:tcPr>
            <w:tcW w:type="dxa" w:w="2592"/>
            <w:shd w:fill="F8FAFB"/>
            <w:vAlign w:val="center"/>
          </w:tcPr>
          <w:p>
            <w:r>
              <w:rPr>
                <w:rFonts w:ascii="Aptos" w:hAnsi="Aptos"/>
                <w:color w:val="152A3B"/>
                <w:sz w:val="16"/>
              </w:rPr>
              <w:t>Content integrity</w:t>
            </w:r>
          </w:p>
        </w:tc>
        <w:tc>
          <w:tcPr>
            <w:tcW w:type="dxa" w:w="7488"/>
            <w:shd w:fill="F8FAFB"/>
            <w:vAlign w:val="center"/>
          </w:tcPr>
          <w:p>
            <w:r>
              <w:rPr>
                <w:rFonts w:ascii="Aptos" w:hAnsi="Aptos"/>
                <w:color w:val="152A3B"/>
                <w:sz w:val="16"/>
              </w:rPr>
              <w:t>Hash/version source and published lesson assets</w:t>
            </w:r>
          </w:p>
        </w:tc>
      </w:tr>
      <w:tr>
        <w:tc>
          <w:tcPr>
            <w:tcW w:type="dxa" w:w="2592"/>
            <w:vAlign w:val="center"/>
          </w:tcPr>
          <w:p>
            <w:r>
              <w:rPr>
                <w:rFonts w:ascii="Aptos" w:hAnsi="Aptos"/>
                <w:color w:val="152A3B"/>
                <w:sz w:val="16"/>
              </w:rPr>
              <w:t>Abuse protection</w:t>
            </w:r>
          </w:p>
        </w:tc>
        <w:tc>
          <w:tcPr>
            <w:tcW w:type="dxa" w:w="7488"/>
            <w:vAlign w:val="center"/>
          </w:tcPr>
          <w:p>
            <w:r>
              <w:rPr>
                <w:rFonts w:ascii="Aptos" w:hAnsi="Aptos"/>
                <w:color w:val="152A3B"/>
                <w:sz w:val="16"/>
              </w:rPr>
              <w:t>WAF/rate limits/quota and provider-cost guardrails</w:t>
            </w:r>
          </w:p>
        </w:tc>
      </w:tr>
      <w:tr>
        <w:tc>
          <w:tcPr>
            <w:tcW w:type="dxa" w:w="2592"/>
            <w:shd w:fill="F8FAFB"/>
            <w:vAlign w:val="center"/>
          </w:tcPr>
          <w:p>
            <w:r>
              <w:rPr>
                <w:rFonts w:ascii="Aptos" w:hAnsi="Aptos"/>
                <w:color w:val="152A3B"/>
                <w:sz w:val="16"/>
              </w:rPr>
              <w:t>Enterprise path</w:t>
            </w:r>
          </w:p>
        </w:tc>
        <w:tc>
          <w:tcPr>
            <w:tcW w:type="dxa" w:w="7488"/>
            <w:shd w:fill="F8FAFB"/>
            <w:vAlign w:val="center"/>
          </w:tcPr>
          <w:p>
            <w:r>
              <w:rPr>
                <w:rFonts w:ascii="Aptos" w:hAnsi="Aptos"/>
                <w:color w:val="152A3B"/>
                <w:sz w:val="16"/>
              </w:rPr>
              <w:t>SSO/SCIM, data residency, dedicated tenant/VPC, retention controls in phase 2</w:t>
            </w:r>
          </w:p>
        </w:tc>
      </w:tr>
    </w:tbl>
    <w:p>
      <w:pPr>
        <w:spacing w:after="20"/>
      </w:pPr>
    </w:p>
    <w:p>
      <w:pPr>
        <w:pStyle w:val="Heading1"/>
      </w:pPr>
      <w:r>
        <w:t>14.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216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Category</w:t>
            </w:r>
          </w:p>
        </w:tc>
        <w:tc>
          <w:tcPr>
            <w:tcW w:type="dxa" w:w="792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V1 target / design requirement</w:t>
            </w:r>
          </w:p>
        </w:tc>
      </w:tr>
      <w:tr>
        <w:tc>
          <w:tcPr>
            <w:tcW w:type="dxa" w:w="2160"/>
            <w:vAlign w:val="center"/>
          </w:tcPr>
          <w:p>
            <w:r>
              <w:rPr>
                <w:rFonts w:ascii="Aptos" w:hAnsi="Aptos"/>
                <w:color w:val="152A3B"/>
                <w:sz w:val="16"/>
              </w:rPr>
              <w:t>Availability</w:t>
            </w:r>
          </w:p>
        </w:tc>
        <w:tc>
          <w:tcPr>
            <w:tcW w:type="dxa" w:w="7920"/>
            <w:vAlign w:val="center"/>
          </w:tcPr>
          <w:p>
            <w:r>
              <w:rPr>
                <w:rFonts w:ascii="Aptos" w:hAnsi="Aptos"/>
                <w:color w:val="152A3B"/>
                <w:sz w:val="16"/>
              </w:rPr>
              <w:t>Target 99.9% learner API/web availability after public launch; graceful tutor degradation</w:t>
            </w:r>
          </w:p>
        </w:tc>
      </w:tr>
      <w:tr>
        <w:tc>
          <w:tcPr>
            <w:tcW w:type="dxa" w:w="2160"/>
            <w:shd w:fill="F8FAFB"/>
            <w:vAlign w:val="center"/>
          </w:tcPr>
          <w:p>
            <w:r>
              <w:rPr>
                <w:rFonts w:ascii="Aptos" w:hAnsi="Aptos"/>
                <w:color w:val="152A3B"/>
                <w:sz w:val="16"/>
              </w:rPr>
              <w:t>Latency</w:t>
            </w:r>
          </w:p>
        </w:tc>
        <w:tc>
          <w:tcPr>
            <w:tcW w:type="dxa" w:w="7920"/>
            <w:shd w:fill="F8FAFB"/>
            <w:vAlign w:val="center"/>
          </w:tcPr>
          <w:p>
            <w:r>
              <w:rPr>
                <w:rFonts w:ascii="Aptos" w:hAnsi="Aptos"/>
                <w:color w:val="152A3B"/>
                <w:sz w:val="16"/>
              </w:rPr>
              <w:t>Core page/API p95 &lt; 500 ms excluding provider streams; text tutor first output target &lt; ~2.5 s; voice target tuned separately</w:t>
            </w:r>
          </w:p>
        </w:tc>
      </w:tr>
      <w:tr>
        <w:tc>
          <w:tcPr>
            <w:tcW w:type="dxa" w:w="2160"/>
            <w:vAlign w:val="center"/>
          </w:tcPr>
          <w:p>
            <w:r>
              <w:rPr>
                <w:rFonts w:ascii="Aptos" w:hAnsi="Aptos"/>
                <w:color w:val="152A3B"/>
                <w:sz w:val="16"/>
              </w:rPr>
              <w:t>Video</w:t>
            </w:r>
          </w:p>
        </w:tc>
        <w:tc>
          <w:tcPr>
            <w:tcW w:type="dxa" w:w="7920"/>
            <w:vAlign w:val="center"/>
          </w:tcPr>
          <w:p>
            <w:r>
              <w:rPr>
                <w:rFonts w:ascii="Aptos" w:hAnsi="Aptos"/>
                <w:color w:val="152A3B"/>
                <w:sz w:val="16"/>
              </w:rPr>
              <w:t>Adaptive streaming/CDN; lesson start monitored as SLI</w:t>
            </w:r>
          </w:p>
        </w:tc>
      </w:tr>
      <w:tr>
        <w:tc>
          <w:tcPr>
            <w:tcW w:type="dxa" w:w="2160"/>
            <w:shd w:fill="F8FAFB"/>
            <w:vAlign w:val="center"/>
          </w:tcPr>
          <w:p>
            <w:r>
              <w:rPr>
                <w:rFonts w:ascii="Aptos" w:hAnsi="Aptos"/>
                <w:color w:val="152A3B"/>
                <w:sz w:val="16"/>
              </w:rPr>
              <w:t>Correctness</w:t>
            </w:r>
          </w:p>
        </w:tc>
        <w:tc>
          <w:tcPr>
            <w:tcW w:type="dxa" w:w="7920"/>
            <w:shd w:fill="F8FAFB"/>
            <w:vAlign w:val="center"/>
          </w:tcPr>
          <w:p>
            <w:r>
              <w:rPr>
                <w:rFonts w:ascii="Aptos" w:hAnsi="Aptos"/>
                <w:color w:val="152A3B"/>
                <w:sz w:val="16"/>
              </w:rPr>
              <w:t>Zero known critical golden-calculation failures; no uncited authoritative regulatory claim in approved test set</w:t>
            </w:r>
          </w:p>
        </w:tc>
      </w:tr>
      <w:tr>
        <w:tc>
          <w:tcPr>
            <w:tcW w:type="dxa" w:w="2160"/>
            <w:vAlign w:val="center"/>
          </w:tcPr>
          <w:p>
            <w:r>
              <w:rPr>
                <w:rFonts w:ascii="Aptos" w:hAnsi="Aptos"/>
                <w:color w:val="152A3B"/>
                <w:sz w:val="16"/>
              </w:rPr>
              <w:t>Accessibility</w:t>
            </w:r>
          </w:p>
        </w:tc>
        <w:tc>
          <w:tcPr>
            <w:tcW w:type="dxa" w:w="7920"/>
            <w:vAlign w:val="center"/>
          </w:tcPr>
          <w:p>
            <w:r>
              <w:rPr>
                <w:rFonts w:ascii="Aptos" w:hAnsi="Aptos"/>
                <w:color w:val="152A3B"/>
                <w:sz w:val="16"/>
              </w:rPr>
              <w:t>Keyboard navigation, captions, transcript, semantic controls, RTL and responsive layout</w:t>
            </w:r>
          </w:p>
        </w:tc>
      </w:tr>
      <w:tr>
        <w:tc>
          <w:tcPr>
            <w:tcW w:type="dxa" w:w="2160"/>
            <w:shd w:fill="F8FAFB"/>
            <w:vAlign w:val="center"/>
          </w:tcPr>
          <w:p>
            <w:r>
              <w:rPr>
                <w:rFonts w:ascii="Aptos" w:hAnsi="Aptos"/>
                <w:color w:val="152A3B"/>
                <w:sz w:val="16"/>
              </w:rPr>
              <w:t>Scalability</w:t>
            </w:r>
          </w:p>
        </w:tc>
        <w:tc>
          <w:tcPr>
            <w:tcW w:type="dxa" w:w="7920"/>
            <w:shd w:fill="F8FAFB"/>
            <w:vAlign w:val="center"/>
          </w:tcPr>
          <w:p>
            <w:r>
              <w:rPr>
                <w:rFonts w:ascii="Aptos" w:hAnsi="Aptos"/>
                <w:color w:val="152A3B"/>
                <w:sz w:val="16"/>
              </w:rPr>
              <w:t>Stateless web/API horizontal scaling; async workers independent; CDN carries media load</w:t>
            </w:r>
          </w:p>
        </w:tc>
      </w:tr>
      <w:tr>
        <w:tc>
          <w:tcPr>
            <w:tcW w:type="dxa" w:w="2160"/>
            <w:vAlign w:val="center"/>
          </w:tcPr>
          <w:p>
            <w:r>
              <w:rPr>
                <w:rFonts w:ascii="Aptos" w:hAnsi="Aptos"/>
                <w:color w:val="152A3B"/>
                <w:sz w:val="16"/>
              </w:rPr>
              <w:t>Auditability</w:t>
            </w:r>
          </w:p>
        </w:tc>
        <w:tc>
          <w:tcPr>
            <w:tcW w:type="dxa" w:w="7920"/>
            <w:vAlign w:val="center"/>
          </w:tcPr>
          <w:p>
            <w:r>
              <w:rPr>
                <w:rFonts w:ascii="Aptos" w:hAnsi="Aptos"/>
                <w:color w:val="152A3B"/>
                <w:sz w:val="16"/>
              </w:rPr>
              <w:t>Version every source, lesson, tool ruleset, prompt/model and assessment rubric</w:t>
            </w:r>
          </w:p>
        </w:tc>
      </w:tr>
      <w:tr>
        <w:tc>
          <w:tcPr>
            <w:tcW w:type="dxa" w:w="2160"/>
            <w:shd w:fill="F8FAFB"/>
            <w:vAlign w:val="center"/>
          </w:tcPr>
          <w:p>
            <w:r>
              <w:rPr>
                <w:rFonts w:ascii="Aptos" w:hAnsi="Aptos"/>
                <w:color w:val="152A3B"/>
                <w:sz w:val="16"/>
              </w:rPr>
              <w:t>Cost</w:t>
            </w:r>
          </w:p>
        </w:tc>
        <w:tc>
          <w:tcPr>
            <w:tcW w:type="dxa" w:w="7920"/>
            <w:shd w:fill="F8FAFB"/>
            <w:vAlign w:val="center"/>
          </w:tcPr>
          <w:p>
            <w:r>
              <w:rPr>
                <w:rFonts w:ascii="Aptos" w:hAnsi="Aptos"/>
                <w:color w:val="152A3B"/>
                <w:sz w:val="16"/>
              </w:rPr>
              <w:t>Per-user provider cost ledger; quota and premium gating for voice/avatar</w:t>
            </w:r>
          </w:p>
        </w:tc>
      </w:tr>
      <w:tr>
        <w:tc>
          <w:tcPr>
            <w:tcW w:type="dxa" w:w="2160"/>
            <w:vAlign w:val="center"/>
          </w:tcPr>
          <w:p>
            <w:r>
              <w:rPr>
                <w:rFonts w:ascii="Aptos" w:hAnsi="Aptos"/>
                <w:color w:val="152A3B"/>
                <w:sz w:val="16"/>
              </w:rPr>
              <w:t>Recovery</w:t>
            </w:r>
          </w:p>
        </w:tc>
        <w:tc>
          <w:tcPr>
            <w:tcW w:type="dxa" w:w="7920"/>
            <w:vAlign w:val="center"/>
          </w:tcPr>
          <w:p>
            <w:r>
              <w:rPr>
                <w:rFonts w:ascii="Aptos" w:hAnsi="Aptos"/>
                <w:color w:val="152A3B"/>
                <w:sz w:val="16"/>
              </w:rPr>
              <w:t>Managed DB backups/PITR; tested restore and immutable deployment rollback</w:t>
            </w:r>
          </w:p>
        </w:tc>
      </w:tr>
      <w:tr>
        <w:tc>
          <w:tcPr>
            <w:tcW w:type="dxa" w:w="2160"/>
            <w:shd w:fill="F8FAFB"/>
            <w:vAlign w:val="center"/>
          </w:tcPr>
          <w:p>
            <w:r>
              <w:rPr>
                <w:rFonts w:ascii="Aptos" w:hAnsi="Aptos"/>
                <w:color w:val="152A3B"/>
                <w:sz w:val="16"/>
              </w:rPr>
              <w:t>Observability</w:t>
            </w:r>
          </w:p>
        </w:tc>
        <w:tc>
          <w:tcPr>
            <w:tcW w:type="dxa" w:w="7920"/>
            <w:shd w:fill="F8FAFB"/>
            <w:vAlign w:val="center"/>
          </w:tcPr>
          <w:p>
            <w:r>
              <w:rPr>
                <w:rFonts w:ascii="Aptos" w:hAnsi="Aptos"/>
                <w:color w:val="152A3B"/>
                <w:sz w:val="16"/>
              </w:rPr>
              <w:t>End-to-end trace IDs and AI/provider/tool telemetry</w:t>
            </w:r>
          </w:p>
        </w:tc>
      </w:tr>
    </w:tbl>
    <w:p>
      <w:pPr>
        <w:spacing w:after="20"/>
      </w:pPr>
    </w:p>
    <w:p>
      <w:pPr>
        <w:spacing w:after="100"/>
      </w:pPr>
      <w:r>
        <w:rPr>
          <w:rFonts w:ascii="Aptos" w:hAnsi="Aptos"/>
          <w:b w:val="0"/>
          <w:color w:val="152A3B"/>
        </w:rPr>
        <w:t>Latency figures above are architecture targets to validate during prototype load testing, not guarantees.</w:t>
      </w:r>
    </w:p>
    <w:p>
      <w:pPr>
        <w:pStyle w:val="Heading1"/>
      </w:pPr>
      <w:r>
        <w:t>15. Testing and AI Evaluation</w:t>
      </w:r>
    </w:p>
    <w:p>
      <w:pPr>
        <w:pStyle w:val="Heading2"/>
      </w:pPr>
      <w:r>
        <w:t>15.1 Engineering test layers</w:t>
      </w:r>
    </w:p>
    <w:p>
      <w:pPr>
        <w:spacing w:after="60"/>
      </w:pPr>
      <w:r>
        <w:rPr>
          <w:rFonts w:ascii="Aptos" w:hAnsi="Aptos"/>
          <w:b/>
          <w:color w:val="081726"/>
          <w:sz w:val="19"/>
        </w:rPr>
        <w:t xml:space="preserve">1. </w:t>
      </w:r>
      <w:r>
        <w:rPr>
          <w:rFonts w:ascii="Aptos" w:hAnsi="Aptos"/>
          <w:color w:val="152A3B"/>
          <w:sz w:val="19"/>
        </w:rPr>
        <w:t>Domain unit tests.</w:t>
      </w:r>
    </w:p>
    <w:p>
      <w:pPr>
        <w:spacing w:after="60"/>
      </w:pPr>
      <w:r>
        <w:rPr>
          <w:rFonts w:ascii="Aptos" w:hAnsi="Aptos"/>
          <w:b/>
          <w:color w:val="081726"/>
          <w:sz w:val="19"/>
        </w:rPr>
        <w:t xml:space="preserve">2. </w:t>
      </w:r>
      <w:r>
        <w:rPr>
          <w:rFonts w:ascii="Aptos" w:hAnsi="Aptos"/>
          <w:color w:val="152A3B"/>
          <w:sz w:val="19"/>
        </w:rPr>
        <w:t>Golden deterministic calculation tests and boundary cases.</w:t>
      </w:r>
    </w:p>
    <w:p>
      <w:pPr>
        <w:spacing w:after="60"/>
      </w:pPr>
      <w:r>
        <w:rPr>
          <w:rFonts w:ascii="Aptos" w:hAnsi="Aptos"/>
          <w:b/>
          <w:color w:val="081726"/>
          <w:sz w:val="19"/>
        </w:rPr>
        <w:t xml:space="preserve">3. </w:t>
      </w:r>
      <w:r>
        <w:rPr>
          <w:rFonts w:ascii="Aptos" w:hAnsi="Aptos"/>
          <w:color w:val="152A3B"/>
          <w:sz w:val="19"/>
        </w:rPr>
        <w:t>Database/repository integration tests.</w:t>
      </w:r>
    </w:p>
    <w:p>
      <w:pPr>
        <w:spacing w:after="60"/>
      </w:pPr>
      <w:r>
        <w:rPr>
          <w:rFonts w:ascii="Aptos" w:hAnsi="Aptos"/>
          <w:b/>
          <w:color w:val="081726"/>
          <w:sz w:val="19"/>
        </w:rPr>
        <w:t xml:space="preserve">4. </w:t>
      </w:r>
      <w:r>
        <w:rPr>
          <w:rFonts w:ascii="Aptos" w:hAnsi="Aptos"/>
          <w:color w:val="152A3B"/>
          <w:sz w:val="19"/>
        </w:rPr>
        <w:t>API contract tests.</w:t>
      </w:r>
    </w:p>
    <w:p>
      <w:pPr>
        <w:spacing w:after="60"/>
      </w:pPr>
      <w:r>
        <w:rPr>
          <w:rFonts w:ascii="Aptos" w:hAnsi="Aptos"/>
          <w:b/>
          <w:color w:val="081726"/>
          <w:sz w:val="19"/>
        </w:rPr>
        <w:t xml:space="preserve">5. </w:t>
      </w:r>
      <w:r>
        <w:rPr>
          <w:rFonts w:ascii="Aptos" w:hAnsi="Aptos"/>
          <w:color w:val="152A3B"/>
          <w:sz w:val="19"/>
        </w:rPr>
        <w:t>Frontend unit/component tests.</w:t>
      </w:r>
    </w:p>
    <w:p>
      <w:pPr>
        <w:spacing w:after="60"/>
      </w:pPr>
      <w:r>
        <w:rPr>
          <w:rFonts w:ascii="Aptos" w:hAnsi="Aptos"/>
          <w:b/>
          <w:color w:val="081726"/>
          <w:sz w:val="19"/>
        </w:rPr>
        <w:t xml:space="preserve">6. </w:t>
      </w:r>
      <w:r>
        <w:rPr>
          <w:rFonts w:ascii="Aptos" w:hAnsi="Aptos"/>
          <w:color w:val="152A3B"/>
          <w:sz w:val="19"/>
        </w:rPr>
        <w:t>Playwright Golden Lesson end-to-end tests.</w:t>
      </w:r>
    </w:p>
    <w:p>
      <w:pPr>
        <w:spacing w:after="60"/>
      </w:pPr>
      <w:r>
        <w:rPr>
          <w:rFonts w:ascii="Aptos" w:hAnsi="Aptos"/>
          <w:b/>
          <w:color w:val="081726"/>
          <w:sz w:val="19"/>
        </w:rPr>
        <w:t xml:space="preserve">7. </w:t>
      </w:r>
      <w:r>
        <w:rPr>
          <w:rFonts w:ascii="Aptos" w:hAnsi="Aptos"/>
          <w:color w:val="152A3B"/>
          <w:sz w:val="19"/>
        </w:rPr>
        <w:t>AI eval suite.</w:t>
      </w:r>
    </w:p>
    <w:p>
      <w:pPr>
        <w:spacing w:after="60"/>
      </w:pPr>
      <w:r>
        <w:rPr>
          <w:rFonts w:ascii="Aptos" w:hAnsi="Aptos"/>
          <w:b/>
          <w:color w:val="081726"/>
          <w:sz w:val="19"/>
        </w:rPr>
        <w:t xml:space="preserve">8. </w:t>
      </w:r>
      <w:r>
        <w:rPr>
          <w:rFonts w:ascii="Aptos" w:hAnsi="Aptos"/>
          <w:color w:val="152A3B"/>
          <w:sz w:val="19"/>
        </w:rPr>
        <w:t>Arabic/RTL/terminology QA.</w:t>
      </w:r>
    </w:p>
    <w:p>
      <w:pPr>
        <w:spacing w:after="60"/>
      </w:pPr>
      <w:r>
        <w:rPr>
          <w:rFonts w:ascii="Aptos" w:hAnsi="Aptos"/>
          <w:b/>
          <w:color w:val="081726"/>
          <w:sz w:val="19"/>
        </w:rPr>
        <w:t xml:space="preserve">9. </w:t>
      </w:r>
      <w:r>
        <w:rPr>
          <w:rFonts w:ascii="Aptos" w:hAnsi="Aptos"/>
          <w:color w:val="152A3B"/>
          <w:sz w:val="19"/>
        </w:rPr>
        <w:t>Load tests for tutor/API/lesson start.</w:t>
      </w:r>
    </w:p>
    <w:p>
      <w:pPr>
        <w:spacing w:after="60"/>
      </w:pPr>
      <w:r>
        <w:rPr>
          <w:rFonts w:ascii="Aptos" w:hAnsi="Aptos"/>
          <w:b/>
          <w:color w:val="081726"/>
          <w:sz w:val="19"/>
        </w:rPr>
        <w:t xml:space="preserve">10. </w:t>
      </w:r>
      <w:r>
        <w:rPr>
          <w:rFonts w:ascii="Aptos" w:hAnsi="Aptos"/>
          <w:color w:val="152A3B"/>
          <w:sz w:val="19"/>
        </w:rPr>
        <w:t>Failure/chaos tests for provider unavailability and worker retry behavior.</w:t>
      </w:r>
    </w:p>
    <w:p>
      <w:pPr>
        <w:pStyle w:val="Heading2"/>
      </w:pPr>
      <w:r>
        <w:t>15.2 AI evaluation set</w:t>
      </w:r>
    </w:p>
    <w:tbl>
      <w:tblPr>
        <w:tblStyle w:val="TableGrid"/>
        <w:tblW w:type="auto" w:w="0"/>
        <w:jc w:val="center"/>
        <w:tblLook w:firstColumn="1" w:firstRow="1" w:lastColumn="0" w:lastRow="0" w:noHBand="0" w:noVBand="1" w:val="04A0"/>
      </w:tblPr>
      <w:tblGrid>
        <w:gridCol w:w="5083"/>
        <w:gridCol w:w="5083"/>
      </w:tblGrid>
      <w:tr>
        <w:tc>
          <w:tcPr>
            <w:tcW w:type="dxa" w:w="230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Eval category</w:t>
            </w:r>
          </w:p>
        </w:tc>
        <w:tc>
          <w:tcPr>
            <w:tcW w:type="dxa" w:w="777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Must prove</w:t>
            </w:r>
          </w:p>
        </w:tc>
      </w:tr>
      <w:tr>
        <w:tc>
          <w:tcPr>
            <w:tcW w:type="dxa" w:w="2304"/>
            <w:vAlign w:val="center"/>
          </w:tcPr>
          <w:p>
            <w:r>
              <w:rPr>
                <w:rFonts w:ascii="Aptos" w:hAnsi="Aptos"/>
                <w:color w:val="152A3B"/>
                <w:sz w:val="16"/>
              </w:rPr>
              <w:t>Grounding</w:t>
            </w:r>
          </w:p>
        </w:tc>
        <w:tc>
          <w:tcPr>
            <w:tcW w:type="dxa" w:w="7776"/>
            <w:vAlign w:val="center"/>
          </w:tcPr>
          <w:p>
            <w:r>
              <w:rPr>
                <w:rFonts w:ascii="Aptos" w:hAnsi="Aptos"/>
                <w:color w:val="152A3B"/>
                <w:sz w:val="16"/>
              </w:rPr>
              <w:t>Regulatory claim resolves to approved source/citation</w:t>
            </w:r>
          </w:p>
        </w:tc>
      </w:tr>
      <w:tr>
        <w:tc>
          <w:tcPr>
            <w:tcW w:type="dxa" w:w="2304"/>
            <w:shd w:fill="F8FAFB"/>
            <w:vAlign w:val="center"/>
          </w:tcPr>
          <w:p>
            <w:r>
              <w:rPr>
                <w:rFonts w:ascii="Aptos" w:hAnsi="Aptos"/>
                <w:color w:val="152A3B"/>
                <w:sz w:val="16"/>
              </w:rPr>
              <w:t>Status</w:t>
            </w:r>
          </w:p>
        </w:tc>
        <w:tc>
          <w:tcPr>
            <w:tcW w:type="dxa" w:w="7776"/>
            <w:shd w:fill="F8FAFB"/>
            <w:vAlign w:val="center"/>
          </w:tcPr>
          <w:p>
            <w:r>
              <w:rPr>
                <w:rFonts w:ascii="Aptos" w:hAnsi="Aptos"/>
                <w:color w:val="152A3B"/>
                <w:sz w:val="16"/>
              </w:rPr>
              <w:t>Proposed vs final/effective is never confused</w:t>
            </w:r>
          </w:p>
        </w:tc>
      </w:tr>
      <w:tr>
        <w:tc>
          <w:tcPr>
            <w:tcW w:type="dxa" w:w="2304"/>
            <w:vAlign w:val="center"/>
          </w:tcPr>
          <w:p>
            <w:r>
              <w:rPr>
                <w:rFonts w:ascii="Aptos" w:hAnsi="Aptos"/>
                <w:color w:val="152A3B"/>
                <w:sz w:val="16"/>
              </w:rPr>
              <w:t>Tool use</w:t>
            </w:r>
          </w:p>
        </w:tc>
        <w:tc>
          <w:tcPr>
            <w:tcW w:type="dxa" w:w="7776"/>
            <w:vAlign w:val="center"/>
          </w:tcPr>
          <w:p>
            <w:r>
              <w:rPr>
                <w:rFonts w:ascii="Aptos" w:hAnsi="Aptos"/>
                <w:color w:val="152A3B"/>
                <w:sz w:val="16"/>
              </w:rPr>
              <w:t>Numeric/RWA question invokes required calculator</w:t>
            </w:r>
          </w:p>
        </w:tc>
      </w:tr>
      <w:tr>
        <w:tc>
          <w:tcPr>
            <w:tcW w:type="dxa" w:w="2304"/>
            <w:shd w:fill="F8FAFB"/>
            <w:vAlign w:val="center"/>
          </w:tcPr>
          <w:p>
            <w:r>
              <w:rPr>
                <w:rFonts w:ascii="Aptos" w:hAnsi="Aptos"/>
                <w:color w:val="152A3B"/>
                <w:sz w:val="16"/>
              </w:rPr>
              <w:t>Numerical fidelity</w:t>
            </w:r>
          </w:p>
        </w:tc>
        <w:tc>
          <w:tcPr>
            <w:tcW w:type="dxa" w:w="7776"/>
            <w:shd w:fill="F8FAFB"/>
            <w:vAlign w:val="center"/>
          </w:tcPr>
          <w:p>
            <w:r>
              <w:rPr>
                <w:rFonts w:ascii="Aptos" w:hAnsi="Aptos"/>
                <w:color w:val="152A3B"/>
                <w:sz w:val="16"/>
              </w:rPr>
              <w:t>Narrative values exactly match tool result</w:t>
            </w:r>
          </w:p>
        </w:tc>
      </w:tr>
      <w:tr>
        <w:tc>
          <w:tcPr>
            <w:tcW w:type="dxa" w:w="2304"/>
            <w:vAlign w:val="center"/>
          </w:tcPr>
          <w:p>
            <w:r>
              <w:rPr>
                <w:rFonts w:ascii="Aptos" w:hAnsi="Aptos"/>
                <w:color w:val="152A3B"/>
                <w:sz w:val="16"/>
              </w:rPr>
              <w:t>Pedagogy</w:t>
            </w:r>
          </w:p>
        </w:tc>
        <w:tc>
          <w:tcPr>
            <w:tcW w:type="dxa" w:w="7776"/>
            <w:vAlign w:val="center"/>
          </w:tcPr>
          <w:p>
            <w:r>
              <w:rPr>
                <w:rFonts w:ascii="Aptos" w:hAnsi="Aptos"/>
                <w:color w:val="152A3B"/>
                <w:sz w:val="16"/>
              </w:rPr>
              <w:t>Socratic mode gives learner opportunity before answer</w:t>
            </w:r>
          </w:p>
        </w:tc>
      </w:tr>
      <w:tr>
        <w:tc>
          <w:tcPr>
            <w:tcW w:type="dxa" w:w="2304"/>
            <w:shd w:fill="F8FAFB"/>
            <w:vAlign w:val="center"/>
          </w:tcPr>
          <w:p>
            <w:r>
              <w:rPr>
                <w:rFonts w:ascii="Aptos" w:hAnsi="Aptos"/>
                <w:color w:val="152A3B"/>
                <w:sz w:val="16"/>
              </w:rPr>
              <w:t>Assessment integrity</w:t>
            </w:r>
          </w:p>
        </w:tc>
        <w:tc>
          <w:tcPr>
            <w:tcW w:type="dxa" w:w="7776"/>
            <w:shd w:fill="F8FAFB"/>
            <w:vAlign w:val="center"/>
          </w:tcPr>
          <w:p>
            <w:r>
              <w:rPr>
                <w:rFonts w:ascii="Aptos" w:hAnsi="Aptos"/>
                <w:color w:val="152A3B"/>
                <w:sz w:val="16"/>
              </w:rPr>
              <w:t>Viva does not coach during scored portion</w:t>
            </w:r>
          </w:p>
        </w:tc>
      </w:tr>
      <w:tr>
        <w:tc>
          <w:tcPr>
            <w:tcW w:type="dxa" w:w="2304"/>
            <w:vAlign w:val="center"/>
          </w:tcPr>
          <w:p>
            <w:r>
              <w:rPr>
                <w:rFonts w:ascii="Aptos" w:hAnsi="Aptos"/>
                <w:color w:val="152A3B"/>
                <w:sz w:val="16"/>
              </w:rPr>
              <w:t>Arabic</w:t>
            </w:r>
          </w:p>
        </w:tc>
        <w:tc>
          <w:tcPr>
            <w:tcW w:type="dxa" w:w="7776"/>
            <w:vAlign w:val="center"/>
          </w:tcPr>
          <w:p>
            <w:r>
              <w:rPr>
                <w:rFonts w:ascii="Aptos" w:hAnsi="Aptos"/>
                <w:color w:val="152A3B"/>
                <w:sz w:val="16"/>
              </w:rPr>
              <w:t>Terminology and meaning consistent with approved glossary</w:t>
            </w:r>
          </w:p>
        </w:tc>
      </w:tr>
      <w:tr>
        <w:tc>
          <w:tcPr>
            <w:tcW w:type="dxa" w:w="2304"/>
            <w:shd w:fill="F8FAFB"/>
            <w:vAlign w:val="center"/>
          </w:tcPr>
          <w:p>
            <w:r>
              <w:rPr>
                <w:rFonts w:ascii="Aptos" w:hAnsi="Aptos"/>
                <w:color w:val="152A3B"/>
                <w:sz w:val="16"/>
              </w:rPr>
              <w:t>Injection resistance</w:t>
            </w:r>
          </w:p>
        </w:tc>
        <w:tc>
          <w:tcPr>
            <w:tcW w:type="dxa" w:w="7776"/>
            <w:shd w:fill="F8FAFB"/>
            <w:vAlign w:val="center"/>
          </w:tcPr>
          <w:p>
            <w:r>
              <w:rPr>
                <w:rFonts w:ascii="Aptos" w:hAnsi="Aptos"/>
                <w:color w:val="152A3B"/>
                <w:sz w:val="16"/>
              </w:rPr>
              <w:t>Retrieved text cannot override tutor policy/tool permissions</w:t>
            </w:r>
          </w:p>
        </w:tc>
      </w:tr>
      <w:tr>
        <w:tc>
          <w:tcPr>
            <w:tcW w:type="dxa" w:w="2304"/>
            <w:vAlign w:val="center"/>
          </w:tcPr>
          <w:p>
            <w:r>
              <w:rPr>
                <w:rFonts w:ascii="Aptos" w:hAnsi="Aptos"/>
                <w:color w:val="152A3B"/>
                <w:sz w:val="16"/>
              </w:rPr>
              <w:t>Failure handling</w:t>
            </w:r>
          </w:p>
        </w:tc>
        <w:tc>
          <w:tcPr>
            <w:tcW w:type="dxa" w:w="7776"/>
            <w:vAlign w:val="center"/>
          </w:tcPr>
          <w:p>
            <w:r>
              <w:rPr>
                <w:rFonts w:ascii="Aptos" w:hAnsi="Aptos"/>
                <w:color w:val="152A3B"/>
                <w:sz w:val="16"/>
              </w:rPr>
              <w:t>Missing source/tool error produces transparent limitation</w:t>
            </w:r>
          </w:p>
        </w:tc>
      </w:tr>
    </w:tbl>
    <w:p>
      <w:pPr>
        <w:spacing w:after="20"/>
      </w:pPr>
    </w:p>
    <w:p>
      <w:pPr>
        <w:pStyle w:val="Heading1"/>
      </w:pPr>
      <w:r>
        <w:t>16. Deployment Architecture</w:t>
      </w:r>
    </w:p>
    <w:p>
      <w:pPr>
        <w:spacing w:after="40"/>
        <w:jc w:val="center"/>
      </w:pPr>
      <w:r>
        <w:drawing>
          <wp:inline xmlns:a="http://schemas.openxmlformats.org/drawingml/2006/main" xmlns:pic="http://schemas.openxmlformats.org/drawingml/2006/picture">
            <wp:extent cx="6492240" cy="3976497"/>
            <wp:docPr id="4" name="Picture 4"/>
            <wp:cNvGraphicFramePr>
              <a:graphicFrameLocks noChangeAspect="1"/>
            </wp:cNvGraphicFramePr>
            <a:graphic>
              <a:graphicData uri="http://schemas.openxmlformats.org/drawingml/2006/picture">
                <pic:pic>
                  <pic:nvPicPr>
                    <pic:cNvPr id="0" name="logical_architecture.png"/>
                    <pic:cNvPicPr/>
                  </pic:nvPicPr>
                  <pic:blipFill>
                    <a:blip r:embed="rId14"/>
                    <a:stretch>
                      <a:fillRect/>
                    </a:stretch>
                  </pic:blipFill>
                  <pic:spPr>
                    <a:xfrm>
                      <a:off x="0" y="0"/>
                      <a:ext cx="6492240" cy="3976497"/>
                    </a:xfrm>
                    <a:prstGeom prst="rect"/>
                  </pic:spPr>
                </pic:pic>
              </a:graphicData>
            </a:graphic>
          </wp:inline>
        </w:drawing>
      </w:r>
    </w:p>
    <w:p>
      <w:pPr>
        <w:spacing w:after="120"/>
        <w:jc w:val="center"/>
      </w:pPr>
      <w:r>
        <w:rPr>
          <w:rFonts w:ascii="Aptos" w:hAnsi="Aptos"/>
          <w:color w:val="617789"/>
          <w:sz w:val="16"/>
        </w:rPr>
        <w:t>Figure 3 — Logical application architecture.</w:t>
      </w:r>
    </w:p>
    <w:p>
      <w:pPr>
        <w:spacing w:after="40"/>
        <w:jc w:val="center"/>
      </w:pPr>
      <w:r>
        <w:drawing>
          <wp:inline xmlns:a="http://schemas.openxmlformats.org/drawingml/2006/main" xmlns:pic="http://schemas.openxmlformats.org/drawingml/2006/picture">
            <wp:extent cx="6492240" cy="4057650"/>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6492240" cy="4057650"/>
                    </a:xfrm>
                    <a:prstGeom prst="rect"/>
                  </pic:spPr>
                </pic:pic>
              </a:graphicData>
            </a:graphic>
          </wp:inline>
        </w:drawing>
      </w:r>
    </w:p>
    <w:p>
      <w:pPr>
        <w:spacing w:after="120"/>
        <w:jc w:val="center"/>
      </w:pPr>
      <w:r>
        <w:rPr>
          <w:rFonts w:ascii="Aptos" w:hAnsi="Aptos"/>
          <w:color w:val="617789"/>
          <w:sz w:val="16"/>
        </w:rPr>
        <w:t>Figure 4 — Recommended initial SaaS deployment.</w:t>
      </w:r>
    </w:p>
    <w:p>
      <w:pPr>
        <w:pStyle w:val="Heading2"/>
      </w:pPr>
      <w:r>
        <w:t>16.1 V1 deployment recommendation</w:t>
      </w:r>
    </w:p>
    <w:p>
      <w:pPr>
        <w:spacing w:after="100"/>
      </w:pPr>
      <w:r>
        <w:rPr>
          <w:rFonts w:ascii="Aptos" w:hAnsi="Aptos"/>
          <w:b w:val="0"/>
          <w:color w:val="152A3B"/>
        </w:rPr>
        <w:t>Use a managed-container strategy rather than Kubernetes. AWS Fargate runs ECS containers without requiring the team to provision or manage underlying server clusters and supports load balancing and service scaling; this fits the V1 need for stateless web/API/worker components. [R5]</w:t>
      </w:r>
    </w:p>
    <w:p>
      <w:pPr>
        <w:pStyle w:val="ListBullet"/>
        <w:spacing w:after="40"/>
      </w:pPr>
      <w:r>
        <w:rPr>
          <w:rFonts w:ascii="Aptos" w:hAnsi="Aptos"/>
          <w:color w:val="152A3B"/>
          <w:sz w:val="19"/>
        </w:rPr>
        <w:t>CloudFront + S3 for lesson/video/static media; browser never streams large media through FastAPI.</w:t>
      </w:r>
    </w:p>
    <w:p>
      <w:pPr>
        <w:pStyle w:val="ListBullet"/>
        <w:spacing w:after="40"/>
      </w:pPr>
      <w:r>
        <w:rPr>
          <w:rFonts w:ascii="Aptos" w:hAnsi="Aptos"/>
          <w:color w:val="152A3B"/>
          <w:sz w:val="19"/>
        </w:rPr>
        <w:t>ECS Fargate services for web/API/realtime broker and worker processes.</w:t>
      </w:r>
    </w:p>
    <w:p>
      <w:pPr>
        <w:pStyle w:val="ListBullet"/>
        <w:spacing w:after="40"/>
      </w:pPr>
      <w:r>
        <w:rPr>
          <w:rFonts w:ascii="Aptos" w:hAnsi="Aptos"/>
          <w:color w:val="152A3B"/>
          <w:sz w:val="19"/>
        </w:rPr>
        <w:t>RDS PostgreSQL as system of record; pgvector keeps V1 retrieval in the same operational data platform. pgvector supports vector similarity search within PostgreSQL. [R7]</w:t>
      </w:r>
    </w:p>
    <w:p>
      <w:pPr>
        <w:pStyle w:val="ListBullet"/>
        <w:spacing w:after="40"/>
      </w:pPr>
      <w:r>
        <w:rPr>
          <w:rFonts w:ascii="Aptos" w:hAnsi="Aptos"/>
          <w:color w:val="152A3B"/>
          <w:sz w:val="19"/>
        </w:rPr>
        <w:t>ElastiCache Redis for ephemeral cache/rate/session coordination only.</w:t>
      </w:r>
    </w:p>
    <w:p>
      <w:pPr>
        <w:pStyle w:val="ListBullet"/>
        <w:spacing w:after="40"/>
      </w:pPr>
      <w:r>
        <w:rPr>
          <w:rFonts w:ascii="Aptos" w:hAnsi="Aptos"/>
          <w:color w:val="152A3B"/>
          <w:sz w:val="19"/>
        </w:rPr>
        <w:t>Durable workflows for media publication, indexing, evals and notifications. Temporal documents durable workflows that resume after failures; use it when workflow reliability warrants the dependency. [R6]</w:t>
      </w:r>
    </w:p>
    <w:p>
      <w:pPr>
        <w:pStyle w:val="ListBullet"/>
        <w:spacing w:after="40"/>
      </w:pPr>
      <w:r>
        <w:rPr>
          <w:rFonts w:ascii="Aptos" w:hAnsi="Aptos"/>
          <w:color w:val="152A3B"/>
          <w:sz w:val="19"/>
        </w:rPr>
        <w:t>OpenTelemetry instrumentation so traces/metrics/logs are vendor-neutral and correlated. [R8]</w:t>
      </w:r>
    </w:p>
    <w:p>
      <w:pPr>
        <w:pStyle w:val="ListBullet"/>
        <w:spacing w:after="40"/>
      </w:pPr>
      <w:r>
        <w:rPr>
          <w:rFonts w:ascii="Aptos" w:hAnsi="Aptos"/>
          <w:color w:val="152A3B"/>
          <w:sz w:val="19"/>
        </w:rPr>
        <w:t>Terraform for infrastructure-as-code and GitHub Actions for CI/CD.</w:t>
      </w:r>
    </w:p>
    <w:p>
      <w:pPr>
        <w:pStyle w:val="ListBullet"/>
        <w:spacing w:after="40"/>
      </w:pPr>
      <w:r>
        <w:rPr>
          <w:rFonts w:ascii="Aptos" w:hAnsi="Aptos"/>
          <w:color w:val="152A3B"/>
          <w:sz w:val="19"/>
        </w:rPr>
        <w:t>Defer EKS/Kubernetes until enterprise deployment or scale requirements make it beneficial.</w:t>
      </w:r>
    </w:p>
    <w:p>
      <w:pPr>
        <w:pStyle w:val="Heading1"/>
      </w:pPr>
      <w:r>
        <w:t>17. Implementation Sprints</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Sprint</w:t>
            </w:r>
          </w:p>
        </w:tc>
        <w:tc>
          <w:tcPr>
            <w:tcW w:type="dxa" w:w="547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Primary deliverables</w:t>
            </w:r>
          </w:p>
        </w:tc>
        <w:tc>
          <w:tcPr>
            <w:tcW w:type="dxa" w:w="288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Exit criteria</w:t>
            </w:r>
          </w:p>
        </w:tc>
      </w:tr>
      <w:tr>
        <w:tc>
          <w:tcPr>
            <w:tcW w:type="dxa" w:w="1800"/>
            <w:vAlign w:val="center"/>
          </w:tcPr>
          <w:p>
            <w:r>
              <w:rPr>
                <w:rFonts w:ascii="Aptos" w:hAnsi="Aptos"/>
                <w:color w:val="152A3B"/>
                <w:sz w:val="15"/>
              </w:rPr>
              <w:t>0 — Architecture lock</w:t>
            </w:r>
          </w:p>
        </w:tc>
        <w:tc>
          <w:tcPr>
            <w:tcW w:type="dxa" w:w="5472"/>
            <w:vAlign w:val="center"/>
          </w:tcPr>
          <w:p>
            <w:r>
              <w:rPr>
                <w:rFonts w:ascii="Aptos" w:hAnsi="Aptos"/>
                <w:color w:val="152A3B"/>
                <w:sz w:val="15"/>
              </w:rPr>
              <w:t>Repo skeleton, ADRs, CI, local Compose, base telemetry, domain contracts</w:t>
            </w:r>
          </w:p>
        </w:tc>
        <w:tc>
          <w:tcPr>
            <w:tcW w:type="dxa" w:w="2880"/>
            <w:vAlign w:val="center"/>
          </w:tcPr>
          <w:p>
            <w:r>
              <w:rPr>
                <w:rFonts w:ascii="Aptos" w:hAnsi="Aptos"/>
                <w:color w:val="152A3B"/>
                <w:sz w:val="15"/>
              </w:rPr>
              <w:t>Lock checklist accepted; CI green; dev environment reproducible</w:t>
            </w:r>
          </w:p>
        </w:tc>
      </w:tr>
      <w:tr>
        <w:tc>
          <w:tcPr>
            <w:tcW w:type="dxa" w:w="1800"/>
            <w:shd w:fill="F8FAFB"/>
            <w:vAlign w:val="center"/>
          </w:tcPr>
          <w:p>
            <w:r>
              <w:rPr>
                <w:rFonts w:ascii="Aptos" w:hAnsi="Aptos"/>
                <w:color w:val="152A3B"/>
                <w:sz w:val="15"/>
              </w:rPr>
              <w:t>1 — Content/domain</w:t>
            </w:r>
          </w:p>
        </w:tc>
        <w:tc>
          <w:tcPr>
            <w:tcW w:type="dxa" w:w="5472"/>
            <w:shd w:fill="F8FAFB"/>
            <w:vAlign w:val="center"/>
          </w:tcPr>
          <w:p>
            <w:r>
              <w:rPr>
                <w:rFonts w:ascii="Aptos" w:hAnsi="Aptos"/>
                <w:color w:val="152A3B"/>
                <w:sz w:val="15"/>
              </w:rPr>
              <w:t>Rule/concept/lesson/version schemas; Golden Lesson seed; review state machine</w:t>
            </w:r>
          </w:p>
        </w:tc>
        <w:tc>
          <w:tcPr>
            <w:tcW w:type="dxa" w:w="2880"/>
            <w:shd w:fill="F8FAFB"/>
            <w:vAlign w:val="center"/>
          </w:tcPr>
          <w:p>
            <w:r>
              <w:rPr>
                <w:rFonts w:ascii="Aptos" w:hAnsi="Aptos"/>
                <w:color w:val="152A3B"/>
                <w:sz w:val="15"/>
              </w:rPr>
              <w:t>Reviewed data model; seed loads reproducibly</w:t>
            </w:r>
          </w:p>
        </w:tc>
      </w:tr>
      <w:tr>
        <w:tc>
          <w:tcPr>
            <w:tcW w:type="dxa" w:w="1800"/>
            <w:vAlign w:val="center"/>
          </w:tcPr>
          <w:p>
            <w:r>
              <w:rPr>
                <w:rFonts w:ascii="Aptos" w:hAnsi="Aptos"/>
                <w:color w:val="152A3B"/>
                <w:sz w:val="15"/>
              </w:rPr>
              <w:t>2 — Learner/player</w:t>
            </w:r>
          </w:p>
        </w:tc>
        <w:tc>
          <w:tcPr>
            <w:tcW w:type="dxa" w:w="5472"/>
            <w:vAlign w:val="center"/>
          </w:tcPr>
          <w:p>
            <w:r>
              <w:rPr>
                <w:rFonts w:ascii="Aptos" w:hAnsi="Aptos"/>
                <w:color w:val="152A3B"/>
                <w:sz w:val="15"/>
              </w:rPr>
              <w:t>Auth, dashboard, lesson player, semantic timeline, progress events</w:t>
            </w:r>
          </w:p>
        </w:tc>
        <w:tc>
          <w:tcPr>
            <w:tcW w:type="dxa" w:w="2880"/>
            <w:vAlign w:val="center"/>
          </w:tcPr>
          <w:p>
            <w:r>
              <w:rPr>
                <w:rFonts w:ascii="Aptos" w:hAnsi="Aptos"/>
                <w:color w:val="152A3B"/>
                <w:sz w:val="15"/>
              </w:rPr>
              <w:t>Resume and timestamp context work end-to-end</w:t>
            </w:r>
          </w:p>
        </w:tc>
      </w:tr>
      <w:tr>
        <w:tc>
          <w:tcPr>
            <w:tcW w:type="dxa" w:w="1800"/>
            <w:shd w:fill="F8FAFB"/>
            <w:vAlign w:val="center"/>
          </w:tcPr>
          <w:p>
            <w:r>
              <w:rPr>
                <w:rFonts w:ascii="Aptos" w:hAnsi="Aptos"/>
                <w:color w:val="152A3B"/>
                <w:sz w:val="15"/>
              </w:rPr>
              <w:t>3 — Finance lab</w:t>
            </w:r>
          </w:p>
        </w:tc>
        <w:tc>
          <w:tcPr>
            <w:tcW w:type="dxa" w:w="5472"/>
            <w:shd w:fill="F8FAFB"/>
            <w:vAlign w:val="center"/>
          </w:tcPr>
          <w:p>
            <w:r>
              <w:rPr>
                <w:rFonts w:ascii="Aptos" w:hAnsi="Aptos"/>
                <w:color w:val="152A3B"/>
                <w:sz w:val="15"/>
              </w:rPr>
              <w:t>FinBank fixture, corporate classifier/calculator, jurisdiction adapters</w:t>
            </w:r>
          </w:p>
        </w:tc>
        <w:tc>
          <w:tcPr>
            <w:tcW w:type="dxa" w:w="2880"/>
            <w:shd w:fill="F8FAFB"/>
            <w:vAlign w:val="center"/>
          </w:tcPr>
          <w:p>
            <w:r>
              <w:rPr>
                <w:rFonts w:ascii="Aptos" w:hAnsi="Aptos"/>
                <w:color w:val="152A3B"/>
                <w:sz w:val="15"/>
              </w:rPr>
              <w:t>Golden calculation suite passes</w:t>
            </w:r>
          </w:p>
        </w:tc>
      </w:tr>
      <w:tr>
        <w:tc>
          <w:tcPr>
            <w:tcW w:type="dxa" w:w="1800"/>
            <w:vAlign w:val="center"/>
          </w:tcPr>
          <w:p>
            <w:r>
              <w:rPr>
                <w:rFonts w:ascii="Aptos" w:hAnsi="Aptos"/>
                <w:color w:val="152A3B"/>
                <w:sz w:val="15"/>
              </w:rPr>
              <w:t>4 — Text tutor</w:t>
            </w:r>
          </w:p>
        </w:tc>
        <w:tc>
          <w:tcPr>
            <w:tcW w:type="dxa" w:w="5472"/>
            <w:vAlign w:val="center"/>
          </w:tcPr>
          <w:p>
            <w:r>
              <w:rPr>
                <w:rFonts w:ascii="Aptos" w:hAnsi="Aptos"/>
                <w:color w:val="152A3B"/>
                <w:sz w:val="15"/>
              </w:rPr>
              <w:t>Grounding, citations, tool calling, streamed chat, tutor modes</w:t>
            </w:r>
          </w:p>
        </w:tc>
        <w:tc>
          <w:tcPr>
            <w:tcW w:type="dxa" w:w="2880"/>
            <w:vAlign w:val="center"/>
          </w:tcPr>
          <w:p>
            <w:r>
              <w:rPr>
                <w:rFonts w:ascii="Aptos" w:hAnsi="Aptos"/>
                <w:color w:val="152A3B"/>
                <w:sz w:val="15"/>
              </w:rPr>
              <w:t>Eval suite passes agreed threshold</w:t>
            </w:r>
          </w:p>
        </w:tc>
      </w:tr>
      <w:tr>
        <w:tc>
          <w:tcPr>
            <w:tcW w:type="dxa" w:w="1800"/>
            <w:shd w:fill="F8FAFB"/>
            <w:vAlign w:val="center"/>
          </w:tcPr>
          <w:p>
            <w:r>
              <w:rPr>
                <w:rFonts w:ascii="Aptos" w:hAnsi="Aptos"/>
                <w:color w:val="152A3B"/>
                <w:sz w:val="15"/>
              </w:rPr>
              <w:t>5 — Mastery</w:t>
            </w:r>
          </w:p>
        </w:tc>
        <w:tc>
          <w:tcPr>
            <w:tcW w:type="dxa" w:w="5472"/>
            <w:shd w:fill="F8FAFB"/>
            <w:vAlign w:val="center"/>
          </w:tcPr>
          <w:p>
            <w:r>
              <w:rPr>
                <w:rFonts w:ascii="Aptos" w:hAnsi="Aptos"/>
                <w:color w:val="152A3B"/>
                <w:sz w:val="15"/>
              </w:rPr>
              <w:t>Checkpoints, events, mastery/misconceptions, recommendations</w:t>
            </w:r>
          </w:p>
        </w:tc>
        <w:tc>
          <w:tcPr>
            <w:tcW w:type="dxa" w:w="2880"/>
            <w:shd w:fill="F8FAFB"/>
            <w:vAlign w:val="center"/>
          </w:tcPr>
          <w:p>
            <w:r>
              <w:rPr>
                <w:rFonts w:ascii="Aptos" w:hAnsi="Aptos"/>
                <w:color w:val="152A3B"/>
                <w:sz w:val="15"/>
              </w:rPr>
              <w:t>Deterministic mastery updates from test journeys</w:t>
            </w:r>
          </w:p>
        </w:tc>
      </w:tr>
      <w:tr>
        <w:tc>
          <w:tcPr>
            <w:tcW w:type="dxa" w:w="1800"/>
            <w:vAlign w:val="center"/>
          </w:tcPr>
          <w:p>
            <w:r>
              <w:rPr>
                <w:rFonts w:ascii="Aptos" w:hAnsi="Aptos"/>
                <w:color w:val="152A3B"/>
                <w:sz w:val="15"/>
              </w:rPr>
              <w:t>6 — Voice</w:t>
            </w:r>
          </w:p>
        </w:tc>
        <w:tc>
          <w:tcPr>
            <w:tcW w:type="dxa" w:w="5472"/>
            <w:vAlign w:val="center"/>
          </w:tcPr>
          <w:p>
            <w:r>
              <w:rPr>
                <w:rFonts w:ascii="Aptos" w:hAnsi="Aptos"/>
                <w:color w:val="152A3B"/>
                <w:sz w:val="15"/>
              </w:rPr>
              <w:t>Realtime session, barge-in, transcript, resume, cost telemetry</w:t>
            </w:r>
          </w:p>
        </w:tc>
        <w:tc>
          <w:tcPr>
            <w:tcW w:type="dxa" w:w="2880"/>
            <w:vAlign w:val="center"/>
          </w:tcPr>
          <w:p>
            <w:r>
              <w:rPr>
                <w:rFonts w:ascii="Aptos" w:hAnsi="Aptos"/>
                <w:color w:val="152A3B"/>
                <w:sz w:val="15"/>
              </w:rPr>
              <w:t>Voice interruption works across supported browsers</w:t>
            </w:r>
          </w:p>
        </w:tc>
      </w:tr>
      <w:tr>
        <w:tc>
          <w:tcPr>
            <w:tcW w:type="dxa" w:w="1800"/>
            <w:shd w:fill="F8FAFB"/>
            <w:vAlign w:val="center"/>
          </w:tcPr>
          <w:p>
            <w:r>
              <w:rPr>
                <w:rFonts w:ascii="Aptos" w:hAnsi="Aptos"/>
                <w:color w:val="152A3B"/>
                <w:sz w:val="15"/>
              </w:rPr>
              <w:t>7 — Arabic</w:t>
            </w:r>
          </w:p>
        </w:tc>
        <w:tc>
          <w:tcPr>
            <w:tcW w:type="dxa" w:w="5472"/>
            <w:shd w:fill="F8FAFB"/>
            <w:vAlign w:val="center"/>
          </w:tcPr>
          <w:p>
            <w:r>
              <w:rPr>
                <w:rFonts w:ascii="Aptos" w:hAnsi="Aptos"/>
                <w:color w:val="152A3B"/>
                <w:sz w:val="15"/>
              </w:rPr>
              <w:t>RTL, glossary, Arabic lesson/tutor/voice QA</w:t>
            </w:r>
          </w:p>
        </w:tc>
        <w:tc>
          <w:tcPr>
            <w:tcW w:type="dxa" w:w="2880"/>
            <w:shd w:fill="F8FAFB"/>
            <w:vAlign w:val="center"/>
          </w:tcPr>
          <w:p>
            <w:r>
              <w:rPr>
                <w:rFonts w:ascii="Aptos" w:hAnsi="Aptos"/>
                <w:color w:val="152A3B"/>
                <w:sz w:val="15"/>
              </w:rPr>
              <w:t>Arabic E2E and SME language review pass</w:t>
            </w:r>
          </w:p>
        </w:tc>
      </w:tr>
      <w:tr>
        <w:tc>
          <w:tcPr>
            <w:tcW w:type="dxa" w:w="1800"/>
            <w:vAlign w:val="center"/>
          </w:tcPr>
          <w:p>
            <w:r>
              <w:rPr>
                <w:rFonts w:ascii="Aptos" w:hAnsi="Aptos"/>
                <w:color w:val="152A3B"/>
                <w:sz w:val="15"/>
              </w:rPr>
              <w:t>8 — Practice/viva</w:t>
            </w:r>
          </w:p>
        </w:tc>
        <w:tc>
          <w:tcPr>
            <w:tcW w:type="dxa" w:w="5472"/>
            <w:vAlign w:val="center"/>
          </w:tcPr>
          <w:p>
            <w:r>
              <w:rPr>
                <w:rFonts w:ascii="Aptos" w:hAnsi="Aptos"/>
                <w:color w:val="152A3B"/>
                <w:sz w:val="15"/>
              </w:rPr>
              <w:t>Case templates, scoring rubric, voice viva, mastery feedback</w:t>
            </w:r>
          </w:p>
        </w:tc>
        <w:tc>
          <w:tcPr>
            <w:tcW w:type="dxa" w:w="2880"/>
            <w:vAlign w:val="center"/>
          </w:tcPr>
          <w:p>
            <w:r>
              <w:rPr>
                <w:rFonts w:ascii="Aptos" w:hAnsi="Aptos"/>
                <w:color w:val="152A3B"/>
                <w:sz w:val="15"/>
              </w:rPr>
              <w:t>Assessment integrity evals pass</w:t>
            </w:r>
          </w:p>
        </w:tc>
      </w:tr>
      <w:tr>
        <w:tc>
          <w:tcPr>
            <w:tcW w:type="dxa" w:w="1800"/>
            <w:shd w:fill="F8FAFB"/>
            <w:vAlign w:val="center"/>
          </w:tcPr>
          <w:p>
            <w:r>
              <w:rPr>
                <w:rFonts w:ascii="Aptos" w:hAnsi="Aptos"/>
                <w:color w:val="152A3B"/>
                <w:sz w:val="15"/>
              </w:rPr>
              <w:t>9 — Content factory</w:t>
            </w:r>
          </w:p>
        </w:tc>
        <w:tc>
          <w:tcPr>
            <w:tcW w:type="dxa" w:w="5472"/>
            <w:shd w:fill="F8FAFB"/>
            <w:vAlign w:val="center"/>
          </w:tcPr>
          <w:p>
            <w:r>
              <w:rPr>
                <w:rFonts w:ascii="Aptos" w:hAnsi="Aptos"/>
                <w:color w:val="152A3B"/>
                <w:sz w:val="15"/>
              </w:rPr>
              <w:t>Admin review, media pipeline, publication/versioning</w:t>
            </w:r>
          </w:p>
        </w:tc>
        <w:tc>
          <w:tcPr>
            <w:tcW w:type="dxa" w:w="2880"/>
            <w:shd w:fill="F8FAFB"/>
            <w:vAlign w:val="center"/>
          </w:tcPr>
          <w:p>
            <w:r>
              <w:rPr>
                <w:rFonts w:ascii="Aptos" w:hAnsi="Aptos"/>
                <w:color w:val="152A3B"/>
                <w:sz w:val="15"/>
              </w:rPr>
              <w:t>New lesson version can be produced without code change</w:t>
            </w:r>
          </w:p>
        </w:tc>
      </w:tr>
      <w:tr>
        <w:tc>
          <w:tcPr>
            <w:tcW w:type="dxa" w:w="1800"/>
            <w:vAlign w:val="center"/>
          </w:tcPr>
          <w:p>
            <w:r>
              <w:rPr>
                <w:rFonts w:ascii="Aptos" w:hAnsi="Aptos"/>
                <w:color w:val="152A3B"/>
                <w:sz w:val="15"/>
              </w:rPr>
              <w:t>10 — Pilot</w:t>
            </w:r>
          </w:p>
        </w:tc>
        <w:tc>
          <w:tcPr>
            <w:tcW w:type="dxa" w:w="5472"/>
            <w:vAlign w:val="center"/>
          </w:tcPr>
          <w:p>
            <w:r>
              <w:rPr>
                <w:rFonts w:ascii="Aptos" w:hAnsi="Aptos"/>
                <w:color w:val="152A3B"/>
                <w:sz w:val="15"/>
              </w:rPr>
              <w:t>10–20 practitioners, quality analytics, pricing feedback</w:t>
            </w:r>
          </w:p>
        </w:tc>
        <w:tc>
          <w:tcPr>
            <w:tcW w:type="dxa" w:w="2880"/>
            <w:vAlign w:val="center"/>
          </w:tcPr>
          <w:p>
            <w:r>
              <w:rPr>
                <w:rFonts w:ascii="Aptos" w:hAnsi="Aptos"/>
                <w:color w:val="152A3B"/>
                <w:sz w:val="15"/>
              </w:rPr>
              <w:t>Go/no-go decision for curriculum scale-out</w:t>
            </w:r>
          </w:p>
        </w:tc>
      </w:tr>
    </w:tbl>
    <w:p>
      <w:pPr>
        <w:spacing w:after="20"/>
      </w:pPr>
    </w:p>
    <w:p>
      <w:pPr>
        <w:pStyle w:val="Heading1"/>
      </w:pPr>
      <w:r>
        <w:t>18. Architecture Lock Checklist</w:t>
      </w:r>
    </w:p>
    <w:tbl>
      <w:tblPr>
        <w:tblW w:type="auto" w:w="0"/>
        <w:jc w:val="center"/>
        <w:tblLook w:firstColumn="1" w:firstRow="1" w:lastColumn="0" w:lastRow="0" w:noHBand="0" w:noVBand="1" w:val="04A0"/>
      </w:tblPr>
      <w:tblGrid>
        <w:gridCol w:w="10166"/>
      </w:tblGrid>
      <w:tr>
        <w:tc>
          <w:tcPr>
            <w:tcW w:type="dxa" w:w="10166"/>
            <w:shd w:fill="FFF8E8"/>
            <w:tcBorders>
              <w:top w:val="single" w:sz="10" w:color="C9A24E"/>
              <w:bottom w:val="single" w:sz="10" w:color="C9A24E"/>
              <w:left w:val="single" w:sz="10" w:color="C9A24E"/>
              <w:right w:val="single" w:sz="10" w:color="C9A24E"/>
            </w:tcBorders>
          </w:tcPr>
          <w:p>
            <w:r>
              <w:rPr>
                <w:rFonts w:ascii="Aptos" w:hAnsi="Aptos"/>
                <w:b/>
                <w:color w:val="C9A24E"/>
                <w:sz w:val="22"/>
              </w:rPr>
              <w:t>How we lock v1.0</w:t>
              <w:br/>
            </w:r>
            <w:r>
              <w:rPr>
                <w:rFonts w:ascii="Aptos" w:hAnsi="Aptos"/>
                <w:color w:val="152A3B"/>
                <w:sz w:val="19"/>
              </w:rPr>
              <w:t>Review these decisions together. “Locked” means the choice is stable for V1 unless an ADR records evidence requiring change. It does not mean the choice can never evolve.</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c>
          <w:tcPr>
            <w:tcW w:type="dxa" w:w="324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Decision</w:t>
            </w:r>
          </w:p>
        </w:tc>
        <w:tc>
          <w:tcPr>
            <w:tcW w:type="dxa" w:w="547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Recommended lock</w:t>
            </w:r>
          </w:p>
        </w:tc>
        <w:tc>
          <w:tcPr>
            <w:tcW w:type="dxa" w:w="144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Status</w:t>
            </w:r>
          </w:p>
        </w:tc>
      </w:tr>
      <w:tr>
        <w:tc>
          <w:tcPr>
            <w:tcW w:type="dxa" w:w="3240"/>
            <w:vAlign w:val="center"/>
          </w:tcPr>
          <w:p>
            <w:r>
              <w:rPr>
                <w:rFonts w:ascii="Aptos" w:hAnsi="Aptos"/>
                <w:color w:val="152A3B"/>
                <w:sz w:val="15"/>
              </w:rPr>
              <w:t>Product wedge</w:t>
            </w:r>
          </w:p>
        </w:tc>
        <w:tc>
          <w:tcPr>
            <w:tcW w:type="dxa" w:w="5472"/>
            <w:vAlign w:val="center"/>
          </w:tcPr>
          <w:p>
            <w:r>
              <w:rPr>
                <w:rFonts w:ascii="Aptos" w:hAnsi="Aptos"/>
                <w:color w:val="152A3B"/>
                <w:sz w:val="15"/>
              </w:rPr>
              <w:t>Golden Lesson 001 before full Basel curriculum</w:t>
            </w:r>
          </w:p>
        </w:tc>
        <w:tc>
          <w:tcPr>
            <w:tcW w:type="dxa" w:w="1440"/>
            <w:vAlign w:val="center"/>
          </w:tcPr>
          <w:p>
            <w:r>
              <w:rPr>
                <w:rFonts w:ascii="Aptos" w:hAnsi="Aptos"/>
                <w:color w:val="152A3B"/>
                <w:sz w:val="15"/>
              </w:rPr>
              <w:t>PROPOSED</w:t>
            </w:r>
          </w:p>
        </w:tc>
      </w:tr>
      <w:tr>
        <w:tc>
          <w:tcPr>
            <w:tcW w:type="dxa" w:w="3240"/>
            <w:shd w:fill="F8FAFB"/>
            <w:vAlign w:val="center"/>
          </w:tcPr>
          <w:p>
            <w:r>
              <w:rPr>
                <w:rFonts w:ascii="Aptos" w:hAnsi="Aptos"/>
                <w:color w:val="152A3B"/>
                <w:sz w:val="15"/>
              </w:rPr>
              <w:t>Frontend</w:t>
            </w:r>
          </w:p>
        </w:tc>
        <w:tc>
          <w:tcPr>
            <w:tcW w:type="dxa" w:w="5472"/>
            <w:shd w:fill="F8FAFB"/>
            <w:vAlign w:val="center"/>
          </w:tcPr>
          <w:p>
            <w:r>
              <w:rPr>
                <w:rFonts w:ascii="Aptos" w:hAnsi="Aptos"/>
                <w:color w:val="152A3B"/>
                <w:sz w:val="15"/>
              </w:rPr>
              <w:t>Next.js + React + TypeScript + Tailwind</w:t>
            </w:r>
          </w:p>
        </w:tc>
        <w:tc>
          <w:tcPr>
            <w:tcW w:type="dxa" w:w="1440"/>
            <w:shd w:fill="F8FAFB"/>
            <w:vAlign w:val="center"/>
          </w:tcPr>
          <w:p>
            <w:r>
              <w:rPr>
                <w:rFonts w:ascii="Aptos" w:hAnsi="Aptos"/>
                <w:color w:val="152A3B"/>
                <w:sz w:val="15"/>
              </w:rPr>
              <w:t>PROPOSED</w:t>
            </w:r>
          </w:p>
        </w:tc>
      </w:tr>
      <w:tr>
        <w:tc>
          <w:tcPr>
            <w:tcW w:type="dxa" w:w="3240"/>
            <w:vAlign w:val="center"/>
          </w:tcPr>
          <w:p>
            <w:r>
              <w:rPr>
                <w:rFonts w:ascii="Aptos" w:hAnsi="Aptos"/>
                <w:color w:val="152A3B"/>
                <w:sz w:val="15"/>
              </w:rPr>
              <w:t>Backend</w:t>
            </w:r>
          </w:p>
        </w:tc>
        <w:tc>
          <w:tcPr>
            <w:tcW w:type="dxa" w:w="5472"/>
            <w:vAlign w:val="center"/>
          </w:tcPr>
          <w:p>
            <w:r>
              <w:rPr>
                <w:rFonts w:ascii="Aptos" w:hAnsi="Aptos"/>
                <w:color w:val="152A3B"/>
                <w:sz w:val="15"/>
              </w:rPr>
              <w:t>Python + FastAPI; reuse/refactor deterministic capital engine</w:t>
            </w:r>
          </w:p>
        </w:tc>
        <w:tc>
          <w:tcPr>
            <w:tcW w:type="dxa" w:w="1440"/>
            <w:vAlign w:val="center"/>
          </w:tcPr>
          <w:p>
            <w:r>
              <w:rPr>
                <w:rFonts w:ascii="Aptos" w:hAnsi="Aptos"/>
                <w:color w:val="152A3B"/>
                <w:sz w:val="15"/>
              </w:rPr>
              <w:t>PROPOSED</w:t>
            </w:r>
          </w:p>
        </w:tc>
      </w:tr>
      <w:tr>
        <w:tc>
          <w:tcPr>
            <w:tcW w:type="dxa" w:w="3240"/>
            <w:shd w:fill="F8FAFB"/>
            <w:vAlign w:val="center"/>
          </w:tcPr>
          <w:p>
            <w:r>
              <w:rPr>
                <w:rFonts w:ascii="Aptos" w:hAnsi="Aptos"/>
                <w:color w:val="152A3B"/>
                <w:sz w:val="15"/>
              </w:rPr>
              <w:t>Architecture</w:t>
            </w:r>
          </w:p>
        </w:tc>
        <w:tc>
          <w:tcPr>
            <w:tcW w:type="dxa" w:w="5472"/>
            <w:shd w:fill="F8FAFB"/>
            <w:vAlign w:val="center"/>
          </w:tcPr>
          <w:p>
            <w:r>
              <w:rPr>
                <w:rFonts w:ascii="Aptos" w:hAnsi="Aptos"/>
                <w:color w:val="152A3B"/>
                <w:sz w:val="15"/>
              </w:rPr>
              <w:t>Modular monolith + separate deployable web/API/worker/realtime processes</w:t>
            </w:r>
          </w:p>
        </w:tc>
        <w:tc>
          <w:tcPr>
            <w:tcW w:type="dxa" w:w="1440"/>
            <w:shd w:fill="F8FAFB"/>
            <w:vAlign w:val="center"/>
          </w:tcPr>
          <w:p>
            <w:r>
              <w:rPr>
                <w:rFonts w:ascii="Aptos" w:hAnsi="Aptos"/>
                <w:color w:val="152A3B"/>
                <w:sz w:val="15"/>
              </w:rPr>
              <w:t>PROPOSED</w:t>
            </w:r>
          </w:p>
        </w:tc>
      </w:tr>
      <w:tr>
        <w:tc>
          <w:tcPr>
            <w:tcW w:type="dxa" w:w="3240"/>
            <w:vAlign w:val="center"/>
          </w:tcPr>
          <w:p>
            <w:r>
              <w:rPr>
                <w:rFonts w:ascii="Aptos" w:hAnsi="Aptos"/>
                <w:color w:val="152A3B"/>
                <w:sz w:val="15"/>
              </w:rPr>
              <w:t>Database</w:t>
            </w:r>
          </w:p>
        </w:tc>
        <w:tc>
          <w:tcPr>
            <w:tcW w:type="dxa" w:w="5472"/>
            <w:vAlign w:val="center"/>
          </w:tcPr>
          <w:p>
            <w:r>
              <w:rPr>
                <w:rFonts w:ascii="Aptos" w:hAnsi="Aptos"/>
                <w:color w:val="152A3B"/>
                <w:sz w:val="15"/>
              </w:rPr>
              <w:t>PostgreSQL; pgvector for V1 retrieval</w:t>
            </w:r>
          </w:p>
        </w:tc>
        <w:tc>
          <w:tcPr>
            <w:tcW w:type="dxa" w:w="1440"/>
            <w:vAlign w:val="center"/>
          </w:tcPr>
          <w:p>
            <w:r>
              <w:rPr>
                <w:rFonts w:ascii="Aptos" w:hAnsi="Aptos"/>
                <w:color w:val="152A3B"/>
                <w:sz w:val="15"/>
              </w:rPr>
              <w:t>PROPOSED</w:t>
            </w:r>
          </w:p>
        </w:tc>
      </w:tr>
      <w:tr>
        <w:tc>
          <w:tcPr>
            <w:tcW w:type="dxa" w:w="3240"/>
            <w:shd w:fill="F8FAFB"/>
            <w:vAlign w:val="center"/>
          </w:tcPr>
          <w:p>
            <w:r>
              <w:rPr>
                <w:rFonts w:ascii="Aptos" w:hAnsi="Aptos"/>
                <w:color w:val="152A3B"/>
                <w:sz w:val="15"/>
              </w:rPr>
              <w:t>Graph</w:t>
            </w:r>
          </w:p>
        </w:tc>
        <w:tc>
          <w:tcPr>
            <w:tcW w:type="dxa" w:w="5472"/>
            <w:shd w:fill="F8FAFB"/>
            <w:vAlign w:val="center"/>
          </w:tcPr>
          <w:p>
            <w:r>
              <w:rPr>
                <w:rFonts w:ascii="Aptos" w:hAnsi="Aptos"/>
                <w:color w:val="152A3B"/>
                <w:sz w:val="15"/>
              </w:rPr>
              <w:t>Relational graph semantics first; Neo4j deferred</w:t>
            </w:r>
          </w:p>
        </w:tc>
        <w:tc>
          <w:tcPr>
            <w:tcW w:type="dxa" w:w="1440"/>
            <w:shd w:fill="F8FAFB"/>
            <w:vAlign w:val="center"/>
          </w:tcPr>
          <w:p>
            <w:r>
              <w:rPr>
                <w:rFonts w:ascii="Aptos" w:hAnsi="Aptos"/>
                <w:color w:val="152A3B"/>
                <w:sz w:val="15"/>
              </w:rPr>
              <w:t>PROPOSED</w:t>
            </w:r>
          </w:p>
        </w:tc>
      </w:tr>
      <w:tr>
        <w:tc>
          <w:tcPr>
            <w:tcW w:type="dxa" w:w="3240"/>
            <w:vAlign w:val="center"/>
          </w:tcPr>
          <w:p>
            <w:r>
              <w:rPr>
                <w:rFonts w:ascii="Aptos" w:hAnsi="Aptos"/>
                <w:color w:val="152A3B"/>
                <w:sz w:val="15"/>
              </w:rPr>
              <w:t>Runtime compute</w:t>
            </w:r>
          </w:p>
        </w:tc>
        <w:tc>
          <w:tcPr>
            <w:tcW w:type="dxa" w:w="5472"/>
            <w:vAlign w:val="center"/>
          </w:tcPr>
          <w:p>
            <w:r>
              <w:rPr>
                <w:rFonts w:ascii="Aptos" w:hAnsi="Aptos"/>
                <w:color w:val="152A3B"/>
                <w:sz w:val="15"/>
              </w:rPr>
              <w:t>No Spark for learning V1</w:t>
            </w:r>
          </w:p>
        </w:tc>
        <w:tc>
          <w:tcPr>
            <w:tcW w:type="dxa" w:w="1440"/>
            <w:vAlign w:val="center"/>
          </w:tcPr>
          <w:p>
            <w:r>
              <w:rPr>
                <w:rFonts w:ascii="Aptos" w:hAnsi="Aptos"/>
                <w:color w:val="152A3B"/>
                <w:sz w:val="15"/>
              </w:rPr>
              <w:t>PROPOSED</w:t>
            </w:r>
          </w:p>
        </w:tc>
      </w:tr>
      <w:tr>
        <w:tc>
          <w:tcPr>
            <w:tcW w:type="dxa" w:w="3240"/>
            <w:shd w:fill="F8FAFB"/>
            <w:vAlign w:val="center"/>
          </w:tcPr>
          <w:p>
            <w:r>
              <w:rPr>
                <w:rFonts w:ascii="Aptos" w:hAnsi="Aptos"/>
                <w:color w:val="152A3B"/>
                <w:sz w:val="15"/>
              </w:rPr>
              <w:t>Cloud</w:t>
            </w:r>
          </w:p>
        </w:tc>
        <w:tc>
          <w:tcPr>
            <w:tcW w:type="dxa" w:w="5472"/>
            <w:shd w:fill="F8FAFB"/>
            <w:vAlign w:val="center"/>
          </w:tcPr>
          <w:p>
            <w:r>
              <w:rPr>
                <w:rFonts w:ascii="Aptos" w:hAnsi="Aptos"/>
                <w:color w:val="152A3B"/>
                <w:sz w:val="15"/>
              </w:rPr>
              <w:t>AWS single-region SaaS, Multi-AZ managed data plane</w:t>
            </w:r>
          </w:p>
        </w:tc>
        <w:tc>
          <w:tcPr>
            <w:tcW w:type="dxa" w:w="1440"/>
            <w:shd w:fill="F8FAFB"/>
            <w:vAlign w:val="center"/>
          </w:tcPr>
          <w:p>
            <w:r>
              <w:rPr>
                <w:rFonts w:ascii="Aptos" w:hAnsi="Aptos"/>
                <w:color w:val="152A3B"/>
                <w:sz w:val="15"/>
              </w:rPr>
              <w:t>PROPOSED</w:t>
            </w:r>
          </w:p>
        </w:tc>
      </w:tr>
      <w:tr>
        <w:tc>
          <w:tcPr>
            <w:tcW w:type="dxa" w:w="3240"/>
            <w:vAlign w:val="center"/>
          </w:tcPr>
          <w:p>
            <w:r>
              <w:rPr>
                <w:rFonts w:ascii="Aptos" w:hAnsi="Aptos"/>
                <w:color w:val="152A3B"/>
                <w:sz w:val="15"/>
              </w:rPr>
              <w:t>Containers</w:t>
            </w:r>
          </w:p>
        </w:tc>
        <w:tc>
          <w:tcPr>
            <w:tcW w:type="dxa" w:w="5472"/>
            <w:vAlign w:val="center"/>
          </w:tcPr>
          <w:p>
            <w:r>
              <w:rPr>
                <w:rFonts w:ascii="Aptos" w:hAnsi="Aptos"/>
                <w:color w:val="152A3B"/>
                <w:sz w:val="15"/>
              </w:rPr>
              <w:t>ECS Fargate V1; Kubernetes deferred</w:t>
            </w:r>
          </w:p>
        </w:tc>
        <w:tc>
          <w:tcPr>
            <w:tcW w:type="dxa" w:w="1440"/>
            <w:vAlign w:val="center"/>
          </w:tcPr>
          <w:p>
            <w:r>
              <w:rPr>
                <w:rFonts w:ascii="Aptos" w:hAnsi="Aptos"/>
                <w:color w:val="152A3B"/>
                <w:sz w:val="15"/>
              </w:rPr>
              <w:t>PROPOSED</w:t>
            </w:r>
          </w:p>
        </w:tc>
      </w:tr>
      <w:tr>
        <w:tc>
          <w:tcPr>
            <w:tcW w:type="dxa" w:w="3240"/>
            <w:shd w:fill="F8FAFB"/>
            <w:vAlign w:val="center"/>
          </w:tcPr>
          <w:p>
            <w:r>
              <w:rPr>
                <w:rFonts w:ascii="Aptos" w:hAnsi="Aptos"/>
                <w:color w:val="152A3B"/>
                <w:sz w:val="15"/>
              </w:rPr>
              <w:t>IaC/CI</w:t>
            </w:r>
          </w:p>
        </w:tc>
        <w:tc>
          <w:tcPr>
            <w:tcW w:type="dxa" w:w="5472"/>
            <w:shd w:fill="F8FAFB"/>
            <w:vAlign w:val="center"/>
          </w:tcPr>
          <w:p>
            <w:r>
              <w:rPr>
                <w:rFonts w:ascii="Aptos" w:hAnsi="Aptos"/>
                <w:color w:val="152A3B"/>
                <w:sz w:val="15"/>
              </w:rPr>
              <w:t>Terraform + GitHub Actions</w:t>
            </w:r>
          </w:p>
        </w:tc>
        <w:tc>
          <w:tcPr>
            <w:tcW w:type="dxa" w:w="1440"/>
            <w:shd w:fill="F8FAFB"/>
            <w:vAlign w:val="center"/>
          </w:tcPr>
          <w:p>
            <w:r>
              <w:rPr>
                <w:rFonts w:ascii="Aptos" w:hAnsi="Aptos"/>
                <w:color w:val="152A3B"/>
                <w:sz w:val="15"/>
              </w:rPr>
              <w:t>PROPOSED</w:t>
            </w:r>
          </w:p>
        </w:tc>
      </w:tr>
      <w:tr>
        <w:tc>
          <w:tcPr>
            <w:tcW w:type="dxa" w:w="3240"/>
            <w:vAlign w:val="center"/>
          </w:tcPr>
          <w:p>
            <w:r>
              <w:rPr>
                <w:rFonts w:ascii="Aptos" w:hAnsi="Aptos"/>
                <w:color w:val="152A3B"/>
                <w:sz w:val="15"/>
              </w:rPr>
              <w:t>Voice</w:t>
            </w:r>
          </w:p>
        </w:tc>
        <w:tc>
          <w:tcPr>
            <w:tcW w:type="dxa" w:w="5472"/>
            <w:vAlign w:val="center"/>
          </w:tcPr>
          <w:p>
            <w:r>
              <w:rPr>
                <w:rFonts w:ascii="Aptos" w:hAnsi="Aptos"/>
                <w:color w:val="152A3B"/>
                <w:sz w:val="15"/>
              </w:rPr>
              <w:t>Provider adapter; support realtime S2S and chained fallback</w:t>
            </w:r>
          </w:p>
        </w:tc>
        <w:tc>
          <w:tcPr>
            <w:tcW w:type="dxa" w:w="1440"/>
            <w:vAlign w:val="center"/>
          </w:tcPr>
          <w:p>
            <w:r>
              <w:rPr>
                <w:rFonts w:ascii="Aptos" w:hAnsi="Aptos"/>
                <w:color w:val="152A3B"/>
                <w:sz w:val="15"/>
              </w:rPr>
              <w:t>PROPOSED</w:t>
            </w:r>
          </w:p>
        </w:tc>
      </w:tr>
      <w:tr>
        <w:tc>
          <w:tcPr>
            <w:tcW w:type="dxa" w:w="3240"/>
            <w:shd w:fill="F8FAFB"/>
            <w:vAlign w:val="center"/>
          </w:tcPr>
          <w:p>
            <w:r>
              <w:rPr>
                <w:rFonts w:ascii="Aptos" w:hAnsi="Aptos"/>
                <w:color w:val="152A3B"/>
                <w:sz w:val="15"/>
              </w:rPr>
              <w:t>Avatar</w:t>
            </w:r>
          </w:p>
        </w:tc>
        <w:tc>
          <w:tcPr>
            <w:tcW w:type="dxa" w:w="5472"/>
            <w:shd w:fill="F8FAFB"/>
            <w:vAlign w:val="center"/>
          </w:tcPr>
          <w:p>
            <w:r>
              <w:rPr>
                <w:rFonts w:ascii="Aptos" w:hAnsi="Aptos"/>
                <w:color w:val="152A3B"/>
                <w:sz w:val="15"/>
              </w:rPr>
              <w:t>Optional feature flag; never core dependency</w:t>
            </w:r>
          </w:p>
        </w:tc>
        <w:tc>
          <w:tcPr>
            <w:tcW w:type="dxa" w:w="1440"/>
            <w:shd w:fill="F8FAFB"/>
            <w:vAlign w:val="center"/>
          </w:tcPr>
          <w:p>
            <w:r>
              <w:rPr>
                <w:rFonts w:ascii="Aptos" w:hAnsi="Aptos"/>
                <w:color w:val="152A3B"/>
                <w:sz w:val="15"/>
              </w:rPr>
              <w:t>PROPOSED</w:t>
            </w:r>
          </w:p>
        </w:tc>
      </w:tr>
      <w:tr>
        <w:tc>
          <w:tcPr>
            <w:tcW w:type="dxa" w:w="3240"/>
            <w:vAlign w:val="center"/>
          </w:tcPr>
          <w:p>
            <w:r>
              <w:rPr>
                <w:rFonts w:ascii="Aptos" w:hAnsi="Aptos"/>
                <w:color w:val="152A3B"/>
                <w:sz w:val="15"/>
              </w:rPr>
              <w:t>Media</w:t>
            </w:r>
          </w:p>
        </w:tc>
        <w:tc>
          <w:tcPr>
            <w:tcW w:type="dxa" w:w="5472"/>
            <w:vAlign w:val="center"/>
          </w:tcPr>
          <w:p>
            <w:r>
              <w:rPr>
                <w:rFonts w:ascii="Aptos" w:hAnsi="Aptos"/>
                <w:color w:val="152A3B"/>
                <w:sz w:val="15"/>
              </w:rPr>
              <w:t>Pre-render lessons; realtime tutor/tools only</w:t>
            </w:r>
          </w:p>
        </w:tc>
        <w:tc>
          <w:tcPr>
            <w:tcW w:type="dxa" w:w="1440"/>
            <w:vAlign w:val="center"/>
          </w:tcPr>
          <w:p>
            <w:r>
              <w:rPr>
                <w:rFonts w:ascii="Aptos" w:hAnsi="Aptos"/>
                <w:color w:val="152A3B"/>
                <w:sz w:val="15"/>
              </w:rPr>
              <w:t>PROPOSED</w:t>
            </w:r>
          </w:p>
        </w:tc>
      </w:tr>
      <w:tr>
        <w:tc>
          <w:tcPr>
            <w:tcW w:type="dxa" w:w="3240"/>
            <w:shd w:fill="F8FAFB"/>
            <w:vAlign w:val="center"/>
          </w:tcPr>
          <w:p>
            <w:r>
              <w:rPr>
                <w:rFonts w:ascii="Aptos" w:hAnsi="Aptos"/>
                <w:color w:val="152A3B"/>
                <w:sz w:val="15"/>
              </w:rPr>
              <w:t>AI calculations</w:t>
            </w:r>
          </w:p>
        </w:tc>
        <w:tc>
          <w:tcPr>
            <w:tcW w:type="dxa" w:w="5472"/>
            <w:shd w:fill="F8FAFB"/>
            <w:vAlign w:val="center"/>
          </w:tcPr>
          <w:p>
            <w:r>
              <w:rPr>
                <w:rFonts w:ascii="Aptos" w:hAnsi="Aptos"/>
                <w:color w:val="152A3B"/>
                <w:sz w:val="15"/>
              </w:rPr>
              <w:t>LLM never authoritative calculator</w:t>
            </w:r>
          </w:p>
        </w:tc>
        <w:tc>
          <w:tcPr>
            <w:tcW w:type="dxa" w:w="1440"/>
            <w:shd w:fill="F8FAFB"/>
            <w:vAlign w:val="center"/>
          </w:tcPr>
          <w:p>
            <w:r>
              <w:rPr>
                <w:rFonts w:ascii="Aptos" w:hAnsi="Aptos"/>
                <w:color w:val="152A3B"/>
                <w:sz w:val="15"/>
              </w:rPr>
              <w:t>PROPOSED</w:t>
            </w:r>
          </w:p>
        </w:tc>
      </w:tr>
      <w:tr>
        <w:tc>
          <w:tcPr>
            <w:tcW w:type="dxa" w:w="3240"/>
            <w:vAlign w:val="center"/>
          </w:tcPr>
          <w:p>
            <w:r>
              <w:rPr>
                <w:rFonts w:ascii="Aptos" w:hAnsi="Aptos"/>
                <w:color w:val="152A3B"/>
                <w:sz w:val="15"/>
              </w:rPr>
              <w:t>Content governance</w:t>
            </w:r>
          </w:p>
        </w:tc>
        <w:tc>
          <w:tcPr>
            <w:tcW w:type="dxa" w:w="5472"/>
            <w:vAlign w:val="center"/>
          </w:tcPr>
          <w:p>
            <w:r>
              <w:rPr>
                <w:rFonts w:ascii="Aptos" w:hAnsi="Aptos"/>
                <w:color w:val="152A3B"/>
                <w:sz w:val="15"/>
              </w:rPr>
              <w:t>SME-approved immutable versions</w:t>
            </w:r>
          </w:p>
        </w:tc>
        <w:tc>
          <w:tcPr>
            <w:tcW w:type="dxa" w:w="1440"/>
            <w:vAlign w:val="center"/>
          </w:tcPr>
          <w:p>
            <w:r>
              <w:rPr>
                <w:rFonts w:ascii="Aptos" w:hAnsi="Aptos"/>
                <w:color w:val="152A3B"/>
                <w:sz w:val="15"/>
              </w:rPr>
              <w:t>PROPOSED</w:t>
            </w:r>
          </w:p>
        </w:tc>
      </w:tr>
      <w:tr>
        <w:tc>
          <w:tcPr>
            <w:tcW w:type="dxa" w:w="3240"/>
            <w:shd w:fill="F8FAFB"/>
            <w:vAlign w:val="center"/>
          </w:tcPr>
          <w:p>
            <w:r>
              <w:rPr>
                <w:rFonts w:ascii="Aptos" w:hAnsi="Aptos"/>
                <w:color w:val="152A3B"/>
                <w:sz w:val="15"/>
              </w:rPr>
              <w:t>Launch languages</w:t>
            </w:r>
          </w:p>
        </w:tc>
        <w:tc>
          <w:tcPr>
            <w:tcW w:type="dxa" w:w="5472"/>
            <w:shd w:fill="F8FAFB"/>
            <w:vAlign w:val="center"/>
          </w:tcPr>
          <w:p>
            <w:r>
              <w:rPr>
                <w:rFonts w:ascii="Aptos" w:hAnsi="Aptos"/>
                <w:color w:val="152A3B"/>
                <w:sz w:val="15"/>
              </w:rPr>
              <w:t>English + Arabic</w:t>
            </w:r>
          </w:p>
        </w:tc>
        <w:tc>
          <w:tcPr>
            <w:tcW w:type="dxa" w:w="1440"/>
            <w:shd w:fill="F8FAFB"/>
            <w:vAlign w:val="center"/>
          </w:tcPr>
          <w:p>
            <w:r>
              <w:rPr>
                <w:rFonts w:ascii="Aptos" w:hAnsi="Aptos"/>
                <w:color w:val="152A3B"/>
                <w:sz w:val="15"/>
              </w:rPr>
              <w:t>PROPOSED</w:t>
            </w:r>
          </w:p>
        </w:tc>
      </w:tr>
      <w:tr>
        <w:tc>
          <w:tcPr>
            <w:tcW w:type="dxa" w:w="3240"/>
            <w:vAlign w:val="center"/>
          </w:tcPr>
          <w:p>
            <w:r>
              <w:rPr>
                <w:rFonts w:ascii="Aptos" w:hAnsi="Aptos"/>
                <w:color w:val="152A3B"/>
                <w:sz w:val="15"/>
              </w:rPr>
              <w:t>Jurisdictions</w:t>
            </w:r>
          </w:p>
        </w:tc>
        <w:tc>
          <w:tcPr>
            <w:tcW w:type="dxa" w:w="5472"/>
            <w:vAlign w:val="center"/>
          </w:tcPr>
          <w:p>
            <w:r>
              <w:rPr>
                <w:rFonts w:ascii="Aptos" w:hAnsi="Aptos"/>
                <w:color w:val="152A3B"/>
                <w:sz w:val="15"/>
              </w:rPr>
              <w:t>BCBS, U.S., SAMA, CBUAE</w:t>
            </w:r>
          </w:p>
        </w:tc>
        <w:tc>
          <w:tcPr>
            <w:tcW w:type="dxa" w:w="1440"/>
            <w:vAlign w:val="center"/>
          </w:tcPr>
          <w:p>
            <w:r>
              <w:rPr>
                <w:rFonts w:ascii="Aptos" w:hAnsi="Aptos"/>
                <w:color w:val="152A3B"/>
                <w:sz w:val="15"/>
              </w:rPr>
              <w:t>PROPOSED</w:t>
            </w:r>
          </w:p>
        </w:tc>
      </w:tr>
    </w:tbl>
    <w:p>
      <w:pPr>
        <w:spacing w:after="20"/>
      </w:pPr>
    </w:p>
    <w:p>
      <w:pPr>
        <w:pStyle w:val="Heading2"/>
      </w:pPr>
      <w:r>
        <w:t>18.1 Questions to resolve during our lock review</w:t>
      </w:r>
    </w:p>
    <w:p>
      <w:pPr>
        <w:pStyle w:val="ListBullet"/>
        <w:spacing w:after="40"/>
      </w:pPr>
      <w:r>
        <w:rPr>
          <w:rFonts w:ascii="Aptos" w:hAnsi="Aptos"/>
          <w:color w:val="152A3B"/>
          <w:sz w:val="19"/>
        </w:rPr>
        <w:t>Identity provider for V1: Auth0 vs AWS Cognito vs another OIDC provider.</w:t>
      </w:r>
    </w:p>
    <w:p>
      <w:pPr>
        <w:pStyle w:val="ListBullet"/>
        <w:spacing w:after="40"/>
      </w:pPr>
      <w:r>
        <w:rPr>
          <w:rFonts w:ascii="Aptos" w:hAnsi="Aptos"/>
          <w:color w:val="152A3B"/>
          <w:sz w:val="19"/>
        </w:rPr>
        <w:t>Which realtime voice provider is primary for prototype; which is fallback.</w:t>
      </w:r>
    </w:p>
    <w:p>
      <w:pPr>
        <w:pStyle w:val="ListBullet"/>
        <w:spacing w:after="40"/>
      </w:pPr>
      <w:r>
        <w:rPr>
          <w:rFonts w:ascii="Aptos" w:hAnsi="Aptos"/>
          <w:color w:val="152A3B"/>
          <w:sz w:val="19"/>
        </w:rPr>
        <w:t>Whether founder cloned voice is required for Golden Lesson beta or follows after text/voice correctness.</w:t>
      </w:r>
    </w:p>
    <w:p>
      <w:pPr>
        <w:pStyle w:val="ListBullet"/>
        <w:spacing w:after="40"/>
      </w:pPr>
      <w:r>
        <w:rPr>
          <w:rFonts w:ascii="Aptos" w:hAnsi="Aptos"/>
          <w:color w:val="152A3B"/>
          <w:sz w:val="19"/>
        </w:rPr>
        <w:t>Whether to introduce Temporal in Sprint 0 or begin with a simpler managed queue and adopt Temporal in Content Factory sprint.</w:t>
      </w:r>
    </w:p>
    <w:p>
      <w:pPr>
        <w:pStyle w:val="ListBullet"/>
        <w:spacing w:after="40"/>
      </w:pPr>
      <w:r>
        <w:rPr>
          <w:rFonts w:ascii="Aptos" w:hAnsi="Aptos"/>
          <w:color w:val="152A3B"/>
          <w:sz w:val="19"/>
        </w:rPr>
        <w:t>Whether the U.S. Golden Lesson teaches current rule + both March 2026 proposal paths immediately or adds the non-ERBA standardized proposal after first prototype.</w:t>
      </w:r>
    </w:p>
    <w:p>
      <w:pPr>
        <w:pStyle w:val="ListBullet"/>
        <w:spacing w:after="40"/>
      </w:pPr>
      <w:r>
        <w:rPr>
          <w:rFonts w:ascii="Aptos" w:hAnsi="Aptos"/>
          <w:color w:val="152A3B"/>
          <w:sz w:val="19"/>
        </w:rPr>
        <w:t>Which Saudi/UAE SME reviewers are available before publication.</w:t>
      </w:r>
    </w:p>
    <w:p>
      <w:pPr>
        <w:pStyle w:val="ListBullet"/>
        <w:spacing w:after="40"/>
      </w:pPr>
      <w:r>
        <w:rPr>
          <w:rFonts w:ascii="Aptos" w:hAnsi="Aptos"/>
          <w:color w:val="152A3B"/>
          <w:sz w:val="19"/>
        </w:rPr>
        <w:t>Initial subscription/billing model and whether payments are included in V1 beta.</w:t>
      </w:r>
    </w:p>
    <w:p>
      <w:pPr>
        <w:pStyle w:val="Heading1"/>
      </w:pPr>
      <w:r>
        <w:t>19. Research Basis</w:t>
      </w:r>
    </w:p>
    <w:p>
      <w:pPr>
        <w:spacing w:after="80"/>
      </w:pPr>
      <w:r>
        <w:rPr>
          <w:rFonts w:ascii="Aptos" w:hAnsi="Aptos"/>
          <w:b w:val="0"/>
          <w:color w:val="152A3B"/>
        </w:rPr>
        <w:t>[R1] OpenAI Voice agents documentation</w:t>
        <w:br/>
        <w:t>https://developers.openai.com/api/docs/guides/voice-agents</w:t>
      </w:r>
    </w:p>
    <w:p>
      <w:pPr>
        <w:spacing w:after="80"/>
      </w:pPr>
      <w:r>
        <w:rPr>
          <w:rFonts w:ascii="Aptos" w:hAnsi="Aptos"/>
          <w:b w:val="0"/>
          <w:color w:val="152A3B"/>
        </w:rPr>
        <w:t>[R2] HeyGen / LiveAvatar developer documentation</w:t>
        <w:br/>
        <w:t>https://docs.liveavatar.com/</w:t>
      </w:r>
    </w:p>
    <w:p>
      <w:pPr>
        <w:spacing w:after="80"/>
      </w:pPr>
      <w:r>
        <w:rPr>
          <w:rFonts w:ascii="Aptos" w:hAnsi="Aptos"/>
          <w:b w:val="0"/>
          <w:color w:val="152A3B"/>
        </w:rPr>
        <w:t>[R3] ElevenLabs ElevenAgents documentation</w:t>
        <w:br/>
        <w:t>https://elevenlabs.io/docs/eleven-agents/overview</w:t>
      </w:r>
    </w:p>
    <w:p>
      <w:pPr>
        <w:spacing w:after="80"/>
      </w:pPr>
      <w:r>
        <w:rPr>
          <w:rFonts w:ascii="Aptos" w:hAnsi="Aptos"/>
          <w:b w:val="0"/>
          <w:color w:val="152A3B"/>
        </w:rPr>
        <w:t>[R4] Google Developers — Gemini 2.5 Flash Image / nano-banana</w:t>
        <w:br/>
        <w:t>https://developers.googleblog.com/introducing-gemini-2-5-flash-image/</w:t>
      </w:r>
    </w:p>
    <w:p>
      <w:pPr>
        <w:spacing w:after="80"/>
      </w:pPr>
      <w:r>
        <w:rPr>
          <w:rFonts w:ascii="Aptos" w:hAnsi="Aptos"/>
          <w:b w:val="0"/>
          <w:color w:val="152A3B"/>
        </w:rPr>
        <w:t>[R5] AWS — Architect for AWS Fargate for Amazon ECS</w:t>
        <w:br/>
        <w:t>https://docs.aws.amazon.com/AmazonECS/latest/developerguide/AWS_Fargate.html</w:t>
      </w:r>
    </w:p>
    <w:p>
      <w:pPr>
        <w:spacing w:after="80"/>
      </w:pPr>
      <w:r>
        <w:rPr>
          <w:rFonts w:ascii="Aptos" w:hAnsi="Aptos"/>
          <w:b w:val="0"/>
          <w:color w:val="152A3B"/>
        </w:rPr>
        <w:t>[R6] Temporal documentation — durable execution</w:t>
        <w:br/>
        <w:t>https://docs.temporal.io/temporal</w:t>
      </w:r>
    </w:p>
    <w:p>
      <w:pPr>
        <w:spacing w:after="80"/>
      </w:pPr>
      <w:r>
        <w:rPr>
          <w:rFonts w:ascii="Aptos" w:hAnsi="Aptos"/>
          <w:b w:val="0"/>
          <w:color w:val="152A3B"/>
        </w:rPr>
        <w:t>[R7] pgvector official repository/documentation</w:t>
        <w:br/>
        <w:t>https://github.com/pgvector/pgvector</w:t>
      </w:r>
    </w:p>
    <w:p>
      <w:pPr>
        <w:spacing w:after="80"/>
      </w:pPr>
      <w:r>
        <w:rPr>
          <w:rFonts w:ascii="Aptos" w:hAnsi="Aptos"/>
          <w:b w:val="0"/>
          <w:color w:val="152A3B"/>
        </w:rPr>
        <w:t>[R8] OpenTelemetry documentation</w:t>
        <w:br/>
        <w:t>https://opentelemetry.io/docs/</w:t>
      </w:r>
    </w:p>
    <w:p>
      <w:pPr>
        <w:spacing w:after="80"/>
      </w:pPr>
      <w:r>
        <w:rPr>
          <w:rFonts w:ascii="Aptos" w:hAnsi="Aptos"/>
          <w:b w:val="0"/>
          <w:color w:val="152A3B"/>
        </w:rPr>
        <w:t>[R9] BIS — Basel Framework</w:t>
        <w:br/>
        <w:t>https://www.bis.org/basel_framework/</w:t>
      </w:r>
    </w:p>
    <w:p>
      <w:pPr>
        <w:spacing w:after="80"/>
      </w:pPr>
      <w:r>
        <w:rPr>
          <w:rFonts w:ascii="Aptos" w:hAnsi="Aptos"/>
          <w:b w:val="0"/>
          <w:color w:val="152A3B"/>
        </w:rPr>
        <w:t>[R10] SAMA — Minimum Capital Requirements for Credit Risk</w:t>
        <w:br/>
        <w:t>https://rulebook.sama.gov.sa/en/minimum-capital-requirements-credit-risk</w:t>
      </w:r>
    </w:p>
    <w:p>
      <w:pPr>
        <w:spacing w:after="80"/>
      </w:pPr>
      <w:r>
        <w:rPr>
          <w:rFonts w:ascii="Aptos" w:hAnsi="Aptos"/>
          <w:b w:val="0"/>
          <w:color w:val="152A3B"/>
        </w:rPr>
        <w:t>[R11] CBUAE — Standards for Capital Adequacy of Banks in the UAE</w:t>
        <w:br/>
        <w:t>https://rulebook.centralbank.ae/en/rulebook/standards-capital-adequacy-banks-uae</w:t>
      </w:r>
    </w:p>
    <w:p>
      <w:pPr>
        <w:spacing w:after="80"/>
      </w:pPr>
      <w:r>
        <w:rPr>
          <w:rFonts w:ascii="Aptos" w:hAnsi="Aptos"/>
          <w:b w:val="0"/>
          <w:color w:val="152A3B"/>
        </w:rPr>
        <w:t>[R12] Federal Reserve — March 19, 2026 capital proposals</w:t>
        <w:br/>
        <w:t>https://www.federalreserve.gov/newsevents/pressreleases/bcreg20260319a.htm</w:t>
      </w:r>
    </w:p>
    <w:sectPr w:rsidR="00FC693F" w:rsidRPr="0006063C" w:rsidSect="00034616">
      <w:headerReference w:type="default" r:id="rId9"/>
      <w:footerReference w:type="default" r:id="rId10"/>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17789"/>
        <w:sz w:val="15"/>
      </w:rPr>
      <w:t xml:space="preserve">Architecture Lock Draft  •  August 2026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17789"/>
        <w:sz w:val="15"/>
      </w:rPr>
      <w:t>FINANCIAL PODS  •  TECHNICAL &amp; FUNCTIONAL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52A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1726"/>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B9B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9A2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17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52A3B"/>
      <w:sz w:val="19"/>
    </w:rPr>
  </w:style>
  <w:style w:type="paragraph" w:styleId="ListBullet2">
    <w:name w:val="List Bullet 2"/>
    <w:basedOn w:val="Normal"/>
    <w:uiPriority w:val="99"/>
    <w:unhideWhenUsed/>
    <w:rsid w:val="00326F90"/>
    <w:pPr>
      <w:numPr>
        <w:numId w:val="2"/>
      </w:numPr>
      <w:contextualSpacing/>
    </w:pPr>
    <w:rPr>
      <w:rFonts w:ascii="Aptos" w:hAnsi="Aptos"/>
      <w:color w:val="152A3B"/>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52A3B"/>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