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b/>
          <w:color w:val="081726"/>
          <w:sz w:val="64"/>
        </w:rPr>
        <w:t>FINANCIAL PODS</w:t>
      </w:r>
    </w:p>
    <w:p>
      <w:pPr>
        <w:jc w:val="center"/>
      </w:pPr>
      <w:r>
        <w:rPr>
          <w:rFonts w:ascii="Aptos Display" w:hAnsi="Aptos Display"/>
          <w:b/>
          <w:color w:val="2CB9B9"/>
          <w:sz w:val="42"/>
        </w:rPr>
        <w:t>Engineering, Deployment &amp; Coding Playbook</w:t>
      </w:r>
    </w:p>
    <w:p>
      <w:pPr>
        <w:jc w:val="center"/>
      </w:pPr>
      <w:r>
        <w:rPr>
          <w:rFonts w:ascii="Aptos" w:hAnsi="Aptos"/>
          <w:color w:val="617789"/>
          <w:sz w:val="20"/>
        </w:rPr>
        <w:t>Repository standards • Agent instructions • CI/CD • security • observability • release quality • detailed environment setup</w:t>
      </w:r>
    </w:p>
    <w:p>
      <w:pPr>
        <w:spacing w:after="40"/>
        <w:jc w:val="center"/>
      </w:pPr>
      <w:r>
        <w:drawing>
          <wp:inline xmlns:a="http://schemas.openxmlformats.org/drawingml/2006/main" xmlns:pic="http://schemas.openxmlformats.org/drawingml/2006/picture">
            <wp:extent cx="6400800" cy="3602364"/>
            <wp:docPr id="1" name="Picture 1"/>
            <wp:cNvGraphicFramePr>
              <a:graphicFrameLocks noChangeAspect="1"/>
            </wp:cNvGraphicFramePr>
            <a:graphic>
              <a:graphicData uri="http://schemas.openxmlformats.org/drawingml/2006/picture">
                <pic:pic>
                  <pic:nvPicPr>
                    <pic:cNvPr id="0" name="a_wide_cinematic_futuristic_ui_technology_scene.png"/>
                    <pic:cNvPicPr/>
                  </pic:nvPicPr>
                  <pic:blipFill>
                    <a:blip r:embed="rId11"/>
                    <a:stretch>
                      <a:fillRect/>
                    </a:stretch>
                  </pic:blipFill>
                  <pic:spPr>
                    <a:xfrm>
                      <a:off x="0" y="0"/>
                      <a:ext cx="6400800" cy="3602364"/>
                    </a:xfrm>
                    <a:prstGeom prst="rect"/>
                  </pic:spPr>
                </pic:pic>
              </a:graphicData>
            </a:graphic>
          </wp:inline>
        </w:drawing>
      </w:r>
    </w:p>
    <w:tbl>
      <w:tblPr>
        <w:tblW w:type="auto" w:w="0"/>
        <w:jc w:val="center"/>
        <w:tblLook w:firstColumn="1" w:firstRow="1" w:lastColumn="0" w:lastRow="0" w:noHBand="0" w:noVBand="1" w:val="04A0"/>
      </w:tblPr>
      <w:tblGrid>
        <w:gridCol w:w="10166"/>
      </w:tblGrid>
      <w:tr>
        <w:tc>
          <w:tcPr>
            <w:tcW w:type="dxa" w:w="10166"/>
            <w:shd w:fill="FFF8E8"/>
            <w:tcBorders>
              <w:top w:val="single" w:sz="10" w:color="C9A24E"/>
              <w:bottom w:val="single" w:sz="10" w:color="C9A24E"/>
              <w:left w:val="single" w:sz="10" w:color="C9A24E"/>
              <w:right w:val="single" w:sz="10" w:color="C9A24E"/>
            </w:tcBorders>
          </w:tcPr>
          <w:p>
            <w:r>
              <w:rPr>
                <w:rFonts w:ascii="Aptos" w:hAnsi="Aptos"/>
                <w:b/>
                <w:color w:val="C9A24E"/>
                <w:sz w:val="22"/>
              </w:rPr>
              <w:t>Document status</w:t>
              <w:br/>
            </w:r>
            <w:r>
              <w:rPr>
                <w:rFonts w:ascii="Aptos" w:hAnsi="Aptos"/>
                <w:color w:val="152A3B"/>
                <w:sz w:val="19"/>
              </w:rPr>
              <w:t>Architecture Lock Draft v0.9. This is intentionally detailed so product, engineering and SME reviewers can challenge it. Move to v1.0 only after the lock checklist at the end is accepted.</w:t>
            </w:r>
          </w:p>
        </w:tc>
      </w:tr>
    </w:tbl>
    <w:p>
      <w:pPr>
        <w:spacing w:after="20"/>
      </w:pPr>
    </w:p>
    <w:p>
      <w:pPr>
        <w:spacing w:after="100"/>
        <w:jc w:val="center"/>
      </w:pPr>
      <w:r>
        <w:rPr>
          <w:rFonts w:ascii="Aptos" w:hAnsi="Aptos"/>
          <w:b w:val="0"/>
          <w:color w:val="617789"/>
          <w:sz w:val="16"/>
        </w:rPr>
        <w:t>Prepared August 16, 2026</w:t>
      </w:r>
    </w:p>
    <w:p>
      <w:r>
        <w:br w:type="page"/>
      </w:r>
    </w:p>
    <w:p>
      <w:pPr>
        <w:pStyle w:val="Heading1"/>
      </w:pPr>
      <w:r>
        <w:t>Contents</w:t>
      </w:r>
    </w:p>
    <w:p>
      <w:pPr>
        <w:spacing w:after="40"/>
      </w:pPr>
      <w:r>
        <w:rPr>
          <w:rFonts w:ascii="Aptos" w:hAnsi="Aptos"/>
          <w:b w:val="0"/>
          <w:color w:val="152A3B"/>
        </w:rPr>
        <w:t>1. Engineering Principles</w:t>
      </w:r>
    </w:p>
    <w:p>
      <w:pPr>
        <w:spacing w:after="40"/>
      </w:pPr>
      <w:r>
        <w:rPr>
          <w:rFonts w:ascii="Aptos" w:hAnsi="Aptos"/>
          <w:b w:val="0"/>
          <w:color w:val="152A3B"/>
        </w:rPr>
        <w:t>2. Repository and Module Structure</w:t>
      </w:r>
    </w:p>
    <w:p>
      <w:pPr>
        <w:spacing w:after="40"/>
      </w:pPr>
      <w:r>
        <w:rPr>
          <w:rFonts w:ascii="Aptos" w:hAnsi="Aptos"/>
          <w:b w:val="0"/>
          <w:color w:val="152A3B"/>
        </w:rPr>
        <w:t>3. Developer Environment</w:t>
      </w:r>
    </w:p>
    <w:p>
      <w:pPr>
        <w:spacing w:after="40"/>
      </w:pPr>
      <w:r>
        <w:rPr>
          <w:rFonts w:ascii="Aptos" w:hAnsi="Aptos"/>
          <w:b w:val="0"/>
          <w:color w:val="152A3B"/>
        </w:rPr>
        <w:t>4. Coding Standards</w:t>
      </w:r>
    </w:p>
    <w:p>
      <w:pPr>
        <w:spacing w:after="40"/>
      </w:pPr>
      <w:r>
        <w:rPr>
          <w:rFonts w:ascii="Aptos" w:hAnsi="Aptos"/>
          <w:b w:val="0"/>
          <w:color w:val="152A3B"/>
        </w:rPr>
        <w:t>5. API and Domain Design</w:t>
      </w:r>
    </w:p>
    <w:p>
      <w:pPr>
        <w:spacing w:after="40"/>
      </w:pPr>
      <w:r>
        <w:rPr>
          <w:rFonts w:ascii="Aptos" w:hAnsi="Aptos"/>
          <w:b w:val="0"/>
          <w:color w:val="152A3B"/>
        </w:rPr>
        <w:t>6. Database and Migration Standards</w:t>
      </w:r>
    </w:p>
    <w:p>
      <w:pPr>
        <w:spacing w:after="40"/>
      </w:pPr>
      <w:r>
        <w:rPr>
          <w:rFonts w:ascii="Aptos" w:hAnsi="Aptos"/>
          <w:b w:val="0"/>
          <w:color w:val="152A3B"/>
        </w:rPr>
        <w:t>7. AI/Agent Engineering Standards</w:t>
      </w:r>
    </w:p>
    <w:p>
      <w:pPr>
        <w:spacing w:after="40"/>
      </w:pPr>
      <w:r>
        <w:rPr>
          <w:rFonts w:ascii="Aptos" w:hAnsi="Aptos"/>
          <w:b w:val="0"/>
          <w:color w:val="152A3B"/>
        </w:rPr>
        <w:t>8. Regulatory Content Engineering</w:t>
      </w:r>
    </w:p>
    <w:p>
      <w:pPr>
        <w:spacing w:after="40"/>
      </w:pPr>
      <w:r>
        <w:rPr>
          <w:rFonts w:ascii="Aptos" w:hAnsi="Aptos"/>
          <w:b w:val="0"/>
          <w:color w:val="152A3B"/>
        </w:rPr>
        <w:t>9. Testing Strategy</w:t>
      </w:r>
    </w:p>
    <w:p>
      <w:pPr>
        <w:spacing w:after="40"/>
      </w:pPr>
      <w:r>
        <w:rPr>
          <w:rFonts w:ascii="Aptos" w:hAnsi="Aptos"/>
          <w:b w:val="0"/>
          <w:color w:val="152A3B"/>
        </w:rPr>
        <w:t>10. CI Pipeline</w:t>
      </w:r>
    </w:p>
    <w:p>
      <w:pPr>
        <w:spacing w:after="40"/>
      </w:pPr>
      <w:r>
        <w:rPr>
          <w:rFonts w:ascii="Aptos" w:hAnsi="Aptos"/>
          <w:b w:val="0"/>
          <w:color w:val="152A3B"/>
        </w:rPr>
        <w:t>11. CD and Environment Promotion</w:t>
      </w:r>
    </w:p>
    <w:p>
      <w:pPr>
        <w:spacing w:after="40"/>
      </w:pPr>
      <w:r>
        <w:rPr>
          <w:rFonts w:ascii="Aptos" w:hAnsi="Aptos"/>
          <w:b w:val="0"/>
          <w:color w:val="152A3B"/>
        </w:rPr>
        <w:t>12. AWS Deployment Strategy</w:t>
      </w:r>
    </w:p>
    <w:p>
      <w:pPr>
        <w:spacing w:after="40"/>
      </w:pPr>
      <w:r>
        <w:rPr>
          <w:rFonts w:ascii="Aptos" w:hAnsi="Aptos"/>
          <w:b w:val="0"/>
          <w:color w:val="152A3B"/>
        </w:rPr>
        <w:t>13. Observability and SLOs</w:t>
      </w:r>
    </w:p>
    <w:p>
      <w:pPr>
        <w:spacing w:after="40"/>
      </w:pPr>
      <w:r>
        <w:rPr>
          <w:rFonts w:ascii="Aptos" w:hAnsi="Aptos"/>
          <w:b w:val="0"/>
          <w:color w:val="152A3B"/>
        </w:rPr>
        <w:t>14. Security and Privacy Engineering</w:t>
      </w:r>
    </w:p>
    <w:p>
      <w:pPr>
        <w:spacing w:after="40"/>
      </w:pPr>
      <w:r>
        <w:rPr>
          <w:rFonts w:ascii="Aptos" w:hAnsi="Aptos"/>
          <w:b w:val="0"/>
          <w:color w:val="152A3B"/>
        </w:rPr>
        <w:t>15. Cost and Provider Governance</w:t>
      </w:r>
    </w:p>
    <w:p>
      <w:pPr>
        <w:spacing w:after="40"/>
      </w:pPr>
      <w:r>
        <w:rPr>
          <w:rFonts w:ascii="Aptos" w:hAnsi="Aptos"/>
          <w:b w:val="0"/>
          <w:color w:val="152A3B"/>
        </w:rPr>
        <w:t>16. Release and Incident Management</w:t>
      </w:r>
    </w:p>
    <w:p>
      <w:pPr>
        <w:spacing w:after="40"/>
      </w:pPr>
      <w:r>
        <w:rPr>
          <w:rFonts w:ascii="Aptos" w:hAnsi="Aptos"/>
          <w:b w:val="0"/>
          <w:color w:val="152A3B"/>
        </w:rPr>
        <w:t>17. Enterprise Deployment Evolution</w:t>
      </w:r>
    </w:p>
    <w:p>
      <w:pPr>
        <w:spacing w:after="40"/>
      </w:pPr>
      <w:r>
        <w:rPr>
          <w:rFonts w:ascii="Aptos" w:hAnsi="Aptos"/>
          <w:b w:val="0"/>
          <w:color w:val="152A3B"/>
        </w:rPr>
        <w:t>18. Agent Skills and Markdown Governance</w:t>
      </w:r>
    </w:p>
    <w:p>
      <w:pPr>
        <w:spacing w:after="40"/>
      </w:pPr>
      <w:r>
        <w:rPr>
          <w:rFonts w:ascii="Aptos" w:hAnsi="Aptos"/>
          <w:b w:val="0"/>
          <w:color w:val="152A3B"/>
        </w:rPr>
        <w:t>19. Step-by-Step Build Sequence</w:t>
      </w:r>
    </w:p>
    <w:p>
      <w:pPr>
        <w:spacing w:after="40"/>
      </w:pPr>
      <w:r>
        <w:rPr>
          <w:rFonts w:ascii="Aptos" w:hAnsi="Aptos"/>
          <w:b w:val="0"/>
          <w:color w:val="152A3B"/>
        </w:rPr>
        <w:t>20. Definition of Done and Lock Checklist</w:t>
      </w:r>
    </w:p>
    <w:p>
      <w:r>
        <w:br w:type="page"/>
      </w:r>
    </w:p>
    <w:p>
      <w:pPr>
        <w:pStyle w:val="Heading1"/>
      </w:pPr>
      <w:r>
        <w:t>1. Engineering Principles</w:t>
      </w:r>
    </w:p>
    <w:p>
      <w:pPr>
        <w:pStyle w:val="ListBullet"/>
        <w:spacing w:after="40"/>
      </w:pPr>
      <w:r>
        <w:rPr>
          <w:rFonts w:ascii="Aptos" w:hAnsi="Aptos"/>
          <w:color w:val="152A3B"/>
          <w:sz w:val="19"/>
        </w:rPr>
        <w:t>Correctness over cleverness: financial/regulatory calculations and source status are deterministic and testable.</w:t>
      </w:r>
    </w:p>
    <w:p>
      <w:pPr>
        <w:pStyle w:val="ListBullet"/>
        <w:spacing w:after="40"/>
      </w:pPr>
      <w:r>
        <w:rPr>
          <w:rFonts w:ascii="Aptos" w:hAnsi="Aptos"/>
          <w:color w:val="152A3B"/>
          <w:sz w:val="19"/>
        </w:rPr>
        <w:t>Modular monolith before microservices: preserve boundaries in code; split services only for measured independent scaling or security needs.</w:t>
      </w:r>
    </w:p>
    <w:p>
      <w:pPr>
        <w:pStyle w:val="ListBullet"/>
        <w:spacing w:after="40"/>
      </w:pPr>
      <w:r>
        <w:rPr>
          <w:rFonts w:ascii="Aptos" w:hAnsi="Aptos"/>
          <w:color w:val="152A3B"/>
          <w:sz w:val="19"/>
        </w:rPr>
        <w:t>Managed infrastructure first: spend engineering time on differentiated tutoring, simulation and content quality.</w:t>
      </w:r>
    </w:p>
    <w:p>
      <w:pPr>
        <w:pStyle w:val="ListBullet"/>
        <w:spacing w:after="40"/>
      </w:pPr>
      <w:r>
        <w:rPr>
          <w:rFonts w:ascii="Aptos" w:hAnsi="Aptos"/>
          <w:color w:val="152A3B"/>
          <w:sz w:val="19"/>
        </w:rPr>
        <w:t>Providers are replaceable: AI, voice, avatar, image and video integrations live behind adapters.</w:t>
      </w:r>
    </w:p>
    <w:p>
      <w:pPr>
        <w:pStyle w:val="ListBullet"/>
        <w:spacing w:after="40"/>
      </w:pPr>
      <w:r>
        <w:rPr>
          <w:rFonts w:ascii="Aptos" w:hAnsi="Aptos"/>
          <w:color w:val="152A3B"/>
          <w:sz w:val="19"/>
        </w:rPr>
        <w:t>Everything versioned: rules, lesson content, prompts, model/provider choices, calculator rulesets, assessment rubrics and media.</w:t>
      </w:r>
    </w:p>
    <w:p>
      <w:pPr>
        <w:pStyle w:val="ListBullet"/>
        <w:spacing w:after="40"/>
      </w:pPr>
      <w:r>
        <w:rPr>
          <w:rFonts w:ascii="Aptos" w:hAnsi="Aptos"/>
          <w:color w:val="152A3B"/>
          <w:sz w:val="19"/>
        </w:rPr>
        <w:t>Every AI change is an evaluated software change, not “just a prompt tweak.”</w:t>
      </w:r>
    </w:p>
    <w:p>
      <w:pPr>
        <w:pStyle w:val="ListBullet"/>
        <w:spacing w:after="40"/>
      </w:pPr>
      <w:r>
        <w:rPr>
          <w:rFonts w:ascii="Aptos" w:hAnsi="Aptos"/>
          <w:color w:val="152A3B"/>
          <w:sz w:val="19"/>
        </w:rPr>
        <w:t>Every external call has timeout, retry policy, idempotency/cost awareness and observability.</w:t>
      </w:r>
    </w:p>
    <w:p>
      <w:pPr>
        <w:pStyle w:val="ListBullet"/>
        <w:spacing w:after="40"/>
      </w:pPr>
      <w:r>
        <w:rPr>
          <w:rFonts w:ascii="Aptos" w:hAnsi="Aptos"/>
          <w:color w:val="152A3B"/>
          <w:sz w:val="19"/>
        </w:rPr>
        <w:t>Every production incident must be diagnosable through trace IDs without exposing learner secrets in logs.</w:t>
      </w:r>
    </w:p>
    <w:p>
      <w:pPr>
        <w:pStyle w:val="Heading1"/>
      </w:pPr>
      <w:r>
        <w:t>2. Repository and Module Structure</w:t>
      </w:r>
    </w:p>
    <w:p>
      <w:pPr>
        <w:spacing w:after="100"/>
      </w:pPr>
      <w:r>
        <w:rPr>
          <w:rFonts w:ascii="Aptos" w:hAnsi="Aptos"/>
          <w:b w:val="0"/>
          <w:color w:val="152A3B"/>
        </w:rPr>
        <w:t>Recommended monorepo. Keep a single pull-request and release workflow while allowing web/API/worker/realtime processes to deploy independently.</w:t>
      </w:r>
    </w:p>
    <w:p>
      <w:r>
        <w:rPr>
          <w:rFonts w:ascii="Consolas" w:hAnsi="Consolas"/>
          <w:color w:val="152A3B"/>
          <w:sz w:val="17"/>
        </w:rPr>
        <w:t>financial-pods/</w:t>
        <w:br/>
        <w:t xml:space="preserve">  apps/</w:t>
        <w:br/>
        <w:t xml:space="preserve">    web/                 # Next.js learner + admin UI</w:t>
        <w:br/>
        <w:t xml:space="preserve">    api/                 # FastAPI REST/SSE control plane</w:t>
        <w:br/>
        <w:t xml:space="preserve">    worker/              # async/durable workflows</w:t>
        <w:br/>
        <w:t xml:space="preserve">    realtime/            # optional voice-session broker</w:t>
        <w:br/>
        <w:t xml:space="preserve">  packages/</w:t>
        <w:br/>
        <w:t xml:space="preserve">    domain/              # provider/framework-independent domain rules</w:t>
        <w:br/>
        <w:t xml:space="preserve">    calculations/        # deterministic finance rules/tools</w:t>
        <w:br/>
        <w:t xml:space="preserve">    content/             # rule/lesson schemas + publication logic</w:t>
        <w:br/>
        <w:t xml:space="preserve">    ai/                  # tutor orchestration, policies, eval adapters</w:t>
        <w:br/>
        <w:t xml:space="preserve">    telemetry/           # traces/metrics/logs/cost events</w:t>
        <w:br/>
        <w:t xml:space="preserve">    ui/                  # reusable design-system components</w:t>
        <w:br/>
        <w:t xml:space="preserve">  infra/</w:t>
        <w:br/>
        <w:t xml:space="preserve">    terraform/</w:t>
        <w:br/>
        <w:t xml:space="preserve">      modules/</w:t>
        <w:br/>
        <w:t xml:space="preserve">      envs/dev/ staging/ prod/</w:t>
        <w:br/>
        <w:t xml:space="preserve">  docs/</w:t>
        <w:br/>
        <w:t xml:space="preserve">    adr/</w:t>
        <w:br/>
        <w:t xml:space="preserve">  skills/</w:t>
        <w:br/>
        <w:t xml:space="preserve">  prompts/</w:t>
        <w:br/>
        <w:t xml:space="preserve">  tests/fixtures/</w:t>
        <w:br/>
        <w:t xml:space="preserve">  .github/workflows/</w:t>
        <w:br/>
        <w:t xml:space="preserve">  AGENTS.md</w:t>
        <w:br/>
      </w:r>
    </w:p>
    <w:p>
      <w:pPr>
        <w:pStyle w:val="Heading2"/>
      </w:pPr>
      <w:r>
        <w:t>2.1 Dependency rules</w:t>
      </w:r>
    </w:p>
    <w:p>
      <w:pPr>
        <w:spacing w:after="60"/>
      </w:pPr>
      <w:r>
        <w:rPr>
          <w:rFonts w:ascii="Aptos" w:hAnsi="Aptos"/>
          <w:b/>
          <w:color w:val="081726"/>
          <w:sz w:val="19"/>
        </w:rPr>
        <w:t xml:space="preserve">1. </w:t>
      </w:r>
      <w:r>
        <w:rPr>
          <w:rFonts w:ascii="Aptos" w:hAnsi="Aptos"/>
          <w:color w:val="152A3B"/>
          <w:sz w:val="19"/>
        </w:rPr>
        <w:t>Domain packages may not import FastAPI, Next.js, provider SDKs or cloud clients.</w:t>
      </w:r>
    </w:p>
    <w:p>
      <w:pPr>
        <w:spacing w:after="60"/>
      </w:pPr>
      <w:r>
        <w:rPr>
          <w:rFonts w:ascii="Aptos" w:hAnsi="Aptos"/>
          <w:b/>
          <w:color w:val="081726"/>
          <w:sz w:val="19"/>
        </w:rPr>
        <w:t xml:space="preserve">2. </w:t>
      </w:r>
      <w:r>
        <w:rPr>
          <w:rFonts w:ascii="Aptos" w:hAnsi="Aptos"/>
          <w:color w:val="152A3B"/>
          <w:sz w:val="19"/>
        </w:rPr>
        <w:t>Application services depend on domain interfaces; infrastructure adapters implement those interfaces.</w:t>
      </w:r>
    </w:p>
    <w:p>
      <w:pPr>
        <w:spacing w:after="60"/>
      </w:pPr>
      <w:r>
        <w:rPr>
          <w:rFonts w:ascii="Aptos" w:hAnsi="Aptos"/>
          <w:b/>
          <w:color w:val="081726"/>
          <w:sz w:val="19"/>
        </w:rPr>
        <w:t xml:space="preserve">3. </w:t>
      </w:r>
      <w:r>
        <w:rPr>
          <w:rFonts w:ascii="Aptos" w:hAnsi="Aptos"/>
          <w:color w:val="152A3B"/>
          <w:sz w:val="19"/>
        </w:rPr>
        <w:t>HTTP handlers validate/authenticate then delegate; they do not contain calculations or tutor policy.</w:t>
      </w:r>
    </w:p>
    <w:p>
      <w:pPr>
        <w:spacing w:after="60"/>
      </w:pPr>
      <w:r>
        <w:rPr>
          <w:rFonts w:ascii="Aptos" w:hAnsi="Aptos"/>
          <w:b/>
          <w:color w:val="081726"/>
          <w:sz w:val="19"/>
        </w:rPr>
        <w:t xml:space="preserve">4. </w:t>
      </w:r>
      <w:r>
        <w:rPr>
          <w:rFonts w:ascii="Aptos" w:hAnsi="Aptos"/>
          <w:color w:val="152A3B"/>
          <w:sz w:val="19"/>
        </w:rPr>
        <w:t>React components render state and invoke typed client contracts; finance logic stays server/domain-side.</w:t>
      </w:r>
    </w:p>
    <w:p>
      <w:pPr>
        <w:spacing w:after="60"/>
      </w:pPr>
      <w:r>
        <w:rPr>
          <w:rFonts w:ascii="Aptos" w:hAnsi="Aptos"/>
          <w:b/>
          <w:color w:val="081726"/>
          <w:sz w:val="19"/>
        </w:rPr>
        <w:t xml:space="preserve">5. </w:t>
      </w:r>
      <w:r>
        <w:rPr>
          <w:rFonts w:ascii="Aptos" w:hAnsi="Aptos"/>
          <w:color w:val="152A3B"/>
          <w:sz w:val="19"/>
        </w:rPr>
        <w:t>Database ORM structures do not become business-domain objects by default.</w:t>
      </w:r>
    </w:p>
    <w:p>
      <w:pPr>
        <w:spacing w:after="60"/>
      </w:pPr>
      <w:r>
        <w:rPr>
          <w:rFonts w:ascii="Aptos" w:hAnsi="Aptos"/>
          <w:b/>
          <w:color w:val="081726"/>
          <w:sz w:val="19"/>
        </w:rPr>
        <w:t xml:space="preserve">6. </w:t>
      </w:r>
      <w:r>
        <w:rPr>
          <w:rFonts w:ascii="Aptos" w:hAnsi="Aptos"/>
          <w:color w:val="152A3B"/>
          <w:sz w:val="19"/>
        </w:rPr>
        <w:t>Provider SDKs are isolated so model/voice/video vendor changes do not rewrite business logic.</w:t>
      </w:r>
    </w:p>
    <w:p>
      <w:pPr>
        <w:pStyle w:val="Heading1"/>
      </w:pPr>
      <w:r>
        <w:t>3. Developer Environment</w:t>
      </w:r>
    </w:p>
    <w:p>
      <w:pPr>
        <w:pStyle w:val="Heading2"/>
      </w:pPr>
      <w:r>
        <w:t>3.1 Local prerequisites</w:t>
      </w:r>
    </w:p>
    <w:p>
      <w:pPr>
        <w:pStyle w:val="ListBullet"/>
        <w:spacing w:after="40"/>
      </w:pPr>
      <w:r>
        <w:rPr>
          <w:rFonts w:ascii="Aptos" w:hAnsi="Aptos"/>
          <w:color w:val="152A3B"/>
          <w:sz w:val="19"/>
        </w:rPr>
        <w:t>Git</w:t>
      </w:r>
    </w:p>
    <w:p>
      <w:pPr>
        <w:pStyle w:val="ListBullet"/>
        <w:spacing w:after="40"/>
      </w:pPr>
      <w:r>
        <w:rPr>
          <w:rFonts w:ascii="Aptos" w:hAnsi="Aptos"/>
          <w:color w:val="152A3B"/>
          <w:sz w:val="19"/>
        </w:rPr>
        <w:t>Docker/Compose</w:t>
      </w:r>
    </w:p>
    <w:p>
      <w:pPr>
        <w:pStyle w:val="ListBullet"/>
        <w:spacing w:after="40"/>
      </w:pPr>
      <w:r>
        <w:rPr>
          <w:rFonts w:ascii="Aptos" w:hAnsi="Aptos"/>
          <w:color w:val="152A3B"/>
          <w:sz w:val="19"/>
        </w:rPr>
        <w:t>Node.js LTS + pnpm</w:t>
      </w:r>
    </w:p>
    <w:p>
      <w:pPr>
        <w:pStyle w:val="ListBullet"/>
        <w:spacing w:after="40"/>
      </w:pPr>
      <w:r>
        <w:rPr>
          <w:rFonts w:ascii="Aptos" w:hAnsi="Aptos"/>
          <w:color w:val="152A3B"/>
          <w:sz w:val="19"/>
        </w:rPr>
        <w:t>Python 3.12+</w:t>
      </w:r>
    </w:p>
    <w:p>
      <w:pPr>
        <w:pStyle w:val="ListBullet"/>
        <w:spacing w:after="40"/>
      </w:pPr>
      <w:r>
        <w:rPr>
          <w:rFonts w:ascii="Aptos" w:hAnsi="Aptos"/>
          <w:color w:val="152A3B"/>
          <w:sz w:val="19"/>
        </w:rPr>
        <w:t>uv (or locked Python package manager)</w:t>
      </w:r>
    </w:p>
    <w:p>
      <w:pPr>
        <w:pStyle w:val="ListBullet"/>
        <w:spacing w:after="40"/>
      </w:pPr>
      <w:r>
        <w:rPr>
          <w:rFonts w:ascii="Aptos" w:hAnsi="Aptos"/>
          <w:color w:val="152A3B"/>
          <w:sz w:val="19"/>
        </w:rPr>
        <w:t>VS Code/IDE with EditorConfig</w:t>
      </w:r>
    </w:p>
    <w:p>
      <w:pPr>
        <w:pStyle w:val="ListBullet"/>
        <w:spacing w:after="40"/>
      </w:pPr>
      <w:r>
        <w:rPr>
          <w:rFonts w:ascii="Aptos" w:hAnsi="Aptos"/>
          <w:color w:val="152A3B"/>
          <w:sz w:val="19"/>
        </w:rPr>
        <w:t>Optional local FFmpeg for media workflows</w:t>
      </w:r>
    </w:p>
    <w:p>
      <w:pPr>
        <w:pStyle w:val="Heading2"/>
      </w:pPr>
      <w:r>
        <w:t>3.2 Local Compose topology</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Service</w:t>
            </w:r>
          </w:p>
        </w:tc>
        <w:tc>
          <w:tcPr>
            <w:tcW w:type="dxa" w:w="432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Purpose</w:t>
            </w:r>
          </w:p>
        </w:tc>
        <w:tc>
          <w:tcPr>
            <w:tcW w:type="dxa" w:w="36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External paid API required?</w:t>
            </w:r>
          </w:p>
        </w:tc>
      </w:tr>
      <w:tr>
        <w:tc>
          <w:tcPr>
            <w:tcW w:type="dxa" w:w="2160"/>
            <w:vAlign w:val="center"/>
          </w:tcPr>
          <w:p>
            <w:r>
              <w:rPr>
                <w:rFonts w:ascii="Aptos" w:hAnsi="Aptos"/>
                <w:color w:val="152A3B"/>
                <w:sz w:val="16"/>
              </w:rPr>
              <w:t>web</w:t>
            </w:r>
          </w:p>
        </w:tc>
        <w:tc>
          <w:tcPr>
            <w:tcW w:type="dxa" w:w="4320"/>
            <w:vAlign w:val="center"/>
          </w:tcPr>
          <w:p>
            <w:r>
              <w:rPr>
                <w:rFonts w:ascii="Aptos" w:hAnsi="Aptos"/>
                <w:color w:val="152A3B"/>
                <w:sz w:val="16"/>
              </w:rPr>
              <w:t>Learner/admin frontend</w:t>
            </w:r>
          </w:p>
        </w:tc>
        <w:tc>
          <w:tcPr>
            <w:tcW w:type="dxa" w:w="3600"/>
            <w:vAlign w:val="center"/>
          </w:tcPr>
          <w:p>
            <w:r>
              <w:rPr>
                <w:rFonts w:ascii="Aptos" w:hAnsi="Aptos"/>
                <w:color w:val="152A3B"/>
                <w:sz w:val="16"/>
              </w:rPr>
              <w:t>No</w:t>
            </w:r>
          </w:p>
        </w:tc>
      </w:tr>
      <w:tr>
        <w:tc>
          <w:tcPr>
            <w:tcW w:type="dxa" w:w="2160"/>
            <w:shd w:fill="F8FAFB"/>
            <w:vAlign w:val="center"/>
          </w:tcPr>
          <w:p>
            <w:r>
              <w:rPr>
                <w:rFonts w:ascii="Aptos" w:hAnsi="Aptos"/>
                <w:color w:val="152A3B"/>
                <w:sz w:val="16"/>
              </w:rPr>
              <w:t>api</w:t>
            </w:r>
          </w:p>
        </w:tc>
        <w:tc>
          <w:tcPr>
            <w:tcW w:type="dxa" w:w="4320"/>
            <w:shd w:fill="F8FAFB"/>
            <w:vAlign w:val="center"/>
          </w:tcPr>
          <w:p>
            <w:r>
              <w:rPr>
                <w:rFonts w:ascii="Aptos" w:hAnsi="Aptos"/>
                <w:color w:val="152A3B"/>
                <w:sz w:val="16"/>
              </w:rPr>
              <w:t>FastAPI</w:t>
            </w:r>
          </w:p>
        </w:tc>
        <w:tc>
          <w:tcPr>
            <w:tcW w:type="dxa" w:w="3600"/>
            <w:shd w:fill="F8FAFB"/>
            <w:vAlign w:val="center"/>
          </w:tcPr>
          <w:p>
            <w:r>
              <w:rPr>
                <w:rFonts w:ascii="Aptos" w:hAnsi="Aptos"/>
                <w:color w:val="152A3B"/>
                <w:sz w:val="16"/>
              </w:rPr>
              <w:t>No</w:t>
            </w:r>
          </w:p>
        </w:tc>
      </w:tr>
      <w:tr>
        <w:tc>
          <w:tcPr>
            <w:tcW w:type="dxa" w:w="2160"/>
            <w:vAlign w:val="center"/>
          </w:tcPr>
          <w:p>
            <w:r>
              <w:rPr>
                <w:rFonts w:ascii="Aptos" w:hAnsi="Aptos"/>
                <w:color w:val="152A3B"/>
                <w:sz w:val="16"/>
              </w:rPr>
              <w:t>worker</w:t>
            </w:r>
          </w:p>
        </w:tc>
        <w:tc>
          <w:tcPr>
            <w:tcW w:type="dxa" w:w="4320"/>
            <w:vAlign w:val="center"/>
          </w:tcPr>
          <w:p>
            <w:r>
              <w:rPr>
                <w:rFonts w:ascii="Aptos" w:hAnsi="Aptos"/>
                <w:color w:val="152A3B"/>
                <w:sz w:val="16"/>
              </w:rPr>
              <w:t>Async jobs</w:t>
            </w:r>
          </w:p>
        </w:tc>
        <w:tc>
          <w:tcPr>
            <w:tcW w:type="dxa" w:w="3600"/>
            <w:vAlign w:val="center"/>
          </w:tcPr>
          <w:p>
            <w:r>
              <w:rPr>
                <w:rFonts w:ascii="Aptos" w:hAnsi="Aptos"/>
                <w:color w:val="152A3B"/>
                <w:sz w:val="16"/>
              </w:rPr>
              <w:t>No</w:t>
            </w:r>
          </w:p>
        </w:tc>
      </w:tr>
      <w:tr>
        <w:tc>
          <w:tcPr>
            <w:tcW w:type="dxa" w:w="2160"/>
            <w:shd w:fill="F8FAFB"/>
            <w:vAlign w:val="center"/>
          </w:tcPr>
          <w:p>
            <w:r>
              <w:rPr>
                <w:rFonts w:ascii="Aptos" w:hAnsi="Aptos"/>
                <w:color w:val="152A3B"/>
                <w:sz w:val="16"/>
              </w:rPr>
              <w:t>postgres</w:t>
            </w:r>
          </w:p>
        </w:tc>
        <w:tc>
          <w:tcPr>
            <w:tcW w:type="dxa" w:w="4320"/>
            <w:shd w:fill="F8FAFB"/>
            <w:vAlign w:val="center"/>
          </w:tcPr>
          <w:p>
            <w:r>
              <w:rPr>
                <w:rFonts w:ascii="Aptos" w:hAnsi="Aptos"/>
                <w:color w:val="152A3B"/>
                <w:sz w:val="16"/>
              </w:rPr>
              <w:t>PostgreSQL + pgvector</w:t>
            </w:r>
          </w:p>
        </w:tc>
        <w:tc>
          <w:tcPr>
            <w:tcW w:type="dxa" w:w="3600"/>
            <w:shd w:fill="F8FAFB"/>
            <w:vAlign w:val="center"/>
          </w:tcPr>
          <w:p>
            <w:r>
              <w:rPr>
                <w:rFonts w:ascii="Aptos" w:hAnsi="Aptos"/>
                <w:color w:val="152A3B"/>
                <w:sz w:val="16"/>
              </w:rPr>
              <w:t>No</w:t>
            </w:r>
          </w:p>
        </w:tc>
      </w:tr>
      <w:tr>
        <w:tc>
          <w:tcPr>
            <w:tcW w:type="dxa" w:w="2160"/>
            <w:vAlign w:val="center"/>
          </w:tcPr>
          <w:p>
            <w:r>
              <w:rPr>
                <w:rFonts w:ascii="Aptos" w:hAnsi="Aptos"/>
                <w:color w:val="152A3B"/>
                <w:sz w:val="16"/>
              </w:rPr>
              <w:t>redis</w:t>
            </w:r>
          </w:p>
        </w:tc>
        <w:tc>
          <w:tcPr>
            <w:tcW w:type="dxa" w:w="4320"/>
            <w:vAlign w:val="center"/>
          </w:tcPr>
          <w:p>
            <w:r>
              <w:rPr>
                <w:rFonts w:ascii="Aptos" w:hAnsi="Aptos"/>
                <w:color w:val="152A3B"/>
                <w:sz w:val="16"/>
              </w:rPr>
              <w:t>Cache/session/rate coordination</w:t>
            </w:r>
          </w:p>
        </w:tc>
        <w:tc>
          <w:tcPr>
            <w:tcW w:type="dxa" w:w="3600"/>
            <w:vAlign w:val="center"/>
          </w:tcPr>
          <w:p>
            <w:r>
              <w:rPr>
                <w:rFonts w:ascii="Aptos" w:hAnsi="Aptos"/>
                <w:color w:val="152A3B"/>
                <w:sz w:val="16"/>
              </w:rPr>
              <w:t>No</w:t>
            </w:r>
          </w:p>
        </w:tc>
      </w:tr>
      <w:tr>
        <w:tc>
          <w:tcPr>
            <w:tcW w:type="dxa" w:w="2160"/>
            <w:shd w:fill="F8FAFB"/>
            <w:vAlign w:val="center"/>
          </w:tcPr>
          <w:p>
            <w:r>
              <w:rPr>
                <w:rFonts w:ascii="Aptos" w:hAnsi="Aptos"/>
                <w:color w:val="152A3B"/>
                <w:sz w:val="16"/>
              </w:rPr>
              <w:t>object-store emulator</w:t>
            </w:r>
          </w:p>
        </w:tc>
        <w:tc>
          <w:tcPr>
            <w:tcW w:type="dxa" w:w="4320"/>
            <w:shd w:fill="F8FAFB"/>
            <w:vAlign w:val="center"/>
          </w:tcPr>
          <w:p>
            <w:r>
              <w:rPr>
                <w:rFonts w:ascii="Aptos" w:hAnsi="Aptos"/>
                <w:color w:val="152A3B"/>
                <w:sz w:val="16"/>
              </w:rPr>
              <w:t>Local media/files</w:t>
            </w:r>
          </w:p>
        </w:tc>
        <w:tc>
          <w:tcPr>
            <w:tcW w:type="dxa" w:w="3600"/>
            <w:shd w:fill="F8FAFB"/>
            <w:vAlign w:val="center"/>
          </w:tcPr>
          <w:p>
            <w:r>
              <w:rPr>
                <w:rFonts w:ascii="Aptos" w:hAnsi="Aptos"/>
                <w:color w:val="152A3B"/>
                <w:sz w:val="16"/>
              </w:rPr>
              <w:t>No</w:t>
            </w:r>
          </w:p>
        </w:tc>
      </w:tr>
      <w:tr>
        <w:tc>
          <w:tcPr>
            <w:tcW w:type="dxa" w:w="2160"/>
            <w:vAlign w:val="center"/>
          </w:tcPr>
          <w:p>
            <w:r>
              <w:rPr>
                <w:rFonts w:ascii="Aptos" w:hAnsi="Aptos"/>
                <w:color w:val="152A3B"/>
                <w:sz w:val="16"/>
              </w:rPr>
              <w:t>mock-ai</w:t>
            </w:r>
          </w:p>
        </w:tc>
        <w:tc>
          <w:tcPr>
            <w:tcW w:type="dxa" w:w="4320"/>
            <w:vAlign w:val="center"/>
          </w:tcPr>
          <w:p>
            <w:r>
              <w:rPr>
                <w:rFonts w:ascii="Aptos" w:hAnsi="Aptos"/>
                <w:color w:val="152A3B"/>
                <w:sz w:val="16"/>
              </w:rPr>
              <w:t>Deterministic tutor provider fake</w:t>
            </w:r>
          </w:p>
        </w:tc>
        <w:tc>
          <w:tcPr>
            <w:tcW w:type="dxa" w:w="3600"/>
            <w:vAlign w:val="center"/>
          </w:tcPr>
          <w:p>
            <w:r>
              <w:rPr>
                <w:rFonts w:ascii="Aptos" w:hAnsi="Aptos"/>
                <w:color w:val="152A3B"/>
                <w:sz w:val="16"/>
              </w:rPr>
              <w:t>No</w:t>
            </w:r>
          </w:p>
        </w:tc>
      </w:tr>
      <w:tr>
        <w:tc>
          <w:tcPr>
            <w:tcW w:type="dxa" w:w="2160"/>
            <w:shd w:fill="F8FAFB"/>
            <w:vAlign w:val="center"/>
          </w:tcPr>
          <w:p>
            <w:r>
              <w:rPr>
                <w:rFonts w:ascii="Aptos" w:hAnsi="Aptos"/>
                <w:color w:val="152A3B"/>
                <w:sz w:val="16"/>
              </w:rPr>
              <w:t>mock-voice</w:t>
            </w:r>
          </w:p>
        </w:tc>
        <w:tc>
          <w:tcPr>
            <w:tcW w:type="dxa" w:w="4320"/>
            <w:shd w:fill="F8FAFB"/>
            <w:vAlign w:val="center"/>
          </w:tcPr>
          <w:p>
            <w:r>
              <w:rPr>
                <w:rFonts w:ascii="Aptos" w:hAnsi="Aptos"/>
                <w:color w:val="152A3B"/>
                <w:sz w:val="16"/>
              </w:rPr>
              <w:t>Simulated transcript/voice events</w:t>
            </w:r>
          </w:p>
        </w:tc>
        <w:tc>
          <w:tcPr>
            <w:tcW w:type="dxa" w:w="3600"/>
            <w:shd w:fill="F8FAFB"/>
            <w:vAlign w:val="center"/>
          </w:tcPr>
          <w:p>
            <w:r>
              <w:rPr>
                <w:rFonts w:ascii="Aptos" w:hAnsi="Aptos"/>
                <w:color w:val="152A3B"/>
                <w:sz w:val="16"/>
              </w:rPr>
              <w:t>No</w:t>
            </w:r>
          </w:p>
        </w:tc>
      </w:tr>
    </w:tbl>
    <w:p>
      <w:pPr>
        <w:spacing w:after="20"/>
      </w:pPr>
    </w:p>
    <w:p>
      <w:pPr>
        <w:pStyle w:val="Heading2"/>
      </w:pPr>
      <w:r>
        <w:t>3.3 One-command seed</w:t>
      </w:r>
    </w:p>
    <w:p>
      <w:pPr>
        <w:spacing w:after="100"/>
      </w:pPr>
      <w:r>
        <w:rPr>
          <w:rFonts w:ascii="Aptos" w:hAnsi="Aptos"/>
          <w:b w:val="0"/>
          <w:color w:val="152A3B"/>
        </w:rPr>
        <w:t>The repository must include a reproducible seed that creates one demo learner, one admin/SME, Golden Lesson content, BCBS/U.S./SAMA/CBUAE rule fixtures, one FinBank corporate exposure and expected calculation results. This allows every coding agent and developer to exercise the same deterministic scenario.</w:t>
      </w:r>
    </w:p>
    <w:p>
      <w:pPr>
        <w:pStyle w:val="Heading1"/>
      </w:pPr>
      <w:r>
        <w:t>4. Coding Standards</w:t>
      </w:r>
    </w:p>
    <w:p>
      <w:pPr>
        <w:pStyle w:val="Heading2"/>
      </w:pPr>
      <w:r>
        <w:t>4.1 Python</w:t>
      </w:r>
    </w:p>
    <w:tbl>
      <w:tblPr>
        <w:tblStyle w:val="TableGrid"/>
        <w:tblW w:type="auto" w:w="0"/>
        <w:jc w:val="center"/>
        <w:tblLook w:firstColumn="1" w:firstRow="1" w:lastColumn="0" w:lastRow="0" w:noHBand="0" w:noVBand="1" w:val="04A0"/>
      </w:tblPr>
      <w:tblGrid>
        <w:gridCol w:w="5083"/>
        <w:gridCol w:w="5083"/>
      </w:tblGrid>
      <w:tr>
        <w:tc>
          <w:tcPr>
            <w:tcW w:type="dxa" w:w="230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Area</w:t>
            </w:r>
          </w:p>
        </w:tc>
        <w:tc>
          <w:tcPr>
            <w:tcW w:type="dxa" w:w="777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Standard</w:t>
            </w:r>
          </w:p>
        </w:tc>
      </w:tr>
      <w:tr>
        <w:tc>
          <w:tcPr>
            <w:tcW w:type="dxa" w:w="2304"/>
            <w:vAlign w:val="center"/>
          </w:tcPr>
          <w:p>
            <w:r>
              <w:rPr>
                <w:rFonts w:ascii="Aptos" w:hAnsi="Aptos"/>
                <w:color w:val="152A3B"/>
                <w:sz w:val="16"/>
              </w:rPr>
              <w:t>Runtime</w:t>
            </w:r>
          </w:p>
        </w:tc>
        <w:tc>
          <w:tcPr>
            <w:tcW w:type="dxa" w:w="7776"/>
            <w:vAlign w:val="center"/>
          </w:tcPr>
          <w:p>
            <w:r>
              <w:rPr>
                <w:rFonts w:ascii="Aptos" w:hAnsi="Aptos"/>
                <w:color w:val="152A3B"/>
                <w:sz w:val="16"/>
              </w:rPr>
              <w:t>Python 3.12+ target</w:t>
            </w:r>
          </w:p>
        </w:tc>
      </w:tr>
      <w:tr>
        <w:tc>
          <w:tcPr>
            <w:tcW w:type="dxa" w:w="2304"/>
            <w:shd w:fill="F8FAFB"/>
            <w:vAlign w:val="center"/>
          </w:tcPr>
          <w:p>
            <w:r>
              <w:rPr>
                <w:rFonts w:ascii="Aptos" w:hAnsi="Aptos"/>
                <w:color w:val="152A3B"/>
                <w:sz w:val="16"/>
              </w:rPr>
              <w:t>Web/API</w:t>
            </w:r>
          </w:p>
        </w:tc>
        <w:tc>
          <w:tcPr>
            <w:tcW w:type="dxa" w:w="7776"/>
            <w:shd w:fill="F8FAFB"/>
            <w:vAlign w:val="center"/>
          </w:tcPr>
          <w:p>
            <w:r>
              <w:rPr>
                <w:rFonts w:ascii="Aptos" w:hAnsi="Aptos"/>
                <w:color w:val="152A3B"/>
                <w:sz w:val="16"/>
              </w:rPr>
              <w:t>FastAPI + Pydantic v2</w:t>
            </w:r>
          </w:p>
        </w:tc>
      </w:tr>
      <w:tr>
        <w:tc>
          <w:tcPr>
            <w:tcW w:type="dxa" w:w="2304"/>
            <w:vAlign w:val="center"/>
          </w:tcPr>
          <w:p>
            <w:r>
              <w:rPr>
                <w:rFonts w:ascii="Aptos" w:hAnsi="Aptos"/>
                <w:color w:val="152A3B"/>
                <w:sz w:val="16"/>
              </w:rPr>
              <w:t>Persistence</w:t>
            </w:r>
          </w:p>
        </w:tc>
        <w:tc>
          <w:tcPr>
            <w:tcW w:type="dxa" w:w="7776"/>
            <w:vAlign w:val="center"/>
          </w:tcPr>
          <w:p>
            <w:r>
              <w:rPr>
                <w:rFonts w:ascii="Aptos" w:hAnsi="Aptos"/>
                <w:color w:val="152A3B"/>
                <w:sz w:val="16"/>
              </w:rPr>
              <w:t>SQLAlchemy 2.x + Alembic</w:t>
            </w:r>
          </w:p>
        </w:tc>
      </w:tr>
      <w:tr>
        <w:tc>
          <w:tcPr>
            <w:tcW w:type="dxa" w:w="2304"/>
            <w:shd w:fill="F8FAFB"/>
            <w:vAlign w:val="center"/>
          </w:tcPr>
          <w:p>
            <w:r>
              <w:rPr>
                <w:rFonts w:ascii="Aptos" w:hAnsi="Aptos"/>
                <w:color w:val="152A3B"/>
                <w:sz w:val="16"/>
              </w:rPr>
              <w:t>Style</w:t>
            </w:r>
          </w:p>
        </w:tc>
        <w:tc>
          <w:tcPr>
            <w:tcW w:type="dxa" w:w="7776"/>
            <w:shd w:fill="F8FAFB"/>
            <w:vAlign w:val="center"/>
          </w:tcPr>
          <w:p>
            <w:r>
              <w:rPr>
                <w:rFonts w:ascii="Aptos" w:hAnsi="Aptos"/>
                <w:color w:val="152A3B"/>
                <w:sz w:val="16"/>
              </w:rPr>
              <w:t>ruff lint + format</w:t>
            </w:r>
          </w:p>
        </w:tc>
      </w:tr>
      <w:tr>
        <w:tc>
          <w:tcPr>
            <w:tcW w:type="dxa" w:w="2304"/>
            <w:vAlign w:val="center"/>
          </w:tcPr>
          <w:p>
            <w:r>
              <w:rPr>
                <w:rFonts w:ascii="Aptos" w:hAnsi="Aptos"/>
                <w:color w:val="152A3B"/>
                <w:sz w:val="16"/>
              </w:rPr>
              <w:t>Typing</w:t>
            </w:r>
          </w:p>
        </w:tc>
        <w:tc>
          <w:tcPr>
            <w:tcW w:type="dxa" w:w="7776"/>
            <w:vAlign w:val="center"/>
          </w:tcPr>
          <w:p>
            <w:r>
              <w:rPr>
                <w:rFonts w:ascii="Aptos" w:hAnsi="Aptos"/>
                <w:color w:val="152A3B"/>
                <w:sz w:val="16"/>
              </w:rPr>
              <w:t>mypy; strict on domain/calculation packages</w:t>
            </w:r>
          </w:p>
        </w:tc>
      </w:tr>
      <w:tr>
        <w:tc>
          <w:tcPr>
            <w:tcW w:type="dxa" w:w="2304"/>
            <w:shd w:fill="F8FAFB"/>
            <w:vAlign w:val="center"/>
          </w:tcPr>
          <w:p>
            <w:r>
              <w:rPr>
                <w:rFonts w:ascii="Aptos" w:hAnsi="Aptos"/>
                <w:color w:val="152A3B"/>
                <w:sz w:val="16"/>
              </w:rPr>
              <w:t>Tests</w:t>
            </w:r>
          </w:p>
        </w:tc>
        <w:tc>
          <w:tcPr>
            <w:tcW w:type="dxa" w:w="7776"/>
            <w:shd w:fill="F8FAFB"/>
            <w:vAlign w:val="center"/>
          </w:tcPr>
          <w:p>
            <w:r>
              <w:rPr>
                <w:rFonts w:ascii="Aptos" w:hAnsi="Aptos"/>
                <w:color w:val="152A3B"/>
                <w:sz w:val="16"/>
              </w:rPr>
              <w:t>pytest + coverage; property/golden tests for calculations</w:t>
            </w:r>
          </w:p>
        </w:tc>
      </w:tr>
      <w:tr>
        <w:tc>
          <w:tcPr>
            <w:tcW w:type="dxa" w:w="2304"/>
            <w:vAlign w:val="center"/>
          </w:tcPr>
          <w:p>
            <w:r>
              <w:rPr>
                <w:rFonts w:ascii="Aptos" w:hAnsi="Aptos"/>
                <w:color w:val="152A3B"/>
                <w:sz w:val="16"/>
              </w:rPr>
              <w:t>Money/numbers</w:t>
            </w:r>
          </w:p>
        </w:tc>
        <w:tc>
          <w:tcPr>
            <w:tcW w:type="dxa" w:w="7776"/>
            <w:vAlign w:val="center"/>
          </w:tcPr>
          <w:p>
            <w:r>
              <w:rPr>
                <w:rFonts w:ascii="Aptos" w:hAnsi="Aptos"/>
                <w:color w:val="152A3B"/>
                <w:sz w:val="16"/>
              </w:rPr>
              <w:t>Decimal/fixed-point where authoritative</w:t>
            </w:r>
          </w:p>
        </w:tc>
      </w:tr>
      <w:tr>
        <w:tc>
          <w:tcPr>
            <w:tcW w:type="dxa" w:w="2304"/>
            <w:shd w:fill="F8FAFB"/>
            <w:vAlign w:val="center"/>
          </w:tcPr>
          <w:p>
            <w:r>
              <w:rPr>
                <w:rFonts w:ascii="Aptos" w:hAnsi="Aptos"/>
                <w:color w:val="152A3B"/>
                <w:sz w:val="16"/>
              </w:rPr>
              <w:t>Dates</w:t>
            </w:r>
          </w:p>
        </w:tc>
        <w:tc>
          <w:tcPr>
            <w:tcW w:type="dxa" w:w="7776"/>
            <w:shd w:fill="F8FAFB"/>
            <w:vAlign w:val="center"/>
          </w:tcPr>
          <w:p>
            <w:r>
              <w:rPr>
                <w:rFonts w:ascii="Aptos" w:hAnsi="Aptos"/>
                <w:color w:val="152A3B"/>
                <w:sz w:val="16"/>
              </w:rPr>
              <w:t>timezone-aware UTC internally</w:t>
            </w:r>
          </w:p>
        </w:tc>
      </w:tr>
      <w:tr>
        <w:tc>
          <w:tcPr>
            <w:tcW w:type="dxa" w:w="2304"/>
            <w:vAlign w:val="center"/>
          </w:tcPr>
          <w:p>
            <w:r>
              <w:rPr>
                <w:rFonts w:ascii="Aptos" w:hAnsi="Aptos"/>
                <w:color w:val="152A3B"/>
                <w:sz w:val="16"/>
              </w:rPr>
              <w:t>Errors</w:t>
            </w:r>
          </w:p>
        </w:tc>
        <w:tc>
          <w:tcPr>
            <w:tcW w:type="dxa" w:w="7776"/>
            <w:vAlign w:val="center"/>
          </w:tcPr>
          <w:p>
            <w:r>
              <w:rPr>
                <w:rFonts w:ascii="Aptos" w:hAnsi="Aptos"/>
                <w:color w:val="152A3B"/>
                <w:sz w:val="16"/>
              </w:rPr>
              <w:t>typed domain/application exceptions; no bare except</w:t>
            </w:r>
          </w:p>
        </w:tc>
      </w:tr>
      <w:tr>
        <w:tc>
          <w:tcPr>
            <w:tcW w:type="dxa" w:w="2304"/>
            <w:shd w:fill="F8FAFB"/>
            <w:vAlign w:val="center"/>
          </w:tcPr>
          <w:p>
            <w:r>
              <w:rPr>
                <w:rFonts w:ascii="Aptos" w:hAnsi="Aptos"/>
                <w:color w:val="152A3B"/>
                <w:sz w:val="16"/>
              </w:rPr>
              <w:t>Logging</w:t>
            </w:r>
          </w:p>
        </w:tc>
        <w:tc>
          <w:tcPr>
            <w:tcW w:type="dxa" w:w="7776"/>
            <w:shd w:fill="F8FAFB"/>
            <w:vAlign w:val="center"/>
          </w:tcPr>
          <w:p>
            <w:r>
              <w:rPr>
                <w:rFonts w:ascii="Aptos" w:hAnsi="Aptos"/>
                <w:color w:val="152A3B"/>
                <w:sz w:val="16"/>
              </w:rPr>
              <w:t>structured; no secrets/full prompts by default</w:t>
            </w:r>
          </w:p>
        </w:tc>
      </w:tr>
    </w:tbl>
    <w:p>
      <w:pPr>
        <w:spacing w:after="20"/>
      </w:pPr>
    </w:p>
    <w:p>
      <w:pPr>
        <w:pStyle w:val="Heading2"/>
      </w:pPr>
      <w:r>
        <w:t>4.2 TypeScript</w:t>
      </w:r>
    </w:p>
    <w:tbl>
      <w:tblPr>
        <w:tblStyle w:val="TableGrid"/>
        <w:tblW w:type="auto" w:w="0"/>
        <w:jc w:val="center"/>
        <w:tblLook w:firstColumn="1" w:firstRow="1" w:lastColumn="0" w:lastRow="0" w:noHBand="0" w:noVBand="1" w:val="04A0"/>
      </w:tblPr>
      <w:tblGrid>
        <w:gridCol w:w="5083"/>
        <w:gridCol w:w="5083"/>
      </w:tblGrid>
      <w:tr>
        <w:tc>
          <w:tcPr>
            <w:tcW w:type="dxa" w:w="230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Area</w:t>
            </w:r>
          </w:p>
        </w:tc>
        <w:tc>
          <w:tcPr>
            <w:tcW w:type="dxa" w:w="777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Standard</w:t>
            </w:r>
          </w:p>
        </w:tc>
      </w:tr>
      <w:tr>
        <w:tc>
          <w:tcPr>
            <w:tcW w:type="dxa" w:w="2304"/>
            <w:vAlign w:val="center"/>
          </w:tcPr>
          <w:p>
            <w:r>
              <w:rPr>
                <w:rFonts w:ascii="Aptos" w:hAnsi="Aptos"/>
                <w:color w:val="152A3B"/>
                <w:sz w:val="16"/>
              </w:rPr>
              <w:t>Language</w:t>
            </w:r>
          </w:p>
        </w:tc>
        <w:tc>
          <w:tcPr>
            <w:tcW w:type="dxa" w:w="7776"/>
            <w:vAlign w:val="center"/>
          </w:tcPr>
          <w:p>
            <w:r>
              <w:rPr>
                <w:rFonts w:ascii="Aptos" w:hAnsi="Aptos"/>
                <w:color w:val="152A3B"/>
                <w:sz w:val="16"/>
              </w:rPr>
              <w:t>TypeScript strict mode</w:t>
            </w:r>
          </w:p>
        </w:tc>
      </w:tr>
      <w:tr>
        <w:tc>
          <w:tcPr>
            <w:tcW w:type="dxa" w:w="2304"/>
            <w:shd w:fill="F8FAFB"/>
            <w:vAlign w:val="center"/>
          </w:tcPr>
          <w:p>
            <w:r>
              <w:rPr>
                <w:rFonts w:ascii="Aptos" w:hAnsi="Aptos"/>
                <w:color w:val="152A3B"/>
                <w:sz w:val="16"/>
              </w:rPr>
              <w:t>Framework</w:t>
            </w:r>
          </w:p>
        </w:tc>
        <w:tc>
          <w:tcPr>
            <w:tcW w:type="dxa" w:w="7776"/>
            <w:shd w:fill="F8FAFB"/>
            <w:vAlign w:val="center"/>
          </w:tcPr>
          <w:p>
            <w:r>
              <w:rPr>
                <w:rFonts w:ascii="Aptos" w:hAnsi="Aptos"/>
                <w:color w:val="152A3B"/>
                <w:sz w:val="16"/>
              </w:rPr>
              <w:t>Next.js + React</w:t>
            </w:r>
          </w:p>
        </w:tc>
      </w:tr>
      <w:tr>
        <w:tc>
          <w:tcPr>
            <w:tcW w:type="dxa" w:w="2304"/>
            <w:vAlign w:val="center"/>
          </w:tcPr>
          <w:p>
            <w:r>
              <w:rPr>
                <w:rFonts w:ascii="Aptos" w:hAnsi="Aptos"/>
                <w:color w:val="152A3B"/>
                <w:sz w:val="16"/>
              </w:rPr>
              <w:t>UI</w:t>
            </w:r>
          </w:p>
        </w:tc>
        <w:tc>
          <w:tcPr>
            <w:tcW w:type="dxa" w:w="7776"/>
            <w:vAlign w:val="center"/>
          </w:tcPr>
          <w:p>
            <w:r>
              <w:rPr>
                <w:rFonts w:ascii="Aptos" w:hAnsi="Aptos"/>
                <w:color w:val="152A3B"/>
                <w:sz w:val="16"/>
              </w:rPr>
              <w:t>Tailwind + reusable accessible component primitives</w:t>
            </w:r>
          </w:p>
        </w:tc>
      </w:tr>
      <w:tr>
        <w:tc>
          <w:tcPr>
            <w:tcW w:type="dxa" w:w="2304"/>
            <w:shd w:fill="F8FAFB"/>
            <w:vAlign w:val="center"/>
          </w:tcPr>
          <w:p>
            <w:r>
              <w:rPr>
                <w:rFonts w:ascii="Aptos" w:hAnsi="Aptos"/>
                <w:color w:val="152A3B"/>
                <w:sz w:val="16"/>
              </w:rPr>
              <w:t>Lint/format</w:t>
            </w:r>
          </w:p>
        </w:tc>
        <w:tc>
          <w:tcPr>
            <w:tcW w:type="dxa" w:w="7776"/>
            <w:shd w:fill="F8FAFB"/>
            <w:vAlign w:val="center"/>
          </w:tcPr>
          <w:p>
            <w:r>
              <w:rPr>
                <w:rFonts w:ascii="Aptos" w:hAnsi="Aptos"/>
                <w:color w:val="152A3B"/>
                <w:sz w:val="16"/>
              </w:rPr>
              <w:t>ESLint + Prettier</w:t>
            </w:r>
          </w:p>
        </w:tc>
      </w:tr>
      <w:tr>
        <w:tc>
          <w:tcPr>
            <w:tcW w:type="dxa" w:w="2304"/>
            <w:vAlign w:val="center"/>
          </w:tcPr>
          <w:p>
            <w:r>
              <w:rPr>
                <w:rFonts w:ascii="Aptos" w:hAnsi="Aptos"/>
                <w:color w:val="152A3B"/>
                <w:sz w:val="16"/>
              </w:rPr>
              <w:t>Unit tests</w:t>
            </w:r>
          </w:p>
        </w:tc>
        <w:tc>
          <w:tcPr>
            <w:tcW w:type="dxa" w:w="7776"/>
            <w:vAlign w:val="center"/>
          </w:tcPr>
          <w:p>
            <w:r>
              <w:rPr>
                <w:rFonts w:ascii="Aptos" w:hAnsi="Aptos"/>
                <w:color w:val="152A3B"/>
                <w:sz w:val="16"/>
              </w:rPr>
              <w:t>Vitest</w:t>
            </w:r>
          </w:p>
        </w:tc>
      </w:tr>
      <w:tr>
        <w:tc>
          <w:tcPr>
            <w:tcW w:type="dxa" w:w="2304"/>
            <w:shd w:fill="F8FAFB"/>
            <w:vAlign w:val="center"/>
          </w:tcPr>
          <w:p>
            <w:r>
              <w:rPr>
                <w:rFonts w:ascii="Aptos" w:hAnsi="Aptos"/>
                <w:color w:val="152A3B"/>
                <w:sz w:val="16"/>
              </w:rPr>
              <w:t>E2E</w:t>
            </w:r>
          </w:p>
        </w:tc>
        <w:tc>
          <w:tcPr>
            <w:tcW w:type="dxa" w:w="7776"/>
            <w:shd w:fill="F8FAFB"/>
            <w:vAlign w:val="center"/>
          </w:tcPr>
          <w:p>
            <w:r>
              <w:rPr>
                <w:rFonts w:ascii="Aptos" w:hAnsi="Aptos"/>
                <w:color w:val="152A3B"/>
                <w:sz w:val="16"/>
              </w:rPr>
              <w:t>Playwright</w:t>
            </w:r>
          </w:p>
        </w:tc>
      </w:tr>
      <w:tr>
        <w:tc>
          <w:tcPr>
            <w:tcW w:type="dxa" w:w="2304"/>
            <w:vAlign w:val="center"/>
          </w:tcPr>
          <w:p>
            <w:r>
              <w:rPr>
                <w:rFonts w:ascii="Aptos" w:hAnsi="Aptos"/>
                <w:color w:val="152A3B"/>
                <w:sz w:val="16"/>
              </w:rPr>
              <w:t>Validation</w:t>
            </w:r>
          </w:p>
        </w:tc>
        <w:tc>
          <w:tcPr>
            <w:tcW w:type="dxa" w:w="7776"/>
            <w:vAlign w:val="center"/>
          </w:tcPr>
          <w:p>
            <w:r>
              <w:rPr>
                <w:rFonts w:ascii="Aptos" w:hAnsi="Aptos"/>
                <w:color w:val="152A3B"/>
                <w:sz w:val="16"/>
              </w:rPr>
              <w:t>External payloads validated at boundaries</w:t>
            </w:r>
          </w:p>
        </w:tc>
      </w:tr>
      <w:tr>
        <w:tc>
          <w:tcPr>
            <w:tcW w:type="dxa" w:w="2304"/>
            <w:shd w:fill="F8FAFB"/>
            <w:vAlign w:val="center"/>
          </w:tcPr>
          <w:p>
            <w:r>
              <w:rPr>
                <w:rFonts w:ascii="Aptos" w:hAnsi="Aptos"/>
                <w:color w:val="152A3B"/>
                <w:sz w:val="16"/>
              </w:rPr>
              <w:t>Rule</w:t>
            </w:r>
          </w:p>
        </w:tc>
        <w:tc>
          <w:tcPr>
            <w:tcW w:type="dxa" w:w="7776"/>
            <w:shd w:fill="F8FAFB"/>
            <w:vAlign w:val="center"/>
          </w:tcPr>
          <w:p>
            <w:r>
              <w:rPr>
                <w:rFonts w:ascii="Aptos" w:hAnsi="Aptos"/>
                <w:color w:val="152A3B"/>
                <w:sz w:val="16"/>
              </w:rPr>
              <w:t>No finance/regulatory business logic inside UI components</w:t>
            </w:r>
          </w:p>
        </w:tc>
      </w:tr>
    </w:tbl>
    <w:p>
      <w:pPr>
        <w:spacing w:after="20"/>
      </w:pPr>
    </w:p>
    <w:p>
      <w:pPr>
        <w:pStyle w:val="Heading2"/>
      </w:pPr>
      <w:r>
        <w:t>4.3 Reviewability</w:t>
      </w:r>
    </w:p>
    <w:p>
      <w:pPr>
        <w:pStyle w:val="ListBullet"/>
        <w:spacing w:after="40"/>
      </w:pPr>
      <w:r>
        <w:rPr>
          <w:rFonts w:ascii="Aptos" w:hAnsi="Aptos"/>
          <w:color w:val="152A3B"/>
          <w:sz w:val="19"/>
        </w:rPr>
        <w:t>Small PRs with one primary outcome.</w:t>
      </w:r>
    </w:p>
    <w:p>
      <w:pPr>
        <w:pStyle w:val="ListBullet"/>
        <w:spacing w:after="40"/>
      </w:pPr>
      <w:r>
        <w:rPr>
          <w:rFonts w:ascii="Aptos" w:hAnsi="Aptos"/>
          <w:color w:val="152A3B"/>
          <w:sz w:val="19"/>
        </w:rPr>
        <w:t>Architecture changes require ADR.</w:t>
      </w:r>
    </w:p>
    <w:p>
      <w:pPr>
        <w:pStyle w:val="ListBullet"/>
        <w:spacing w:after="40"/>
      </w:pPr>
      <w:r>
        <w:rPr>
          <w:rFonts w:ascii="Aptos" w:hAnsi="Aptos"/>
          <w:color w:val="152A3B"/>
          <w:sz w:val="19"/>
        </w:rPr>
        <w:t>Migration and rollback described in PR.</w:t>
      </w:r>
    </w:p>
    <w:p>
      <w:pPr>
        <w:pStyle w:val="ListBullet"/>
        <w:spacing w:after="40"/>
      </w:pPr>
      <w:r>
        <w:rPr>
          <w:rFonts w:ascii="Aptos" w:hAnsi="Aptos"/>
          <w:color w:val="152A3B"/>
          <w:sz w:val="19"/>
        </w:rPr>
        <w:t>AI behavior changes include eval results.</w:t>
      </w:r>
    </w:p>
    <w:p>
      <w:pPr>
        <w:pStyle w:val="ListBullet"/>
        <w:spacing w:after="40"/>
      </w:pPr>
      <w:r>
        <w:rPr>
          <w:rFonts w:ascii="Aptos" w:hAnsi="Aptos"/>
          <w:color w:val="152A3B"/>
          <w:sz w:val="19"/>
        </w:rPr>
        <w:t>Calculation changes include golden-case diff.</w:t>
      </w:r>
    </w:p>
    <w:p>
      <w:pPr>
        <w:pStyle w:val="ListBullet"/>
        <w:spacing w:after="40"/>
      </w:pPr>
      <w:r>
        <w:rPr>
          <w:rFonts w:ascii="Aptos" w:hAnsi="Aptos"/>
          <w:color w:val="152A3B"/>
          <w:sz w:val="19"/>
        </w:rPr>
        <w:t>Feature flags for high-cost/experimental provider behavior.</w:t>
      </w:r>
    </w:p>
    <w:p>
      <w:pPr>
        <w:pStyle w:val="Heading1"/>
      </w:pPr>
      <w:r>
        <w:t>5. API and Domain Design</w:t>
      </w:r>
    </w:p>
    <w:p>
      <w:pPr>
        <w:pStyle w:val="Heading2"/>
      </w:pPr>
      <w:r>
        <w:t>5.1 API standards</w:t>
      </w:r>
    </w:p>
    <w:p>
      <w:pPr>
        <w:pStyle w:val="ListBullet"/>
        <w:spacing w:after="40"/>
      </w:pPr>
      <w:r>
        <w:rPr>
          <w:rFonts w:ascii="Aptos" w:hAnsi="Aptos"/>
          <w:color w:val="152A3B"/>
          <w:sz w:val="19"/>
        </w:rPr>
        <w:t>Versioned `/api/v1` surface.</w:t>
      </w:r>
    </w:p>
    <w:p>
      <w:pPr>
        <w:pStyle w:val="ListBullet"/>
        <w:spacing w:after="40"/>
      </w:pPr>
      <w:r>
        <w:rPr>
          <w:rFonts w:ascii="Aptos" w:hAnsi="Aptos"/>
          <w:color w:val="152A3B"/>
          <w:sz w:val="19"/>
        </w:rPr>
        <w:t>Generated OpenAPI compatibility contract.</w:t>
      </w:r>
    </w:p>
    <w:p>
      <w:pPr>
        <w:pStyle w:val="ListBullet"/>
        <w:spacing w:after="40"/>
      </w:pPr>
      <w:r>
        <w:rPr>
          <w:rFonts w:ascii="Aptos" w:hAnsi="Aptos"/>
          <w:color w:val="152A3B"/>
          <w:sz w:val="19"/>
        </w:rPr>
        <w:t>Cursor pagination for large lists.</w:t>
      </w:r>
    </w:p>
    <w:p>
      <w:pPr>
        <w:pStyle w:val="ListBullet"/>
        <w:spacing w:after="40"/>
      </w:pPr>
      <w:r>
        <w:rPr>
          <w:rFonts w:ascii="Aptos" w:hAnsi="Aptos"/>
          <w:color w:val="152A3B"/>
          <w:sz w:val="19"/>
        </w:rPr>
        <w:t>Idempotency key for billable/state-changing async jobs.</w:t>
      </w:r>
    </w:p>
    <w:p>
      <w:pPr>
        <w:pStyle w:val="ListBullet"/>
        <w:spacing w:after="40"/>
      </w:pPr>
      <w:r>
        <w:rPr>
          <w:rFonts w:ascii="Aptos" w:hAnsi="Aptos"/>
          <w:color w:val="152A3B"/>
          <w:sz w:val="19"/>
        </w:rPr>
        <w:t>Unified error envelope: code, message, details, trace_id.</w:t>
      </w:r>
    </w:p>
    <w:p>
      <w:pPr>
        <w:pStyle w:val="ListBullet"/>
        <w:spacing w:after="40"/>
      </w:pPr>
      <w:r>
        <w:rPr>
          <w:rFonts w:ascii="Aptos" w:hAnsi="Aptos"/>
          <w:color w:val="152A3B"/>
          <w:sz w:val="19"/>
        </w:rPr>
        <w:t>No provider-native response payloads exposed as public API contracts.</w:t>
      </w:r>
    </w:p>
    <w:p>
      <w:pPr>
        <w:pStyle w:val="ListBullet"/>
        <w:spacing w:after="40"/>
      </w:pPr>
      <w:r>
        <w:rPr>
          <w:rFonts w:ascii="Aptos" w:hAnsi="Aptos"/>
          <w:color w:val="152A3B"/>
          <w:sz w:val="19"/>
        </w:rPr>
        <w:t>Calculation output includes ruleset/version/input hash/source IDs.</w:t>
      </w:r>
    </w:p>
    <w:p>
      <w:pPr>
        <w:pStyle w:val="Heading2"/>
      </w:pPr>
      <w:r>
        <w:t>5.2 State machines</w:t>
      </w:r>
    </w:p>
    <w:p>
      <w:pPr>
        <w:spacing w:after="100"/>
      </w:pPr>
      <w:r>
        <w:rPr>
          <w:rFonts w:ascii="Aptos" w:hAnsi="Aptos"/>
          <w:b w:val="0"/>
          <w:color w:val="152A3B"/>
        </w:rPr>
        <w:t>Model important lifecycles explicitly: Lesson publication, regulatory-document status, assessment state, provider job state and subscription entitlement. Avoid boolean “published=true” designs that cannot represent review/superseded/withdrawn states.</w:t>
      </w:r>
    </w:p>
    <w:p>
      <w:pPr>
        <w:pStyle w:val="Heading1"/>
      </w:pPr>
      <w:r>
        <w:t>6. Database and Migration Standards</w:t>
      </w:r>
    </w:p>
    <w:p>
      <w:pPr>
        <w:pStyle w:val="ListBullet"/>
        <w:spacing w:after="40"/>
      </w:pPr>
      <w:r>
        <w:rPr>
          <w:rFonts w:ascii="Aptos" w:hAnsi="Aptos"/>
          <w:color w:val="152A3B"/>
          <w:sz w:val="19"/>
        </w:rPr>
        <w:t>PostgreSQL is authoritative; Redis is disposable.</w:t>
      </w:r>
    </w:p>
    <w:p>
      <w:pPr>
        <w:pStyle w:val="ListBullet"/>
        <w:spacing w:after="40"/>
      </w:pPr>
      <w:r>
        <w:rPr>
          <w:rFonts w:ascii="Aptos" w:hAnsi="Aptos"/>
          <w:color w:val="152A3B"/>
          <w:sz w:val="19"/>
        </w:rPr>
        <w:t>Every tenant-owned row carries tenant scope in data-access layer; add database RLS when enterprise isolation needs justify it.</w:t>
      </w:r>
    </w:p>
    <w:p>
      <w:pPr>
        <w:pStyle w:val="ListBullet"/>
        <w:spacing w:after="40"/>
      </w:pPr>
      <w:r>
        <w:rPr>
          <w:rFonts w:ascii="Aptos" w:hAnsi="Aptos"/>
          <w:color w:val="152A3B"/>
          <w:sz w:val="19"/>
        </w:rPr>
        <w:t>Published content versions are immutable.</w:t>
      </w:r>
    </w:p>
    <w:p>
      <w:pPr>
        <w:pStyle w:val="ListBullet"/>
        <w:spacing w:after="40"/>
      </w:pPr>
      <w:r>
        <w:rPr>
          <w:rFonts w:ascii="Aptos" w:hAnsi="Aptos"/>
          <w:color w:val="152A3B"/>
          <w:sz w:val="19"/>
        </w:rPr>
        <w:t>Learning events are append-only; mastery is derived/current state.</w:t>
      </w:r>
    </w:p>
    <w:p>
      <w:pPr>
        <w:pStyle w:val="ListBullet"/>
        <w:spacing w:after="40"/>
      </w:pPr>
      <w:r>
        <w:rPr>
          <w:rFonts w:ascii="Aptos" w:hAnsi="Aptos"/>
          <w:color w:val="152A3B"/>
          <w:sz w:val="19"/>
        </w:rPr>
        <w:t>Use UUID/ULID-style opaque IDs; no business meaning embedded in primary keys.</w:t>
      </w:r>
    </w:p>
    <w:p>
      <w:pPr>
        <w:pStyle w:val="ListBullet"/>
        <w:spacing w:after="40"/>
      </w:pPr>
      <w:r>
        <w:rPr>
          <w:rFonts w:ascii="Aptos" w:hAnsi="Aptos"/>
          <w:color w:val="152A3B"/>
          <w:sz w:val="19"/>
        </w:rPr>
        <w:t>Every schema change is an Alembic migration and tested against realistic data volume.</w:t>
      </w:r>
    </w:p>
    <w:p>
      <w:pPr>
        <w:pStyle w:val="ListBullet"/>
        <w:spacing w:after="40"/>
      </w:pPr>
      <w:r>
        <w:rPr>
          <w:rFonts w:ascii="Aptos" w:hAnsi="Aptos"/>
          <w:color w:val="152A3B"/>
          <w:sz w:val="19"/>
        </w:rPr>
        <w:t>Large backfills are job-driven, resumable and separately deployable from schema expansion.</w:t>
      </w:r>
    </w:p>
    <w:p>
      <w:pPr>
        <w:pStyle w:val="ListBullet"/>
        <w:spacing w:after="40"/>
      </w:pPr>
      <w:r>
        <w:rPr>
          <w:rFonts w:ascii="Aptos" w:hAnsi="Aptos"/>
          <w:color w:val="152A3B"/>
          <w:sz w:val="19"/>
        </w:rPr>
        <w:t>Vector embeddings include model/version/source/content-version metadata.</w:t>
      </w:r>
    </w:p>
    <w:p>
      <w:pPr>
        <w:pStyle w:val="Heading2"/>
      </w:pPr>
      <w:r>
        <w:t>6.1 Safe migration pattern</w:t>
      </w:r>
    </w:p>
    <w:p>
      <w:pPr>
        <w:spacing w:after="60"/>
      </w:pPr>
      <w:r>
        <w:rPr>
          <w:rFonts w:ascii="Aptos" w:hAnsi="Aptos"/>
          <w:b/>
          <w:color w:val="081726"/>
          <w:sz w:val="19"/>
        </w:rPr>
        <w:t xml:space="preserve">1. </w:t>
      </w:r>
      <w:r>
        <w:rPr>
          <w:rFonts w:ascii="Aptos" w:hAnsi="Aptos"/>
          <w:color w:val="152A3B"/>
          <w:sz w:val="19"/>
        </w:rPr>
        <w:t>Expand schema with backward-compatible nullable/new objects.</w:t>
      </w:r>
    </w:p>
    <w:p>
      <w:pPr>
        <w:spacing w:after="60"/>
      </w:pPr>
      <w:r>
        <w:rPr>
          <w:rFonts w:ascii="Aptos" w:hAnsi="Aptos"/>
          <w:b/>
          <w:color w:val="081726"/>
          <w:sz w:val="19"/>
        </w:rPr>
        <w:t xml:space="preserve">2. </w:t>
      </w:r>
      <w:r>
        <w:rPr>
          <w:rFonts w:ascii="Aptos" w:hAnsi="Aptos"/>
          <w:color w:val="152A3B"/>
          <w:sz w:val="19"/>
        </w:rPr>
        <w:t>Deploy code that writes new shape while reading old/new where required.</w:t>
      </w:r>
    </w:p>
    <w:p>
      <w:pPr>
        <w:spacing w:after="60"/>
      </w:pPr>
      <w:r>
        <w:rPr>
          <w:rFonts w:ascii="Aptos" w:hAnsi="Aptos"/>
          <w:b/>
          <w:color w:val="081726"/>
          <w:sz w:val="19"/>
        </w:rPr>
        <w:t xml:space="preserve">3. </w:t>
      </w:r>
      <w:r>
        <w:rPr>
          <w:rFonts w:ascii="Aptos" w:hAnsi="Aptos"/>
          <w:color w:val="152A3B"/>
          <w:sz w:val="19"/>
        </w:rPr>
        <w:t>Backfill asynchronously with progress/metrics.</w:t>
      </w:r>
    </w:p>
    <w:p>
      <w:pPr>
        <w:spacing w:after="60"/>
      </w:pPr>
      <w:r>
        <w:rPr>
          <w:rFonts w:ascii="Aptos" w:hAnsi="Aptos"/>
          <w:b/>
          <w:color w:val="081726"/>
          <w:sz w:val="19"/>
        </w:rPr>
        <w:t xml:space="preserve">4. </w:t>
      </w:r>
      <w:r>
        <w:rPr>
          <w:rFonts w:ascii="Aptos" w:hAnsi="Aptos"/>
          <w:color w:val="152A3B"/>
          <w:sz w:val="19"/>
        </w:rPr>
        <w:t>Validate invariants and counts.</w:t>
      </w:r>
    </w:p>
    <w:p>
      <w:pPr>
        <w:spacing w:after="60"/>
      </w:pPr>
      <w:r>
        <w:rPr>
          <w:rFonts w:ascii="Aptos" w:hAnsi="Aptos"/>
          <w:b/>
          <w:color w:val="081726"/>
          <w:sz w:val="19"/>
        </w:rPr>
        <w:t xml:space="preserve">5. </w:t>
      </w:r>
      <w:r>
        <w:rPr>
          <w:rFonts w:ascii="Aptos" w:hAnsi="Aptos"/>
          <w:color w:val="152A3B"/>
          <w:sz w:val="19"/>
        </w:rPr>
        <w:t>Switch reads to new shape.</w:t>
      </w:r>
    </w:p>
    <w:p>
      <w:pPr>
        <w:spacing w:after="60"/>
      </w:pPr>
      <w:r>
        <w:rPr>
          <w:rFonts w:ascii="Aptos" w:hAnsi="Aptos"/>
          <w:b/>
          <w:color w:val="081726"/>
          <w:sz w:val="19"/>
        </w:rPr>
        <w:t xml:space="preserve">6. </w:t>
      </w:r>
      <w:r>
        <w:rPr>
          <w:rFonts w:ascii="Aptos" w:hAnsi="Aptos"/>
          <w:color w:val="152A3B"/>
          <w:sz w:val="19"/>
        </w:rPr>
        <w:t>Remove old field only in later release after rollback window.</w:t>
      </w:r>
    </w:p>
    <w:p>
      <w:pPr>
        <w:pStyle w:val="Heading1"/>
      </w:pPr>
      <w:r>
        <w:t>7. AI/Agent Engineering Standards</w:t>
      </w:r>
    </w:p>
    <w:p>
      <w:pPr>
        <w:pStyle w:val="Heading2"/>
      </w:pPr>
      <w:r>
        <w:t>7.1 Tutor orchestration</w:t>
      </w:r>
    </w:p>
    <w:p>
      <w:pPr>
        <w:spacing w:after="100"/>
      </w:pPr>
      <w:r>
        <w:rPr>
          <w:rFonts w:ascii="Aptos" w:hAnsi="Aptos"/>
          <w:b w:val="0"/>
          <w:color w:val="152A3B"/>
        </w:rPr>
        <w:t>Use a single Tutor Orchestrator with mode-specific policy and tools; avoid spawning many autonomous “agents” unless task boundaries truly need separate expertise. The orchestrator receives structured session context and is responsible for retrieval, tool use, citation enforcement, response policy and mastery event generation.</w:t>
      </w:r>
    </w:p>
    <w:p>
      <w:pPr>
        <w:pStyle w:val="Heading2"/>
      </w:pPr>
      <w:r>
        <w:t>7.2 Provider abstraction</w:t>
      </w:r>
    </w:p>
    <w:tbl>
      <w:tblPr>
        <w:tblStyle w:val="TableGrid"/>
        <w:tblW w:type="auto" w:w="0"/>
        <w:jc w:val="center"/>
        <w:tblLook w:firstColumn="1" w:firstRow="1" w:lastColumn="0" w:lastRow="0" w:noHBand="0" w:noVBand="1" w:val="04A0"/>
      </w:tblPr>
      <w:tblGrid>
        <w:gridCol w:w="5083"/>
        <w:gridCol w:w="5083"/>
      </w:tblGrid>
      <w:tr>
        <w:tc>
          <w:tcPr>
            <w:tcW w:type="dxa" w:w="288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Interface</w:t>
            </w:r>
          </w:p>
        </w:tc>
        <w:tc>
          <w:tcPr>
            <w:tcW w:type="dxa" w:w="72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Responsibilities</w:t>
            </w:r>
          </w:p>
        </w:tc>
      </w:tr>
      <w:tr>
        <w:tc>
          <w:tcPr>
            <w:tcW w:type="dxa" w:w="2880"/>
            <w:vAlign w:val="center"/>
          </w:tcPr>
          <w:p>
            <w:r>
              <w:rPr>
                <w:rFonts w:ascii="Aptos" w:hAnsi="Aptos"/>
                <w:color w:val="152A3B"/>
                <w:sz w:val="16"/>
              </w:rPr>
              <w:t>LLMProvider</w:t>
            </w:r>
          </w:p>
        </w:tc>
        <w:tc>
          <w:tcPr>
            <w:tcW w:type="dxa" w:w="7200"/>
            <w:vAlign w:val="center"/>
          </w:tcPr>
          <w:p>
            <w:r>
              <w:rPr>
                <w:rFonts w:ascii="Aptos" w:hAnsi="Aptos"/>
                <w:color w:val="152A3B"/>
                <w:sz w:val="16"/>
              </w:rPr>
              <w:t>stream text/structured output, tool calls, token metrics</w:t>
            </w:r>
          </w:p>
        </w:tc>
      </w:tr>
      <w:tr>
        <w:tc>
          <w:tcPr>
            <w:tcW w:type="dxa" w:w="2880"/>
            <w:shd w:fill="F8FAFB"/>
            <w:vAlign w:val="center"/>
          </w:tcPr>
          <w:p>
            <w:r>
              <w:rPr>
                <w:rFonts w:ascii="Aptos" w:hAnsi="Aptos"/>
                <w:color w:val="152A3B"/>
                <w:sz w:val="16"/>
              </w:rPr>
              <w:t>RealtimeVoiceProvider</w:t>
            </w:r>
          </w:p>
        </w:tc>
        <w:tc>
          <w:tcPr>
            <w:tcW w:type="dxa" w:w="7200"/>
            <w:shd w:fill="F8FAFB"/>
            <w:vAlign w:val="center"/>
          </w:tcPr>
          <w:p>
            <w:r>
              <w:rPr>
                <w:rFonts w:ascii="Aptos" w:hAnsi="Aptos"/>
                <w:color w:val="152A3B"/>
                <w:sz w:val="16"/>
              </w:rPr>
              <w:t>session creation, audio events, interruption, transcripts</w:t>
            </w:r>
          </w:p>
        </w:tc>
      </w:tr>
      <w:tr>
        <w:tc>
          <w:tcPr>
            <w:tcW w:type="dxa" w:w="2880"/>
            <w:vAlign w:val="center"/>
          </w:tcPr>
          <w:p>
            <w:r>
              <w:rPr>
                <w:rFonts w:ascii="Aptos" w:hAnsi="Aptos"/>
                <w:color w:val="152A3B"/>
                <w:sz w:val="16"/>
              </w:rPr>
              <w:t>TTS/STTProvider</w:t>
            </w:r>
          </w:p>
        </w:tc>
        <w:tc>
          <w:tcPr>
            <w:tcW w:type="dxa" w:w="7200"/>
            <w:vAlign w:val="center"/>
          </w:tcPr>
          <w:p>
            <w:r>
              <w:rPr>
                <w:rFonts w:ascii="Aptos" w:hAnsi="Aptos"/>
                <w:color w:val="152A3B"/>
                <w:sz w:val="16"/>
              </w:rPr>
              <w:t>chained voice fallback</w:t>
            </w:r>
          </w:p>
        </w:tc>
      </w:tr>
      <w:tr>
        <w:tc>
          <w:tcPr>
            <w:tcW w:type="dxa" w:w="2880"/>
            <w:shd w:fill="F8FAFB"/>
            <w:vAlign w:val="center"/>
          </w:tcPr>
          <w:p>
            <w:r>
              <w:rPr>
                <w:rFonts w:ascii="Aptos" w:hAnsi="Aptos"/>
                <w:color w:val="152A3B"/>
                <w:sz w:val="16"/>
              </w:rPr>
              <w:t>AvatarProvider</w:t>
            </w:r>
          </w:p>
        </w:tc>
        <w:tc>
          <w:tcPr>
            <w:tcW w:type="dxa" w:w="7200"/>
            <w:shd w:fill="F8FAFB"/>
            <w:vAlign w:val="center"/>
          </w:tcPr>
          <w:p>
            <w:r>
              <w:rPr>
                <w:rFonts w:ascii="Aptos" w:hAnsi="Aptos"/>
                <w:color w:val="152A3B"/>
                <w:sz w:val="16"/>
              </w:rPr>
              <w:t>optional realtime or rendered avatar</w:t>
            </w:r>
          </w:p>
        </w:tc>
      </w:tr>
      <w:tr>
        <w:tc>
          <w:tcPr>
            <w:tcW w:type="dxa" w:w="2880"/>
            <w:vAlign w:val="center"/>
          </w:tcPr>
          <w:p>
            <w:r>
              <w:rPr>
                <w:rFonts w:ascii="Aptos" w:hAnsi="Aptos"/>
                <w:color w:val="152A3B"/>
                <w:sz w:val="16"/>
              </w:rPr>
              <w:t>ImageProvider</w:t>
            </w:r>
          </w:p>
        </w:tc>
        <w:tc>
          <w:tcPr>
            <w:tcW w:type="dxa" w:w="7200"/>
            <w:vAlign w:val="center"/>
          </w:tcPr>
          <w:p>
            <w:r>
              <w:rPr>
                <w:rFonts w:ascii="Aptos" w:hAnsi="Aptos"/>
                <w:color w:val="152A3B"/>
                <w:sz w:val="16"/>
              </w:rPr>
              <w:t>illustrative asset generation/editing</w:t>
            </w:r>
          </w:p>
        </w:tc>
      </w:tr>
      <w:tr>
        <w:tc>
          <w:tcPr>
            <w:tcW w:type="dxa" w:w="2880"/>
            <w:shd w:fill="F8FAFB"/>
            <w:vAlign w:val="center"/>
          </w:tcPr>
          <w:p>
            <w:r>
              <w:rPr>
                <w:rFonts w:ascii="Aptos" w:hAnsi="Aptos"/>
                <w:color w:val="152A3B"/>
                <w:sz w:val="16"/>
              </w:rPr>
              <w:t>VideoProvider</w:t>
            </w:r>
          </w:p>
        </w:tc>
        <w:tc>
          <w:tcPr>
            <w:tcW w:type="dxa" w:w="7200"/>
            <w:shd w:fill="F8FAFB"/>
            <w:vAlign w:val="center"/>
          </w:tcPr>
          <w:p>
            <w:r>
              <w:rPr>
                <w:rFonts w:ascii="Aptos" w:hAnsi="Aptos"/>
                <w:color w:val="152A3B"/>
                <w:sz w:val="16"/>
              </w:rPr>
              <w:t>cinematic/short generated sequences</w:t>
            </w:r>
          </w:p>
        </w:tc>
      </w:tr>
      <w:tr>
        <w:tc>
          <w:tcPr>
            <w:tcW w:type="dxa" w:w="2880"/>
            <w:vAlign w:val="center"/>
          </w:tcPr>
          <w:p>
            <w:r>
              <w:rPr>
                <w:rFonts w:ascii="Aptos" w:hAnsi="Aptos"/>
                <w:color w:val="152A3B"/>
                <w:sz w:val="16"/>
              </w:rPr>
              <w:t>EmbeddingProvider</w:t>
            </w:r>
          </w:p>
        </w:tc>
        <w:tc>
          <w:tcPr>
            <w:tcW w:type="dxa" w:w="7200"/>
            <w:vAlign w:val="center"/>
          </w:tcPr>
          <w:p>
            <w:r>
              <w:rPr>
                <w:rFonts w:ascii="Aptos" w:hAnsi="Aptos"/>
                <w:color w:val="152A3B"/>
                <w:sz w:val="16"/>
              </w:rPr>
              <w:t>index/search embeddings</w:t>
            </w:r>
          </w:p>
        </w:tc>
      </w:tr>
    </w:tbl>
    <w:p>
      <w:pPr>
        <w:spacing w:after="20"/>
      </w:pPr>
    </w:p>
    <w:p>
      <w:pPr>
        <w:pStyle w:val="Heading2"/>
      </w:pPr>
      <w:r>
        <w:t>7.3 Prompt versioning</w:t>
      </w:r>
    </w:p>
    <w:p>
      <w:pPr>
        <w:pStyle w:val="ListBullet"/>
        <w:spacing w:after="40"/>
      </w:pPr>
      <w:r>
        <w:rPr>
          <w:rFonts w:ascii="Aptos" w:hAnsi="Aptos"/>
          <w:color w:val="152A3B"/>
          <w:sz w:val="19"/>
        </w:rPr>
        <w:t>Prompts are repository files/templates with semantic version/hash.</w:t>
      </w:r>
    </w:p>
    <w:p>
      <w:pPr>
        <w:pStyle w:val="ListBullet"/>
        <w:spacing w:after="40"/>
      </w:pPr>
      <w:r>
        <w:rPr>
          <w:rFonts w:ascii="Aptos" w:hAnsi="Aptos"/>
          <w:color w:val="152A3B"/>
          <w:sz w:val="19"/>
        </w:rPr>
        <w:t>Production turn logs record prompt version and provider/model, subject to privacy policy.</w:t>
      </w:r>
    </w:p>
    <w:p>
      <w:pPr>
        <w:pStyle w:val="ListBullet"/>
        <w:spacing w:after="40"/>
      </w:pPr>
      <w:r>
        <w:rPr>
          <w:rFonts w:ascii="Aptos" w:hAnsi="Aptos"/>
          <w:color w:val="152A3B"/>
          <w:sz w:val="19"/>
        </w:rPr>
        <w:t>No prompt editing directly in production consoles without export/version control.</w:t>
      </w:r>
    </w:p>
    <w:p>
      <w:pPr>
        <w:pStyle w:val="ListBullet"/>
        <w:spacing w:after="40"/>
      </w:pPr>
      <w:r>
        <w:rPr>
          <w:rFonts w:ascii="Aptos" w:hAnsi="Aptos"/>
          <w:color w:val="152A3B"/>
          <w:sz w:val="19"/>
        </w:rPr>
        <w:t>Prompt changes run offline evals before promotion.</w:t>
      </w:r>
    </w:p>
    <w:p>
      <w:pPr>
        <w:pStyle w:val="Heading2"/>
      </w:pPr>
      <w:r>
        <w:t>7.4 Tool rules</w:t>
      </w:r>
    </w:p>
    <w:p>
      <w:pPr>
        <w:pStyle w:val="ListBullet"/>
        <w:spacing w:after="40"/>
      </w:pPr>
      <w:r>
        <w:rPr>
          <w:rFonts w:ascii="Aptos" w:hAnsi="Aptos"/>
          <w:color w:val="152A3B"/>
          <w:sz w:val="19"/>
        </w:rPr>
        <w:t>Tools validate typed inputs server-side.</w:t>
      </w:r>
    </w:p>
    <w:p>
      <w:pPr>
        <w:pStyle w:val="ListBullet"/>
        <w:spacing w:after="40"/>
      </w:pPr>
      <w:r>
        <w:rPr>
          <w:rFonts w:ascii="Aptos" w:hAnsi="Aptos"/>
          <w:color w:val="152A3B"/>
          <w:sz w:val="19"/>
        </w:rPr>
        <w:t>Tutor cannot call admin/publication tools from learner session.</w:t>
      </w:r>
    </w:p>
    <w:p>
      <w:pPr>
        <w:pStyle w:val="ListBullet"/>
        <w:spacing w:after="40"/>
      </w:pPr>
      <w:r>
        <w:rPr>
          <w:rFonts w:ascii="Aptos" w:hAnsi="Aptos"/>
          <w:color w:val="152A3B"/>
          <w:sz w:val="19"/>
        </w:rPr>
        <w:t>Calculation tools return structured results and source-rule IDs.</w:t>
      </w:r>
    </w:p>
    <w:p>
      <w:pPr>
        <w:pStyle w:val="ListBullet"/>
        <w:spacing w:after="40"/>
      </w:pPr>
      <w:r>
        <w:rPr>
          <w:rFonts w:ascii="Aptos" w:hAnsi="Aptos"/>
          <w:color w:val="152A3B"/>
          <w:sz w:val="19"/>
        </w:rPr>
        <w:t>Tool output is never rewritten numerically by the model.</w:t>
      </w:r>
    </w:p>
    <w:p>
      <w:pPr>
        <w:pStyle w:val="ListBullet"/>
        <w:spacing w:after="40"/>
      </w:pPr>
      <w:r>
        <w:rPr>
          <w:rFonts w:ascii="Aptos" w:hAnsi="Aptos"/>
          <w:color w:val="152A3B"/>
          <w:sz w:val="19"/>
        </w:rPr>
        <w:t>Every tool call is traced and cost/latency measured.</w:t>
      </w:r>
    </w:p>
    <w:p>
      <w:pPr>
        <w:pStyle w:val="Heading1"/>
      </w:pPr>
      <w:r>
        <w:t>8. Regulatory Content Engineering</w:t>
      </w:r>
    </w:p>
    <w:p>
      <w:pPr>
        <w:spacing w:after="60"/>
      </w:pPr>
      <w:r>
        <w:rPr>
          <w:rFonts w:ascii="Aptos" w:hAnsi="Aptos"/>
          <w:b/>
          <w:color w:val="081726"/>
          <w:sz w:val="19"/>
        </w:rPr>
        <w:t xml:space="preserve">1. </w:t>
      </w:r>
      <w:r>
        <w:rPr>
          <w:rFonts w:ascii="Aptos" w:hAnsi="Aptos"/>
          <w:color w:val="152A3B"/>
          <w:sz w:val="19"/>
        </w:rPr>
        <w:t>Ingest/capture official source and metadata; store a content snapshot/hash where permitted.</w:t>
      </w:r>
    </w:p>
    <w:p>
      <w:pPr>
        <w:spacing w:after="60"/>
      </w:pPr>
      <w:r>
        <w:rPr>
          <w:rFonts w:ascii="Aptos" w:hAnsi="Aptos"/>
          <w:b/>
          <w:color w:val="081726"/>
          <w:sz w:val="19"/>
        </w:rPr>
        <w:t xml:space="preserve">2. </w:t>
      </w:r>
      <w:r>
        <w:rPr>
          <w:rFonts w:ascii="Aptos" w:hAnsi="Aptos"/>
          <w:color w:val="152A3B"/>
          <w:sz w:val="19"/>
        </w:rPr>
        <w:t>Map source to canonical BCBS concept and jurisdiction rule.</w:t>
      </w:r>
    </w:p>
    <w:p>
      <w:pPr>
        <w:spacing w:after="60"/>
      </w:pPr>
      <w:r>
        <w:rPr>
          <w:rFonts w:ascii="Aptos" w:hAnsi="Aptos"/>
          <w:b/>
          <w:color w:val="081726"/>
          <w:sz w:val="19"/>
        </w:rPr>
        <w:t xml:space="preserve">3. </w:t>
      </w:r>
      <w:r>
        <w:rPr>
          <w:rFonts w:ascii="Aptos" w:hAnsi="Aptos"/>
          <w:color w:val="152A3B"/>
          <w:sz w:val="19"/>
        </w:rPr>
        <w:t>Draft structured explanation/example using AI only as assistant.</w:t>
      </w:r>
    </w:p>
    <w:p>
      <w:pPr>
        <w:spacing w:after="60"/>
      </w:pPr>
      <w:r>
        <w:rPr>
          <w:rFonts w:ascii="Aptos" w:hAnsi="Aptos"/>
          <w:b/>
          <w:color w:val="081726"/>
          <w:sz w:val="19"/>
        </w:rPr>
        <w:t xml:space="preserve">4. </w:t>
      </w:r>
      <w:r>
        <w:rPr>
          <w:rFonts w:ascii="Aptos" w:hAnsi="Aptos"/>
          <w:color w:val="152A3B"/>
          <w:sz w:val="19"/>
        </w:rPr>
        <w:t>Attach source locators and explicit proposed/final/effective status.</w:t>
      </w:r>
    </w:p>
    <w:p>
      <w:pPr>
        <w:spacing w:after="60"/>
      </w:pPr>
      <w:r>
        <w:rPr>
          <w:rFonts w:ascii="Aptos" w:hAnsi="Aptos"/>
          <w:b/>
          <w:color w:val="081726"/>
          <w:sz w:val="19"/>
        </w:rPr>
        <w:t xml:space="preserve">5. </w:t>
      </w:r>
      <w:r>
        <w:rPr>
          <w:rFonts w:ascii="Aptos" w:hAnsi="Aptos"/>
          <w:color w:val="152A3B"/>
          <w:sz w:val="19"/>
        </w:rPr>
        <w:t>Build calculation fixtures/boundary cases where numerical logic applies.</w:t>
      </w:r>
    </w:p>
    <w:p>
      <w:pPr>
        <w:spacing w:after="60"/>
      </w:pPr>
      <w:r>
        <w:rPr>
          <w:rFonts w:ascii="Aptos" w:hAnsi="Aptos"/>
          <w:b/>
          <w:color w:val="081726"/>
          <w:sz w:val="19"/>
        </w:rPr>
        <w:t xml:space="preserve">6. </w:t>
      </w:r>
      <w:r>
        <w:rPr>
          <w:rFonts w:ascii="Aptos" w:hAnsi="Aptos"/>
          <w:color w:val="152A3B"/>
          <w:sz w:val="19"/>
        </w:rPr>
        <w:t>Primary SME reviews interpretation and expected calculation.</w:t>
      </w:r>
    </w:p>
    <w:p>
      <w:pPr>
        <w:spacing w:after="60"/>
      </w:pPr>
      <w:r>
        <w:rPr>
          <w:rFonts w:ascii="Aptos" w:hAnsi="Aptos"/>
          <w:b/>
          <w:color w:val="081726"/>
          <w:sz w:val="19"/>
        </w:rPr>
        <w:t xml:space="preserve">7. </w:t>
      </w:r>
      <w:r>
        <w:rPr>
          <w:rFonts w:ascii="Aptos" w:hAnsi="Aptos"/>
          <w:color w:val="152A3B"/>
          <w:sz w:val="19"/>
        </w:rPr>
        <w:t>Localization/editor review validates English/Arabic terminology.</w:t>
      </w:r>
    </w:p>
    <w:p>
      <w:pPr>
        <w:spacing w:after="60"/>
      </w:pPr>
      <w:r>
        <w:rPr>
          <w:rFonts w:ascii="Aptos" w:hAnsi="Aptos"/>
          <w:b/>
          <w:color w:val="081726"/>
          <w:sz w:val="19"/>
        </w:rPr>
        <w:t xml:space="preserve">8. </w:t>
      </w:r>
      <w:r>
        <w:rPr>
          <w:rFonts w:ascii="Aptos" w:hAnsi="Aptos"/>
          <w:color w:val="152A3B"/>
          <w:sz w:val="19"/>
        </w:rPr>
        <w:t>Generate/re-render media from approved structured content.</w:t>
      </w:r>
    </w:p>
    <w:p>
      <w:pPr>
        <w:spacing w:after="60"/>
      </w:pPr>
      <w:r>
        <w:rPr>
          <w:rFonts w:ascii="Aptos" w:hAnsi="Aptos"/>
          <w:b/>
          <w:color w:val="081726"/>
          <w:sz w:val="19"/>
        </w:rPr>
        <w:t xml:space="preserve">9. </w:t>
      </w:r>
      <w:r>
        <w:rPr>
          <w:rFonts w:ascii="Aptos" w:hAnsi="Aptos"/>
          <w:color w:val="152A3B"/>
          <w:sz w:val="19"/>
        </w:rPr>
        <w:t>Run source/citation/calculation/tutor eval suite.</w:t>
      </w:r>
    </w:p>
    <w:p>
      <w:pPr>
        <w:spacing w:after="60"/>
      </w:pPr>
      <w:r>
        <w:rPr>
          <w:rFonts w:ascii="Aptos" w:hAnsi="Aptos"/>
          <w:b/>
          <w:color w:val="081726"/>
          <w:sz w:val="19"/>
        </w:rPr>
        <w:t xml:space="preserve">10. </w:t>
      </w:r>
      <w:r>
        <w:rPr>
          <w:rFonts w:ascii="Aptos" w:hAnsi="Aptos"/>
          <w:color w:val="152A3B"/>
          <w:sz w:val="19"/>
        </w:rPr>
        <w:t>Publish immutable version and track affected learners if a later correction is needed.</w:t>
      </w:r>
    </w:p>
    <w:p>
      <w:pPr>
        <w:pStyle w:val="Heading1"/>
      </w:pPr>
      <w:r>
        <w:t>9. Testing Strategy</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Layer</w:t>
            </w:r>
          </w:p>
        </w:tc>
        <w:tc>
          <w:tcPr>
            <w:tcW w:type="dxa" w:w="432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Tools/examples</w:t>
            </w:r>
          </w:p>
        </w:tc>
        <w:tc>
          <w:tcPr>
            <w:tcW w:type="dxa" w:w="396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Gate</w:t>
            </w:r>
          </w:p>
        </w:tc>
      </w:tr>
      <w:tr>
        <w:tc>
          <w:tcPr>
            <w:tcW w:type="dxa" w:w="1800"/>
            <w:vAlign w:val="center"/>
          </w:tcPr>
          <w:p>
            <w:r>
              <w:rPr>
                <w:rFonts w:ascii="Aptos" w:hAnsi="Aptos"/>
                <w:color w:val="152A3B"/>
                <w:sz w:val="16"/>
              </w:rPr>
              <w:t>Backend unit</w:t>
            </w:r>
          </w:p>
        </w:tc>
        <w:tc>
          <w:tcPr>
            <w:tcW w:type="dxa" w:w="4320"/>
            <w:vAlign w:val="center"/>
          </w:tcPr>
          <w:p>
            <w:r>
              <w:rPr>
                <w:rFonts w:ascii="Aptos" w:hAnsi="Aptos"/>
                <w:color w:val="152A3B"/>
                <w:sz w:val="16"/>
              </w:rPr>
              <w:t>pytest</w:t>
            </w:r>
          </w:p>
        </w:tc>
        <w:tc>
          <w:tcPr>
            <w:tcW w:type="dxa" w:w="3960"/>
            <w:vAlign w:val="center"/>
          </w:tcPr>
          <w:p>
            <w:r>
              <w:rPr>
                <w:rFonts w:ascii="Aptos" w:hAnsi="Aptos"/>
                <w:color w:val="152A3B"/>
                <w:sz w:val="16"/>
              </w:rPr>
              <w:t>Required per PR</w:t>
            </w:r>
          </w:p>
        </w:tc>
      </w:tr>
      <w:tr>
        <w:tc>
          <w:tcPr>
            <w:tcW w:type="dxa" w:w="1800"/>
            <w:shd w:fill="F8FAFB"/>
            <w:vAlign w:val="center"/>
          </w:tcPr>
          <w:p>
            <w:r>
              <w:rPr>
                <w:rFonts w:ascii="Aptos" w:hAnsi="Aptos"/>
                <w:color w:val="152A3B"/>
                <w:sz w:val="16"/>
              </w:rPr>
              <w:t>Calculation</w:t>
            </w:r>
          </w:p>
        </w:tc>
        <w:tc>
          <w:tcPr>
            <w:tcW w:type="dxa" w:w="4320"/>
            <w:shd w:fill="F8FAFB"/>
            <w:vAlign w:val="center"/>
          </w:tcPr>
          <w:p>
            <w:r>
              <w:rPr>
                <w:rFonts w:ascii="Aptos" w:hAnsi="Aptos"/>
                <w:color w:val="152A3B"/>
                <w:sz w:val="16"/>
              </w:rPr>
              <w:t>golden fixtures + property/boundary tests</w:t>
            </w:r>
          </w:p>
        </w:tc>
        <w:tc>
          <w:tcPr>
            <w:tcW w:type="dxa" w:w="3960"/>
            <w:shd w:fill="F8FAFB"/>
            <w:vAlign w:val="center"/>
          </w:tcPr>
          <w:p>
            <w:r>
              <w:rPr>
                <w:rFonts w:ascii="Aptos" w:hAnsi="Aptos"/>
                <w:color w:val="152A3B"/>
                <w:sz w:val="16"/>
              </w:rPr>
              <w:t>Blocking</w:t>
            </w:r>
          </w:p>
        </w:tc>
      </w:tr>
      <w:tr>
        <w:tc>
          <w:tcPr>
            <w:tcW w:type="dxa" w:w="1800"/>
            <w:vAlign w:val="center"/>
          </w:tcPr>
          <w:p>
            <w:r>
              <w:rPr>
                <w:rFonts w:ascii="Aptos" w:hAnsi="Aptos"/>
                <w:color w:val="152A3B"/>
                <w:sz w:val="16"/>
              </w:rPr>
              <w:t>DB/integration</w:t>
            </w:r>
          </w:p>
        </w:tc>
        <w:tc>
          <w:tcPr>
            <w:tcW w:type="dxa" w:w="4320"/>
            <w:vAlign w:val="center"/>
          </w:tcPr>
          <w:p>
            <w:r>
              <w:rPr>
                <w:rFonts w:ascii="Aptos" w:hAnsi="Aptos"/>
                <w:color w:val="152A3B"/>
                <w:sz w:val="16"/>
              </w:rPr>
              <w:t>real Postgres test container</w:t>
            </w:r>
          </w:p>
        </w:tc>
        <w:tc>
          <w:tcPr>
            <w:tcW w:type="dxa" w:w="3960"/>
            <w:vAlign w:val="center"/>
          </w:tcPr>
          <w:p>
            <w:r>
              <w:rPr>
                <w:rFonts w:ascii="Aptos" w:hAnsi="Aptos"/>
                <w:color w:val="152A3B"/>
                <w:sz w:val="16"/>
              </w:rPr>
              <w:t>Required for persistence changes</w:t>
            </w:r>
          </w:p>
        </w:tc>
      </w:tr>
      <w:tr>
        <w:tc>
          <w:tcPr>
            <w:tcW w:type="dxa" w:w="1800"/>
            <w:shd w:fill="F8FAFB"/>
            <w:vAlign w:val="center"/>
          </w:tcPr>
          <w:p>
            <w:r>
              <w:rPr>
                <w:rFonts w:ascii="Aptos" w:hAnsi="Aptos"/>
                <w:color w:val="152A3B"/>
                <w:sz w:val="16"/>
              </w:rPr>
              <w:t>Frontend</w:t>
            </w:r>
          </w:p>
        </w:tc>
        <w:tc>
          <w:tcPr>
            <w:tcW w:type="dxa" w:w="4320"/>
            <w:shd w:fill="F8FAFB"/>
            <w:vAlign w:val="center"/>
          </w:tcPr>
          <w:p>
            <w:r>
              <w:rPr>
                <w:rFonts w:ascii="Aptos" w:hAnsi="Aptos"/>
                <w:color w:val="152A3B"/>
                <w:sz w:val="16"/>
              </w:rPr>
              <w:t>Vitest</w:t>
            </w:r>
          </w:p>
        </w:tc>
        <w:tc>
          <w:tcPr>
            <w:tcW w:type="dxa" w:w="3960"/>
            <w:shd w:fill="F8FAFB"/>
            <w:vAlign w:val="center"/>
          </w:tcPr>
          <w:p>
            <w:r>
              <w:rPr>
                <w:rFonts w:ascii="Aptos" w:hAnsi="Aptos"/>
                <w:color w:val="152A3B"/>
                <w:sz w:val="16"/>
              </w:rPr>
              <w:t>Required</w:t>
            </w:r>
          </w:p>
        </w:tc>
      </w:tr>
      <w:tr>
        <w:tc>
          <w:tcPr>
            <w:tcW w:type="dxa" w:w="1800"/>
            <w:vAlign w:val="center"/>
          </w:tcPr>
          <w:p>
            <w:r>
              <w:rPr>
                <w:rFonts w:ascii="Aptos" w:hAnsi="Aptos"/>
                <w:color w:val="152A3B"/>
                <w:sz w:val="16"/>
              </w:rPr>
              <w:t>E2E</w:t>
            </w:r>
          </w:p>
        </w:tc>
        <w:tc>
          <w:tcPr>
            <w:tcW w:type="dxa" w:w="4320"/>
            <w:vAlign w:val="center"/>
          </w:tcPr>
          <w:p>
            <w:r>
              <w:rPr>
                <w:rFonts w:ascii="Aptos" w:hAnsi="Aptos"/>
                <w:color w:val="152A3B"/>
                <w:sz w:val="16"/>
              </w:rPr>
              <w:t>Playwright Golden Lesson journey</w:t>
            </w:r>
          </w:p>
        </w:tc>
        <w:tc>
          <w:tcPr>
            <w:tcW w:type="dxa" w:w="3960"/>
            <w:vAlign w:val="center"/>
          </w:tcPr>
          <w:p>
            <w:r>
              <w:rPr>
                <w:rFonts w:ascii="Aptos" w:hAnsi="Aptos"/>
                <w:color w:val="152A3B"/>
                <w:sz w:val="16"/>
              </w:rPr>
              <w:t>Blocking on release</w:t>
            </w:r>
          </w:p>
        </w:tc>
      </w:tr>
      <w:tr>
        <w:tc>
          <w:tcPr>
            <w:tcW w:type="dxa" w:w="1800"/>
            <w:shd w:fill="F8FAFB"/>
            <w:vAlign w:val="center"/>
          </w:tcPr>
          <w:p>
            <w:r>
              <w:rPr>
                <w:rFonts w:ascii="Aptos" w:hAnsi="Aptos"/>
                <w:color w:val="152A3B"/>
                <w:sz w:val="16"/>
              </w:rPr>
              <w:t>AI eval</w:t>
            </w:r>
          </w:p>
        </w:tc>
        <w:tc>
          <w:tcPr>
            <w:tcW w:type="dxa" w:w="4320"/>
            <w:shd w:fill="F8FAFB"/>
            <w:vAlign w:val="center"/>
          </w:tcPr>
          <w:p>
            <w:r>
              <w:rPr>
                <w:rFonts w:ascii="Aptos" w:hAnsi="Aptos"/>
                <w:color w:val="152A3B"/>
                <w:sz w:val="16"/>
              </w:rPr>
              <w:t>versioned Q&amp;A/tool/pedagogy/Arabic cases</w:t>
            </w:r>
          </w:p>
        </w:tc>
        <w:tc>
          <w:tcPr>
            <w:tcW w:type="dxa" w:w="3960"/>
            <w:shd w:fill="F8FAFB"/>
            <w:vAlign w:val="center"/>
          </w:tcPr>
          <w:p>
            <w:r>
              <w:rPr>
                <w:rFonts w:ascii="Aptos" w:hAnsi="Aptos"/>
                <w:color w:val="152A3B"/>
                <w:sz w:val="16"/>
              </w:rPr>
              <w:t>Blocking for AI changes</w:t>
            </w:r>
          </w:p>
        </w:tc>
      </w:tr>
      <w:tr>
        <w:tc>
          <w:tcPr>
            <w:tcW w:type="dxa" w:w="1800"/>
            <w:vAlign w:val="center"/>
          </w:tcPr>
          <w:p>
            <w:r>
              <w:rPr>
                <w:rFonts w:ascii="Aptos" w:hAnsi="Aptos"/>
                <w:color w:val="152A3B"/>
                <w:sz w:val="16"/>
              </w:rPr>
              <w:t>Performance</w:t>
            </w:r>
          </w:p>
        </w:tc>
        <w:tc>
          <w:tcPr>
            <w:tcW w:type="dxa" w:w="4320"/>
            <w:vAlign w:val="center"/>
          </w:tcPr>
          <w:p>
            <w:r>
              <w:rPr>
                <w:rFonts w:ascii="Aptos" w:hAnsi="Aptos"/>
                <w:color w:val="152A3B"/>
                <w:sz w:val="16"/>
              </w:rPr>
              <w:t>k6/Locust-style load tests</w:t>
            </w:r>
          </w:p>
        </w:tc>
        <w:tc>
          <w:tcPr>
            <w:tcW w:type="dxa" w:w="3960"/>
            <w:vAlign w:val="center"/>
          </w:tcPr>
          <w:p>
            <w:r>
              <w:rPr>
                <w:rFonts w:ascii="Aptos" w:hAnsi="Aptos"/>
                <w:color w:val="152A3B"/>
                <w:sz w:val="16"/>
              </w:rPr>
              <w:t>Before public beta and major scaling</w:t>
            </w:r>
          </w:p>
        </w:tc>
      </w:tr>
      <w:tr>
        <w:tc>
          <w:tcPr>
            <w:tcW w:type="dxa" w:w="1800"/>
            <w:shd w:fill="F8FAFB"/>
            <w:vAlign w:val="center"/>
          </w:tcPr>
          <w:p>
            <w:r>
              <w:rPr>
                <w:rFonts w:ascii="Aptos" w:hAnsi="Aptos"/>
                <w:color w:val="152A3B"/>
                <w:sz w:val="16"/>
              </w:rPr>
              <w:t>Security</w:t>
            </w:r>
          </w:p>
        </w:tc>
        <w:tc>
          <w:tcPr>
            <w:tcW w:type="dxa" w:w="4320"/>
            <w:shd w:fill="F8FAFB"/>
            <w:vAlign w:val="center"/>
          </w:tcPr>
          <w:p>
            <w:r>
              <w:rPr>
                <w:rFonts w:ascii="Aptos" w:hAnsi="Aptos"/>
                <w:color w:val="152A3B"/>
                <w:sz w:val="16"/>
              </w:rPr>
              <w:t>SAST/dependency/secret/container scans</w:t>
            </w:r>
          </w:p>
        </w:tc>
        <w:tc>
          <w:tcPr>
            <w:tcW w:type="dxa" w:w="3960"/>
            <w:shd w:fill="F8FAFB"/>
            <w:vAlign w:val="center"/>
          </w:tcPr>
          <w:p>
            <w:r>
              <w:rPr>
                <w:rFonts w:ascii="Aptos" w:hAnsi="Aptos"/>
                <w:color w:val="152A3B"/>
                <w:sz w:val="16"/>
              </w:rPr>
              <w:t>P0/P1 block release</w:t>
            </w:r>
          </w:p>
        </w:tc>
      </w:tr>
    </w:tbl>
    <w:p>
      <w:pPr>
        <w:spacing w:after="20"/>
      </w:pPr>
    </w:p>
    <w:p>
      <w:pPr>
        <w:pStyle w:val="Heading2"/>
      </w:pPr>
      <w:r>
        <w:t>9.1 Test environments</w:t>
      </w:r>
    </w:p>
    <w:p>
      <w:pPr>
        <w:spacing w:after="100"/>
      </w:pPr>
      <w:r>
        <w:rPr>
          <w:rFonts w:ascii="Aptos" w:hAnsi="Aptos"/>
          <w:b w:val="0"/>
          <w:color w:val="152A3B"/>
        </w:rPr>
        <w:t>Most automated tests use provider fakes to remain deterministic and inexpensive. A smaller scheduled/provider-integration suite validates real LLM/voice/media APIs because SDK/provider behavior can change independently of our code.</w:t>
      </w:r>
    </w:p>
    <w:p>
      <w:pPr>
        <w:pStyle w:val="Heading1"/>
      </w:pPr>
      <w:r>
        <w:t>10. CI Pipeline</w:t>
      </w:r>
    </w:p>
    <w:p>
      <w:pPr>
        <w:spacing w:after="60"/>
      </w:pPr>
      <w:r>
        <w:rPr>
          <w:rFonts w:ascii="Aptos" w:hAnsi="Aptos"/>
          <w:b/>
          <w:color w:val="081726"/>
          <w:sz w:val="19"/>
        </w:rPr>
        <w:t xml:space="preserve">1. </w:t>
      </w:r>
      <w:r>
        <w:rPr>
          <w:rFonts w:ascii="Aptos" w:hAnsi="Aptos"/>
          <w:color w:val="152A3B"/>
          <w:sz w:val="19"/>
        </w:rPr>
        <w:t>Checkout + dependency lock verification.</w:t>
      </w:r>
    </w:p>
    <w:p>
      <w:pPr>
        <w:spacing w:after="60"/>
      </w:pPr>
      <w:r>
        <w:rPr>
          <w:rFonts w:ascii="Aptos" w:hAnsi="Aptos"/>
          <w:b/>
          <w:color w:val="081726"/>
          <w:sz w:val="19"/>
        </w:rPr>
        <w:t xml:space="preserve">2. </w:t>
      </w:r>
      <w:r>
        <w:rPr>
          <w:rFonts w:ascii="Aptos" w:hAnsi="Aptos"/>
          <w:color w:val="152A3B"/>
          <w:sz w:val="19"/>
        </w:rPr>
        <w:t>Secret scan and license/dependency policy checks.</w:t>
      </w:r>
    </w:p>
    <w:p>
      <w:pPr>
        <w:spacing w:after="60"/>
      </w:pPr>
      <w:r>
        <w:rPr>
          <w:rFonts w:ascii="Aptos" w:hAnsi="Aptos"/>
          <w:b/>
          <w:color w:val="081726"/>
          <w:sz w:val="19"/>
        </w:rPr>
        <w:t xml:space="preserve">3. </w:t>
      </w:r>
      <w:r>
        <w:rPr>
          <w:rFonts w:ascii="Aptos" w:hAnsi="Aptos"/>
          <w:color w:val="152A3B"/>
          <w:sz w:val="19"/>
        </w:rPr>
        <w:t>Backend lint/format/type check.</w:t>
      </w:r>
    </w:p>
    <w:p>
      <w:pPr>
        <w:spacing w:after="60"/>
      </w:pPr>
      <w:r>
        <w:rPr>
          <w:rFonts w:ascii="Aptos" w:hAnsi="Aptos"/>
          <w:b/>
          <w:color w:val="081726"/>
          <w:sz w:val="19"/>
        </w:rPr>
        <w:t xml:space="preserve">4. </w:t>
      </w:r>
      <w:r>
        <w:rPr>
          <w:rFonts w:ascii="Aptos" w:hAnsi="Aptos"/>
          <w:color w:val="152A3B"/>
          <w:sz w:val="19"/>
        </w:rPr>
        <w:t>Frontend lint/format/type check.</w:t>
      </w:r>
    </w:p>
    <w:p>
      <w:pPr>
        <w:spacing w:after="60"/>
      </w:pPr>
      <w:r>
        <w:rPr>
          <w:rFonts w:ascii="Aptos" w:hAnsi="Aptos"/>
          <w:b/>
          <w:color w:val="081726"/>
          <w:sz w:val="19"/>
        </w:rPr>
        <w:t xml:space="preserve">5. </w:t>
      </w:r>
      <w:r>
        <w:rPr>
          <w:rFonts w:ascii="Aptos" w:hAnsi="Aptos"/>
          <w:color w:val="152A3B"/>
          <w:sz w:val="19"/>
        </w:rPr>
        <w:t>Unit tests in parallel.</w:t>
      </w:r>
    </w:p>
    <w:p>
      <w:pPr>
        <w:spacing w:after="60"/>
      </w:pPr>
      <w:r>
        <w:rPr>
          <w:rFonts w:ascii="Aptos" w:hAnsi="Aptos"/>
          <w:b/>
          <w:color w:val="081726"/>
          <w:sz w:val="19"/>
        </w:rPr>
        <w:t xml:space="preserve">6. </w:t>
      </w:r>
      <w:r>
        <w:rPr>
          <w:rFonts w:ascii="Aptos" w:hAnsi="Aptos"/>
          <w:color w:val="152A3B"/>
          <w:sz w:val="19"/>
        </w:rPr>
        <w:t>PostgreSQL integration/migration tests.</w:t>
      </w:r>
    </w:p>
    <w:p>
      <w:pPr>
        <w:spacing w:after="60"/>
      </w:pPr>
      <w:r>
        <w:rPr>
          <w:rFonts w:ascii="Aptos" w:hAnsi="Aptos"/>
          <w:b/>
          <w:color w:val="081726"/>
          <w:sz w:val="19"/>
        </w:rPr>
        <w:t xml:space="preserve">7. </w:t>
      </w:r>
      <w:r>
        <w:rPr>
          <w:rFonts w:ascii="Aptos" w:hAnsi="Aptos"/>
          <w:color w:val="152A3B"/>
          <w:sz w:val="19"/>
        </w:rPr>
        <w:t>Golden calculation suite.</w:t>
      </w:r>
    </w:p>
    <w:p>
      <w:pPr>
        <w:spacing w:after="60"/>
      </w:pPr>
      <w:r>
        <w:rPr>
          <w:rFonts w:ascii="Aptos" w:hAnsi="Aptos"/>
          <w:b/>
          <w:color w:val="081726"/>
          <w:sz w:val="19"/>
        </w:rPr>
        <w:t xml:space="preserve">8. </w:t>
      </w:r>
      <w:r>
        <w:rPr>
          <w:rFonts w:ascii="Aptos" w:hAnsi="Aptos"/>
          <w:color w:val="152A3B"/>
          <w:sz w:val="19"/>
        </w:rPr>
        <w:t>Build web/API/worker container images.</w:t>
      </w:r>
    </w:p>
    <w:p>
      <w:pPr>
        <w:spacing w:after="60"/>
      </w:pPr>
      <w:r>
        <w:rPr>
          <w:rFonts w:ascii="Aptos" w:hAnsi="Aptos"/>
          <w:b/>
          <w:color w:val="081726"/>
          <w:sz w:val="19"/>
        </w:rPr>
        <w:t xml:space="preserve">9. </w:t>
      </w:r>
      <w:r>
        <w:rPr>
          <w:rFonts w:ascii="Aptos" w:hAnsi="Aptos"/>
          <w:color w:val="152A3B"/>
          <w:sz w:val="19"/>
        </w:rPr>
        <w:t>SBOM + container vulnerability scan.</w:t>
      </w:r>
    </w:p>
    <w:p>
      <w:pPr>
        <w:spacing w:after="60"/>
      </w:pPr>
      <w:r>
        <w:rPr>
          <w:rFonts w:ascii="Aptos" w:hAnsi="Aptos"/>
          <w:b/>
          <w:color w:val="081726"/>
          <w:sz w:val="19"/>
        </w:rPr>
        <w:t xml:space="preserve">10. </w:t>
      </w:r>
      <w:r>
        <w:rPr>
          <w:rFonts w:ascii="Aptos" w:hAnsi="Aptos"/>
          <w:color w:val="152A3B"/>
          <w:sz w:val="19"/>
        </w:rPr>
        <w:t>Playwright critical journey against ephemeral/preview environment.</w:t>
      </w:r>
    </w:p>
    <w:p>
      <w:pPr>
        <w:spacing w:after="60"/>
      </w:pPr>
      <w:r>
        <w:rPr>
          <w:rFonts w:ascii="Aptos" w:hAnsi="Aptos"/>
          <w:b/>
          <w:color w:val="081726"/>
          <w:sz w:val="19"/>
        </w:rPr>
        <w:t xml:space="preserve">11. </w:t>
      </w:r>
      <w:r>
        <w:rPr>
          <w:rFonts w:ascii="Aptos" w:hAnsi="Aptos"/>
          <w:color w:val="152A3B"/>
          <w:sz w:val="19"/>
        </w:rPr>
        <w:t>AI eval subset when AI/content areas changed.</w:t>
      </w:r>
    </w:p>
    <w:p>
      <w:pPr>
        <w:spacing w:after="60"/>
      </w:pPr>
      <w:r>
        <w:rPr>
          <w:rFonts w:ascii="Aptos" w:hAnsi="Aptos"/>
          <w:b/>
          <w:color w:val="081726"/>
          <w:sz w:val="19"/>
        </w:rPr>
        <w:t xml:space="preserve">12. </w:t>
      </w:r>
      <w:r>
        <w:rPr>
          <w:rFonts w:ascii="Aptos" w:hAnsi="Aptos"/>
          <w:color w:val="152A3B"/>
          <w:sz w:val="19"/>
        </w:rPr>
        <w:t>Publish immutable artifacts/images only after all blocking checks pass.</w:t>
      </w:r>
    </w:p>
    <w:p>
      <w:pPr>
        <w:pStyle w:val="Heading2"/>
      </w:pPr>
      <w:r>
        <w:t>10.1 Branching</w:t>
      </w:r>
    </w:p>
    <w:p>
      <w:pPr>
        <w:spacing w:after="100"/>
      </w:pPr>
      <w:r>
        <w:rPr>
          <w:rFonts w:ascii="Aptos" w:hAnsi="Aptos"/>
          <w:b w:val="0"/>
          <w:color w:val="152A3B"/>
        </w:rPr>
        <w:t>Use trunk-based development with short-lived feature branches and protected `main`. Release production from immutable artifacts built from main; do not rebuild source differently for staging and production.</w:t>
      </w:r>
    </w:p>
    <w:p>
      <w:pPr>
        <w:pStyle w:val="Heading1"/>
      </w:pPr>
      <w:r>
        <w:t>11. CD and Environment Promotion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Environment</w:t>
            </w:r>
          </w:p>
        </w:tc>
        <w:tc>
          <w:tcPr>
            <w:tcW w:type="dxa" w:w="201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Trigger</w:t>
            </w:r>
          </w:p>
        </w:tc>
        <w:tc>
          <w:tcPr>
            <w:tcW w:type="dxa" w:w="316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Purpose</w:t>
            </w:r>
          </w:p>
        </w:tc>
        <w:tc>
          <w:tcPr>
            <w:tcW w:type="dxa" w:w="331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Data</w:t>
            </w:r>
          </w:p>
        </w:tc>
      </w:tr>
      <w:tr>
        <w:tc>
          <w:tcPr>
            <w:tcW w:type="dxa" w:w="1584"/>
            <w:vAlign w:val="center"/>
          </w:tcPr>
          <w:p>
            <w:r>
              <w:rPr>
                <w:rFonts w:ascii="Aptos" w:hAnsi="Aptos"/>
                <w:color w:val="152A3B"/>
                <w:sz w:val="16"/>
              </w:rPr>
              <w:t>Local</w:t>
            </w:r>
          </w:p>
        </w:tc>
        <w:tc>
          <w:tcPr>
            <w:tcW w:type="dxa" w:w="2016"/>
            <w:vAlign w:val="center"/>
          </w:tcPr>
          <w:p>
            <w:r>
              <w:rPr>
                <w:rFonts w:ascii="Aptos" w:hAnsi="Aptos"/>
                <w:color w:val="152A3B"/>
                <w:sz w:val="16"/>
              </w:rPr>
              <w:t>Developer command</w:t>
            </w:r>
          </w:p>
        </w:tc>
        <w:tc>
          <w:tcPr>
            <w:tcW w:type="dxa" w:w="3168"/>
            <w:vAlign w:val="center"/>
          </w:tcPr>
          <w:p>
            <w:r>
              <w:rPr>
                <w:rFonts w:ascii="Aptos" w:hAnsi="Aptos"/>
                <w:color w:val="152A3B"/>
                <w:sz w:val="16"/>
              </w:rPr>
              <w:t>Fast feedback</w:t>
            </w:r>
          </w:p>
        </w:tc>
        <w:tc>
          <w:tcPr>
            <w:tcW w:type="dxa" w:w="3312"/>
            <w:vAlign w:val="center"/>
          </w:tcPr>
          <w:p>
            <w:r>
              <w:rPr>
                <w:rFonts w:ascii="Aptos" w:hAnsi="Aptos"/>
                <w:color w:val="152A3B"/>
                <w:sz w:val="16"/>
              </w:rPr>
              <w:t>Seeded synthetic only</w:t>
            </w:r>
          </w:p>
        </w:tc>
      </w:tr>
      <w:tr>
        <w:tc>
          <w:tcPr>
            <w:tcW w:type="dxa" w:w="1584"/>
            <w:shd w:fill="F8FAFB"/>
            <w:vAlign w:val="center"/>
          </w:tcPr>
          <w:p>
            <w:r>
              <w:rPr>
                <w:rFonts w:ascii="Aptos" w:hAnsi="Aptos"/>
                <w:color w:val="152A3B"/>
                <w:sz w:val="16"/>
              </w:rPr>
              <w:t>Preview</w:t>
            </w:r>
          </w:p>
        </w:tc>
        <w:tc>
          <w:tcPr>
            <w:tcW w:type="dxa" w:w="2016"/>
            <w:shd w:fill="F8FAFB"/>
            <w:vAlign w:val="center"/>
          </w:tcPr>
          <w:p>
            <w:r>
              <w:rPr>
                <w:rFonts w:ascii="Aptos" w:hAnsi="Aptos"/>
                <w:color w:val="152A3B"/>
                <w:sz w:val="16"/>
              </w:rPr>
              <w:t>PR</w:t>
            </w:r>
          </w:p>
        </w:tc>
        <w:tc>
          <w:tcPr>
            <w:tcW w:type="dxa" w:w="3168"/>
            <w:shd w:fill="F8FAFB"/>
            <w:vAlign w:val="center"/>
          </w:tcPr>
          <w:p>
            <w:r>
              <w:rPr>
                <w:rFonts w:ascii="Aptos" w:hAnsi="Aptos"/>
                <w:color w:val="152A3B"/>
                <w:sz w:val="16"/>
              </w:rPr>
              <w:t>UI/API review</w:t>
            </w:r>
          </w:p>
        </w:tc>
        <w:tc>
          <w:tcPr>
            <w:tcW w:type="dxa" w:w="3312"/>
            <w:shd w:fill="F8FAFB"/>
            <w:vAlign w:val="center"/>
          </w:tcPr>
          <w:p>
            <w:r>
              <w:rPr>
                <w:rFonts w:ascii="Aptos" w:hAnsi="Aptos"/>
                <w:color w:val="152A3B"/>
                <w:sz w:val="16"/>
              </w:rPr>
              <w:t>Ephemeral/synthetic</w:t>
            </w:r>
          </w:p>
        </w:tc>
      </w:tr>
      <w:tr>
        <w:tc>
          <w:tcPr>
            <w:tcW w:type="dxa" w:w="1584"/>
            <w:vAlign w:val="center"/>
          </w:tcPr>
          <w:p>
            <w:r>
              <w:rPr>
                <w:rFonts w:ascii="Aptos" w:hAnsi="Aptos"/>
                <w:color w:val="152A3B"/>
                <w:sz w:val="16"/>
              </w:rPr>
              <w:t>Dev</w:t>
            </w:r>
          </w:p>
        </w:tc>
        <w:tc>
          <w:tcPr>
            <w:tcW w:type="dxa" w:w="2016"/>
            <w:vAlign w:val="center"/>
          </w:tcPr>
          <w:p>
            <w:r>
              <w:rPr>
                <w:rFonts w:ascii="Aptos" w:hAnsi="Aptos"/>
                <w:color w:val="152A3B"/>
                <w:sz w:val="16"/>
              </w:rPr>
              <w:t>Main merge</w:t>
            </w:r>
          </w:p>
        </w:tc>
        <w:tc>
          <w:tcPr>
            <w:tcW w:type="dxa" w:w="3168"/>
            <w:vAlign w:val="center"/>
          </w:tcPr>
          <w:p>
            <w:r>
              <w:rPr>
                <w:rFonts w:ascii="Aptos" w:hAnsi="Aptos"/>
                <w:color w:val="152A3B"/>
                <w:sz w:val="16"/>
              </w:rPr>
              <w:t>Integration</w:t>
            </w:r>
          </w:p>
        </w:tc>
        <w:tc>
          <w:tcPr>
            <w:tcW w:type="dxa" w:w="3312"/>
            <w:vAlign w:val="center"/>
          </w:tcPr>
          <w:p>
            <w:r>
              <w:rPr>
                <w:rFonts w:ascii="Aptos" w:hAnsi="Aptos"/>
                <w:color w:val="152A3B"/>
                <w:sz w:val="16"/>
              </w:rPr>
              <w:t>Synthetic/test</w:t>
            </w:r>
          </w:p>
        </w:tc>
      </w:tr>
      <w:tr>
        <w:tc>
          <w:tcPr>
            <w:tcW w:type="dxa" w:w="1584"/>
            <w:shd w:fill="F8FAFB"/>
            <w:vAlign w:val="center"/>
          </w:tcPr>
          <w:p>
            <w:r>
              <w:rPr>
                <w:rFonts w:ascii="Aptos" w:hAnsi="Aptos"/>
                <w:color w:val="152A3B"/>
                <w:sz w:val="16"/>
              </w:rPr>
              <w:t>Staging</w:t>
            </w:r>
          </w:p>
        </w:tc>
        <w:tc>
          <w:tcPr>
            <w:tcW w:type="dxa" w:w="2016"/>
            <w:shd w:fill="F8FAFB"/>
            <w:vAlign w:val="center"/>
          </w:tcPr>
          <w:p>
            <w:r>
              <w:rPr>
                <w:rFonts w:ascii="Aptos" w:hAnsi="Aptos"/>
                <w:color w:val="152A3B"/>
                <w:sz w:val="16"/>
              </w:rPr>
              <w:t>Automatic promotion candidate</w:t>
            </w:r>
          </w:p>
        </w:tc>
        <w:tc>
          <w:tcPr>
            <w:tcW w:type="dxa" w:w="3168"/>
            <w:shd w:fill="F8FAFB"/>
            <w:vAlign w:val="center"/>
          </w:tcPr>
          <w:p>
            <w:r>
              <w:rPr>
                <w:rFonts w:ascii="Aptos" w:hAnsi="Aptos"/>
                <w:color w:val="152A3B"/>
                <w:sz w:val="16"/>
              </w:rPr>
              <w:t>Production-like validation</w:t>
            </w:r>
          </w:p>
        </w:tc>
        <w:tc>
          <w:tcPr>
            <w:tcW w:type="dxa" w:w="3312"/>
            <w:shd w:fill="F8FAFB"/>
            <w:vAlign w:val="center"/>
          </w:tcPr>
          <w:p>
            <w:r>
              <w:rPr>
                <w:rFonts w:ascii="Aptos" w:hAnsi="Aptos"/>
                <w:color w:val="152A3B"/>
                <w:sz w:val="16"/>
              </w:rPr>
              <w:t>Sanitized/synthetic</w:t>
            </w:r>
          </w:p>
        </w:tc>
      </w:tr>
      <w:tr>
        <w:tc>
          <w:tcPr>
            <w:tcW w:type="dxa" w:w="1584"/>
            <w:vAlign w:val="center"/>
          </w:tcPr>
          <w:p>
            <w:r>
              <w:rPr>
                <w:rFonts w:ascii="Aptos" w:hAnsi="Aptos"/>
                <w:color w:val="152A3B"/>
                <w:sz w:val="16"/>
              </w:rPr>
              <w:t>Production</w:t>
            </w:r>
          </w:p>
        </w:tc>
        <w:tc>
          <w:tcPr>
            <w:tcW w:type="dxa" w:w="2016"/>
            <w:vAlign w:val="center"/>
          </w:tcPr>
          <w:p>
            <w:r>
              <w:rPr>
                <w:rFonts w:ascii="Aptos" w:hAnsi="Aptos"/>
                <w:color w:val="152A3B"/>
                <w:sz w:val="16"/>
              </w:rPr>
              <w:t>Approved promotion of same artifact</w:t>
            </w:r>
          </w:p>
        </w:tc>
        <w:tc>
          <w:tcPr>
            <w:tcW w:type="dxa" w:w="3168"/>
            <w:vAlign w:val="center"/>
          </w:tcPr>
          <w:p>
            <w:r>
              <w:rPr>
                <w:rFonts w:ascii="Aptos" w:hAnsi="Aptos"/>
                <w:color w:val="152A3B"/>
                <w:sz w:val="16"/>
              </w:rPr>
              <w:t>Learners</w:t>
            </w:r>
          </w:p>
        </w:tc>
        <w:tc>
          <w:tcPr>
            <w:tcW w:type="dxa" w:w="3312"/>
            <w:vAlign w:val="center"/>
          </w:tcPr>
          <w:p>
            <w:r>
              <w:rPr>
                <w:rFonts w:ascii="Aptos" w:hAnsi="Aptos"/>
                <w:color w:val="152A3B"/>
                <w:sz w:val="16"/>
              </w:rPr>
              <w:t>Production learner data</w:t>
            </w:r>
          </w:p>
        </w:tc>
      </w:tr>
    </w:tbl>
    <w:p>
      <w:pPr>
        <w:spacing w:after="20"/>
      </w:pPr>
    </w:p>
    <w:p>
      <w:pPr>
        <w:pStyle w:val="Heading2"/>
      </w:pPr>
      <w:r>
        <w:t>11.1 Production deployment</w:t>
      </w:r>
    </w:p>
    <w:p>
      <w:pPr>
        <w:spacing w:after="60"/>
      </w:pPr>
      <w:r>
        <w:rPr>
          <w:rFonts w:ascii="Aptos" w:hAnsi="Aptos"/>
          <w:b/>
          <w:color w:val="081726"/>
          <w:sz w:val="19"/>
        </w:rPr>
        <w:t xml:space="preserve">1. </w:t>
      </w:r>
      <w:r>
        <w:rPr>
          <w:rFonts w:ascii="Aptos" w:hAnsi="Aptos"/>
          <w:color w:val="152A3B"/>
          <w:sz w:val="19"/>
        </w:rPr>
        <w:t>Terraform plan reviewed for infrastructure changes.</w:t>
      </w:r>
    </w:p>
    <w:p>
      <w:pPr>
        <w:spacing w:after="60"/>
      </w:pPr>
      <w:r>
        <w:rPr>
          <w:rFonts w:ascii="Aptos" w:hAnsi="Aptos"/>
          <w:b/>
          <w:color w:val="081726"/>
          <w:sz w:val="19"/>
        </w:rPr>
        <w:t xml:space="preserve">2. </w:t>
      </w:r>
      <w:r>
        <w:rPr>
          <w:rFonts w:ascii="Aptos" w:hAnsi="Aptos"/>
          <w:color w:val="152A3B"/>
          <w:sz w:val="19"/>
        </w:rPr>
        <w:t>Deploy backward-compatible DB expansion first if needed.</w:t>
      </w:r>
    </w:p>
    <w:p>
      <w:pPr>
        <w:spacing w:after="60"/>
      </w:pPr>
      <w:r>
        <w:rPr>
          <w:rFonts w:ascii="Aptos" w:hAnsi="Aptos"/>
          <w:b/>
          <w:color w:val="081726"/>
          <w:sz w:val="19"/>
        </w:rPr>
        <w:t xml:space="preserve">3. </w:t>
      </w:r>
      <w:r>
        <w:rPr>
          <w:rFonts w:ascii="Aptos" w:hAnsi="Aptos"/>
          <w:color w:val="152A3B"/>
          <w:sz w:val="19"/>
        </w:rPr>
        <w:t>Deploy containers with rolling/canary strategy.</w:t>
      </w:r>
    </w:p>
    <w:p>
      <w:pPr>
        <w:spacing w:after="60"/>
      </w:pPr>
      <w:r>
        <w:rPr>
          <w:rFonts w:ascii="Aptos" w:hAnsi="Aptos"/>
          <w:b/>
          <w:color w:val="081726"/>
          <w:sz w:val="19"/>
        </w:rPr>
        <w:t xml:space="preserve">4. </w:t>
      </w:r>
      <w:r>
        <w:rPr>
          <w:rFonts w:ascii="Aptos" w:hAnsi="Aptos"/>
          <w:color w:val="152A3B"/>
          <w:sz w:val="19"/>
        </w:rPr>
        <w:t>Run smoke/readiness and critical Golden Lesson E2E.</w:t>
      </w:r>
    </w:p>
    <w:p>
      <w:pPr>
        <w:spacing w:after="60"/>
      </w:pPr>
      <w:r>
        <w:rPr>
          <w:rFonts w:ascii="Aptos" w:hAnsi="Aptos"/>
          <w:b/>
          <w:color w:val="081726"/>
          <w:sz w:val="19"/>
        </w:rPr>
        <w:t xml:space="preserve">5. </w:t>
      </w:r>
      <w:r>
        <w:rPr>
          <w:rFonts w:ascii="Aptos" w:hAnsi="Aptos"/>
          <w:color w:val="152A3B"/>
          <w:sz w:val="19"/>
        </w:rPr>
        <w:t>Monitor error/latency/provider/cost dashboards.</w:t>
      </w:r>
    </w:p>
    <w:p>
      <w:pPr>
        <w:spacing w:after="60"/>
      </w:pPr>
      <w:r>
        <w:rPr>
          <w:rFonts w:ascii="Aptos" w:hAnsi="Aptos"/>
          <w:b/>
          <w:color w:val="081726"/>
          <w:sz w:val="19"/>
        </w:rPr>
        <w:t xml:space="preserve">6. </w:t>
      </w:r>
      <w:r>
        <w:rPr>
          <w:rFonts w:ascii="Aptos" w:hAnsi="Aptos"/>
          <w:color w:val="152A3B"/>
          <w:sz w:val="19"/>
        </w:rPr>
        <w:t>Promote feature flags gradually for risky realtime/media changes.</w:t>
      </w:r>
    </w:p>
    <w:p>
      <w:pPr>
        <w:spacing w:after="60"/>
      </w:pPr>
      <w:r>
        <w:rPr>
          <w:rFonts w:ascii="Aptos" w:hAnsi="Aptos"/>
          <w:b/>
          <w:color w:val="081726"/>
          <w:sz w:val="19"/>
        </w:rPr>
        <w:t xml:space="preserve">7. </w:t>
      </w:r>
      <w:r>
        <w:rPr>
          <w:rFonts w:ascii="Aptos" w:hAnsi="Aptos"/>
          <w:color w:val="152A3B"/>
          <w:sz w:val="19"/>
        </w:rPr>
        <w:t>Rollback application immediately on threshold breach; data migration rollback follows documented plan.</w:t>
      </w:r>
    </w:p>
    <w:p>
      <w:pPr>
        <w:pStyle w:val="Heading1"/>
      </w:pPr>
      <w:r>
        <w:t>12. AWS Deployment Strategy</w:t>
      </w:r>
    </w:p>
    <w:p>
      <w:pPr>
        <w:spacing w:after="40"/>
        <w:jc w:val="center"/>
      </w:pPr>
      <w:r>
        <w:drawing>
          <wp:inline xmlns:a="http://schemas.openxmlformats.org/drawingml/2006/main" xmlns:pic="http://schemas.openxmlformats.org/drawingml/2006/picture">
            <wp:extent cx="6492240" cy="4057650"/>
            <wp:docPr id="2" name="Picture 2"/>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6492240" cy="4057650"/>
                    </a:xfrm>
                    <a:prstGeom prst="rect"/>
                  </pic:spPr>
                </pic:pic>
              </a:graphicData>
            </a:graphic>
          </wp:inline>
        </w:drawing>
      </w:r>
    </w:p>
    <w:p>
      <w:pPr>
        <w:spacing w:after="120"/>
        <w:jc w:val="center"/>
      </w:pPr>
      <w:r>
        <w:rPr>
          <w:rFonts w:ascii="Aptos" w:hAnsi="Aptos"/>
          <w:color w:val="617789"/>
          <w:sz w:val="16"/>
        </w:rPr>
        <w:t>Figure 1 — V1 production topology.</w:t>
      </w:r>
    </w:p>
    <w:p>
      <w:pPr>
        <w:pStyle w:val="Heading2"/>
      </w:pPr>
      <w:r>
        <w:t>12.1 Service mapping</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Capability</w:t>
            </w:r>
          </w:p>
        </w:tc>
        <w:tc>
          <w:tcPr>
            <w:tcW w:type="dxa" w:w="302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AWS reference choice</w:t>
            </w:r>
          </w:p>
        </w:tc>
        <w:tc>
          <w:tcPr>
            <w:tcW w:type="dxa" w:w="496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Rationale</w:t>
            </w:r>
          </w:p>
        </w:tc>
      </w:tr>
      <w:tr>
        <w:tc>
          <w:tcPr>
            <w:tcW w:type="dxa" w:w="2088"/>
            <w:vAlign w:val="center"/>
          </w:tcPr>
          <w:p>
            <w:r>
              <w:rPr>
                <w:rFonts w:ascii="Aptos" w:hAnsi="Aptos"/>
                <w:color w:val="152A3B"/>
                <w:sz w:val="15"/>
              </w:rPr>
              <w:t>Containers</w:t>
            </w:r>
          </w:p>
        </w:tc>
        <w:tc>
          <w:tcPr>
            <w:tcW w:type="dxa" w:w="3024"/>
            <w:vAlign w:val="center"/>
          </w:tcPr>
          <w:p>
            <w:r>
              <w:rPr>
                <w:rFonts w:ascii="Aptos" w:hAnsi="Aptos"/>
                <w:color w:val="152A3B"/>
                <w:sz w:val="15"/>
              </w:rPr>
              <w:t>ECS Fargate</w:t>
            </w:r>
          </w:p>
        </w:tc>
        <w:tc>
          <w:tcPr>
            <w:tcW w:type="dxa" w:w="4968"/>
            <w:vAlign w:val="center"/>
          </w:tcPr>
          <w:p>
            <w:r>
              <w:rPr>
                <w:rFonts w:ascii="Aptos" w:hAnsi="Aptos"/>
                <w:color w:val="152A3B"/>
                <w:sz w:val="15"/>
              </w:rPr>
              <w:t>Managed serverless container capacity; no cluster VM administration [R5]</w:t>
            </w:r>
          </w:p>
        </w:tc>
      </w:tr>
      <w:tr>
        <w:tc>
          <w:tcPr>
            <w:tcW w:type="dxa" w:w="2088"/>
            <w:shd w:fill="F8FAFB"/>
            <w:vAlign w:val="center"/>
          </w:tcPr>
          <w:p>
            <w:r>
              <w:rPr>
                <w:rFonts w:ascii="Aptos" w:hAnsi="Aptos"/>
                <w:color w:val="152A3B"/>
                <w:sz w:val="15"/>
              </w:rPr>
              <w:t>Load balancing</w:t>
            </w:r>
          </w:p>
        </w:tc>
        <w:tc>
          <w:tcPr>
            <w:tcW w:type="dxa" w:w="3024"/>
            <w:shd w:fill="F8FAFB"/>
            <w:vAlign w:val="center"/>
          </w:tcPr>
          <w:p>
            <w:r>
              <w:rPr>
                <w:rFonts w:ascii="Aptos" w:hAnsi="Aptos"/>
                <w:color w:val="152A3B"/>
                <w:sz w:val="15"/>
              </w:rPr>
              <w:t>Application Load Balancer</w:t>
            </w:r>
          </w:p>
        </w:tc>
        <w:tc>
          <w:tcPr>
            <w:tcW w:type="dxa" w:w="4968"/>
            <w:shd w:fill="F8FAFB"/>
            <w:vAlign w:val="center"/>
          </w:tcPr>
          <w:p>
            <w:r>
              <w:rPr>
                <w:rFonts w:ascii="Aptos" w:hAnsi="Aptos"/>
                <w:color w:val="152A3B"/>
                <w:sz w:val="15"/>
              </w:rPr>
              <w:t>HTTP/S routing to stateless services</w:t>
            </w:r>
          </w:p>
        </w:tc>
      </w:tr>
      <w:tr>
        <w:tc>
          <w:tcPr>
            <w:tcW w:type="dxa" w:w="2088"/>
            <w:vAlign w:val="center"/>
          </w:tcPr>
          <w:p>
            <w:r>
              <w:rPr>
                <w:rFonts w:ascii="Aptos" w:hAnsi="Aptos"/>
                <w:color w:val="152A3B"/>
                <w:sz w:val="15"/>
              </w:rPr>
              <w:t>Database</w:t>
            </w:r>
          </w:p>
        </w:tc>
        <w:tc>
          <w:tcPr>
            <w:tcW w:type="dxa" w:w="3024"/>
            <w:vAlign w:val="center"/>
          </w:tcPr>
          <w:p>
            <w:r>
              <w:rPr>
                <w:rFonts w:ascii="Aptos" w:hAnsi="Aptos"/>
                <w:color w:val="152A3B"/>
                <w:sz w:val="15"/>
              </w:rPr>
              <w:t>RDS PostgreSQL</w:t>
            </w:r>
          </w:p>
        </w:tc>
        <w:tc>
          <w:tcPr>
            <w:tcW w:type="dxa" w:w="4968"/>
            <w:vAlign w:val="center"/>
          </w:tcPr>
          <w:p>
            <w:r>
              <w:rPr>
                <w:rFonts w:ascii="Aptos" w:hAnsi="Aptos"/>
                <w:color w:val="152A3B"/>
                <w:sz w:val="15"/>
              </w:rPr>
              <w:t>Managed backups/PITR/Multi-AZ options</w:t>
            </w:r>
          </w:p>
        </w:tc>
      </w:tr>
      <w:tr>
        <w:tc>
          <w:tcPr>
            <w:tcW w:type="dxa" w:w="2088"/>
            <w:shd w:fill="F8FAFB"/>
            <w:vAlign w:val="center"/>
          </w:tcPr>
          <w:p>
            <w:r>
              <w:rPr>
                <w:rFonts w:ascii="Aptos" w:hAnsi="Aptos"/>
                <w:color w:val="152A3B"/>
                <w:sz w:val="15"/>
              </w:rPr>
              <w:t>Vector retrieval</w:t>
            </w:r>
          </w:p>
        </w:tc>
        <w:tc>
          <w:tcPr>
            <w:tcW w:type="dxa" w:w="3024"/>
            <w:shd w:fill="F8FAFB"/>
            <w:vAlign w:val="center"/>
          </w:tcPr>
          <w:p>
            <w:r>
              <w:rPr>
                <w:rFonts w:ascii="Aptos" w:hAnsi="Aptos"/>
                <w:color w:val="152A3B"/>
                <w:sz w:val="15"/>
              </w:rPr>
              <w:t>pgvector extension</w:t>
            </w:r>
          </w:p>
        </w:tc>
        <w:tc>
          <w:tcPr>
            <w:tcW w:type="dxa" w:w="4968"/>
            <w:shd w:fill="F8FAFB"/>
            <w:vAlign w:val="center"/>
          </w:tcPr>
          <w:p>
            <w:r>
              <w:rPr>
                <w:rFonts w:ascii="Aptos" w:hAnsi="Aptos"/>
                <w:color w:val="152A3B"/>
                <w:sz w:val="15"/>
              </w:rPr>
              <w:t>Keep V1 retrieval with Postgres [R7]</w:t>
            </w:r>
          </w:p>
        </w:tc>
      </w:tr>
      <w:tr>
        <w:tc>
          <w:tcPr>
            <w:tcW w:type="dxa" w:w="2088"/>
            <w:vAlign w:val="center"/>
          </w:tcPr>
          <w:p>
            <w:r>
              <w:rPr>
                <w:rFonts w:ascii="Aptos" w:hAnsi="Aptos"/>
                <w:color w:val="152A3B"/>
                <w:sz w:val="15"/>
              </w:rPr>
              <w:t>Cache</w:t>
            </w:r>
          </w:p>
        </w:tc>
        <w:tc>
          <w:tcPr>
            <w:tcW w:type="dxa" w:w="3024"/>
            <w:vAlign w:val="center"/>
          </w:tcPr>
          <w:p>
            <w:r>
              <w:rPr>
                <w:rFonts w:ascii="Aptos" w:hAnsi="Aptos"/>
                <w:color w:val="152A3B"/>
                <w:sz w:val="15"/>
              </w:rPr>
              <w:t>ElastiCache Redis</w:t>
            </w:r>
          </w:p>
        </w:tc>
        <w:tc>
          <w:tcPr>
            <w:tcW w:type="dxa" w:w="4968"/>
            <w:vAlign w:val="center"/>
          </w:tcPr>
          <w:p>
            <w:r>
              <w:rPr>
                <w:rFonts w:ascii="Aptos" w:hAnsi="Aptos"/>
                <w:color w:val="152A3B"/>
                <w:sz w:val="15"/>
              </w:rPr>
              <w:t>Ephemeral cache/rate/session state</w:t>
            </w:r>
          </w:p>
        </w:tc>
      </w:tr>
      <w:tr>
        <w:tc>
          <w:tcPr>
            <w:tcW w:type="dxa" w:w="2088"/>
            <w:shd w:fill="F8FAFB"/>
            <w:vAlign w:val="center"/>
          </w:tcPr>
          <w:p>
            <w:r>
              <w:rPr>
                <w:rFonts w:ascii="Aptos" w:hAnsi="Aptos"/>
                <w:color w:val="152A3B"/>
                <w:sz w:val="15"/>
              </w:rPr>
              <w:t>Media</w:t>
            </w:r>
          </w:p>
        </w:tc>
        <w:tc>
          <w:tcPr>
            <w:tcW w:type="dxa" w:w="3024"/>
            <w:shd w:fill="F8FAFB"/>
            <w:vAlign w:val="center"/>
          </w:tcPr>
          <w:p>
            <w:r>
              <w:rPr>
                <w:rFonts w:ascii="Aptos" w:hAnsi="Aptos"/>
                <w:color w:val="152A3B"/>
                <w:sz w:val="15"/>
              </w:rPr>
              <w:t>S3 + CloudFront</w:t>
            </w:r>
          </w:p>
        </w:tc>
        <w:tc>
          <w:tcPr>
            <w:tcW w:type="dxa" w:w="4968"/>
            <w:shd w:fill="F8FAFB"/>
            <w:vAlign w:val="center"/>
          </w:tcPr>
          <w:p>
            <w:r>
              <w:rPr>
                <w:rFonts w:ascii="Aptos" w:hAnsi="Aptos"/>
                <w:color w:val="152A3B"/>
                <w:sz w:val="15"/>
              </w:rPr>
              <w:t>High-volume static/video delivery without API hop</w:t>
            </w:r>
          </w:p>
        </w:tc>
      </w:tr>
      <w:tr>
        <w:tc>
          <w:tcPr>
            <w:tcW w:type="dxa" w:w="2088"/>
            <w:vAlign w:val="center"/>
          </w:tcPr>
          <w:p>
            <w:r>
              <w:rPr>
                <w:rFonts w:ascii="Aptos" w:hAnsi="Aptos"/>
                <w:color w:val="152A3B"/>
                <w:sz w:val="15"/>
              </w:rPr>
              <w:t>Secrets/keys</w:t>
            </w:r>
          </w:p>
        </w:tc>
        <w:tc>
          <w:tcPr>
            <w:tcW w:type="dxa" w:w="3024"/>
            <w:vAlign w:val="center"/>
          </w:tcPr>
          <w:p>
            <w:r>
              <w:rPr>
                <w:rFonts w:ascii="Aptos" w:hAnsi="Aptos"/>
                <w:color w:val="152A3B"/>
                <w:sz w:val="15"/>
              </w:rPr>
              <w:t>Secrets Manager + KMS</w:t>
            </w:r>
          </w:p>
        </w:tc>
        <w:tc>
          <w:tcPr>
            <w:tcW w:type="dxa" w:w="4968"/>
            <w:vAlign w:val="center"/>
          </w:tcPr>
          <w:p>
            <w:r>
              <w:rPr>
                <w:rFonts w:ascii="Aptos" w:hAnsi="Aptos"/>
                <w:color w:val="152A3B"/>
                <w:sz w:val="15"/>
              </w:rPr>
              <w:t>Central secret/encryption management</w:t>
            </w:r>
          </w:p>
        </w:tc>
      </w:tr>
      <w:tr>
        <w:tc>
          <w:tcPr>
            <w:tcW w:type="dxa" w:w="2088"/>
            <w:shd w:fill="F8FAFB"/>
            <w:vAlign w:val="center"/>
          </w:tcPr>
          <w:p>
            <w:r>
              <w:rPr>
                <w:rFonts w:ascii="Aptos" w:hAnsi="Aptos"/>
                <w:color w:val="152A3B"/>
                <w:sz w:val="15"/>
              </w:rPr>
              <w:t>Edge protection</w:t>
            </w:r>
          </w:p>
        </w:tc>
        <w:tc>
          <w:tcPr>
            <w:tcW w:type="dxa" w:w="3024"/>
            <w:shd w:fill="F8FAFB"/>
            <w:vAlign w:val="center"/>
          </w:tcPr>
          <w:p>
            <w:r>
              <w:rPr>
                <w:rFonts w:ascii="Aptos" w:hAnsi="Aptos"/>
                <w:color w:val="152A3B"/>
                <w:sz w:val="15"/>
              </w:rPr>
              <w:t>WAF + rate limits</w:t>
            </w:r>
          </w:p>
        </w:tc>
        <w:tc>
          <w:tcPr>
            <w:tcW w:type="dxa" w:w="4968"/>
            <w:shd w:fill="F8FAFB"/>
            <w:vAlign w:val="center"/>
          </w:tcPr>
          <w:p>
            <w:r>
              <w:rPr>
                <w:rFonts w:ascii="Aptos" w:hAnsi="Aptos"/>
                <w:color w:val="152A3B"/>
                <w:sz w:val="15"/>
              </w:rPr>
              <w:t>Abuse and basic application protection</w:t>
            </w:r>
          </w:p>
        </w:tc>
      </w:tr>
      <w:tr>
        <w:tc>
          <w:tcPr>
            <w:tcW w:type="dxa" w:w="2088"/>
            <w:vAlign w:val="center"/>
          </w:tcPr>
          <w:p>
            <w:r>
              <w:rPr>
                <w:rFonts w:ascii="Aptos" w:hAnsi="Aptos"/>
                <w:color w:val="152A3B"/>
                <w:sz w:val="15"/>
              </w:rPr>
              <w:t>IaC</w:t>
            </w:r>
          </w:p>
        </w:tc>
        <w:tc>
          <w:tcPr>
            <w:tcW w:type="dxa" w:w="3024"/>
            <w:vAlign w:val="center"/>
          </w:tcPr>
          <w:p>
            <w:r>
              <w:rPr>
                <w:rFonts w:ascii="Aptos" w:hAnsi="Aptos"/>
                <w:color w:val="152A3B"/>
                <w:sz w:val="15"/>
              </w:rPr>
              <w:t>Terraform</w:t>
            </w:r>
          </w:p>
        </w:tc>
        <w:tc>
          <w:tcPr>
            <w:tcW w:type="dxa" w:w="4968"/>
            <w:vAlign w:val="center"/>
          </w:tcPr>
          <w:p>
            <w:r>
              <w:rPr>
                <w:rFonts w:ascii="Aptos" w:hAnsi="Aptos"/>
                <w:color w:val="152A3B"/>
                <w:sz w:val="15"/>
              </w:rPr>
              <w:t>Cloud/provider-neutral declarative infrastructure</w:t>
            </w:r>
          </w:p>
        </w:tc>
      </w:tr>
      <w:tr>
        <w:tc>
          <w:tcPr>
            <w:tcW w:type="dxa" w:w="2088"/>
            <w:shd w:fill="F8FAFB"/>
            <w:vAlign w:val="center"/>
          </w:tcPr>
          <w:p>
            <w:r>
              <w:rPr>
                <w:rFonts w:ascii="Aptos" w:hAnsi="Aptos"/>
                <w:color w:val="152A3B"/>
                <w:sz w:val="15"/>
              </w:rPr>
              <w:t>Telemetry</w:t>
            </w:r>
          </w:p>
        </w:tc>
        <w:tc>
          <w:tcPr>
            <w:tcW w:type="dxa" w:w="3024"/>
            <w:shd w:fill="F8FAFB"/>
            <w:vAlign w:val="center"/>
          </w:tcPr>
          <w:p>
            <w:r>
              <w:rPr>
                <w:rFonts w:ascii="Aptos" w:hAnsi="Aptos"/>
                <w:color w:val="152A3B"/>
                <w:sz w:val="15"/>
              </w:rPr>
              <w:t>OpenTelemetry -&gt; chosen backend</w:t>
            </w:r>
          </w:p>
        </w:tc>
        <w:tc>
          <w:tcPr>
            <w:tcW w:type="dxa" w:w="4968"/>
            <w:shd w:fill="F8FAFB"/>
            <w:vAlign w:val="center"/>
          </w:tcPr>
          <w:p>
            <w:r>
              <w:rPr>
                <w:rFonts w:ascii="Aptos" w:hAnsi="Aptos"/>
                <w:color w:val="152A3B"/>
                <w:sz w:val="15"/>
              </w:rPr>
              <w:t>Vendor-neutral instrumentation [R8]</w:t>
            </w:r>
          </w:p>
        </w:tc>
      </w:tr>
    </w:tbl>
    <w:p>
      <w:pPr>
        <w:spacing w:after="20"/>
      </w:pPr>
    </w:p>
    <w:p>
      <w:pPr>
        <w:pStyle w:val="Heading2"/>
      </w:pPr>
      <w:r>
        <w:t>12.2 Why not Kubernetes initially</w:t>
      </w:r>
    </w:p>
    <w:p>
      <w:pPr>
        <w:spacing w:after="100"/>
      </w:pPr>
      <w:r>
        <w:rPr>
          <w:rFonts w:ascii="Aptos" w:hAnsi="Aptos"/>
          <w:b w:val="0"/>
          <w:color w:val="152A3B"/>
        </w:rPr>
        <w:t>Kubernetes introduces a second platform to operate before Financial Pods has proven scaling or customer-hosted requirements. ECS Fargate already supports container runtime and load-balanced scaling without managing the underlying VM cluster. [R5] Move to EKS only if dedicated enterprise deployments, advanced scheduling, multi-service scale or organizational needs justify the cost.</w:t>
      </w:r>
    </w:p>
    <w:p>
      <w:pPr>
        <w:pStyle w:val="Heading2"/>
      </w:pPr>
      <w:r>
        <w:t>12.3 Workflow orchestration</w:t>
      </w:r>
    </w:p>
    <w:p>
      <w:pPr>
        <w:spacing w:after="100"/>
      </w:pPr>
      <w:r>
        <w:rPr>
          <w:rFonts w:ascii="Aptos" w:hAnsi="Aptos"/>
          <w:b w:val="0"/>
          <w:color w:val="152A3B"/>
        </w:rPr>
        <w:t>Content/video pipelines are long-running and failure-prone. Temporal is a strong candidate because its durable execution model persists workflow history and resumes after failures. [R6] The lock decision is whether to adopt it immediately or introduce it when the content factory becomes multi-step; either way, domain workflow interfaces should prevent coupling to ad-hoc Celery task chains.</w:t>
      </w:r>
    </w:p>
    <w:p>
      <w:pPr>
        <w:pStyle w:val="Heading1"/>
      </w:pPr>
      <w:r>
        <w:t>13. Observability and SLOs</w:t>
      </w:r>
    </w:p>
    <w:p>
      <w:pPr>
        <w:spacing w:after="100"/>
      </w:pPr>
      <w:r>
        <w:rPr>
          <w:rFonts w:ascii="Aptos" w:hAnsi="Aptos"/>
          <w:b w:val="0"/>
          <w:color w:val="152A3B"/>
        </w:rPr>
        <w:t>Instrument web/API/workers/tutor using OpenTelemetry so traces, metrics and logs share context and can be exported to the monitoring backend we choose. [R8]</w:t>
      </w:r>
    </w:p>
    <w:tbl>
      <w:tblPr>
        <w:tblStyle w:val="TableGrid"/>
        <w:tblW w:type="auto" w:w="0"/>
        <w:jc w:val="center"/>
        <w:tblLook w:firstColumn="1" w:firstRow="1" w:lastColumn="0" w:lastRow="0" w:noHBand="0" w:noVBand="1" w:val="04A0"/>
      </w:tblPr>
      <w:tblGrid>
        <w:gridCol w:w="5083"/>
        <w:gridCol w:w="5083"/>
      </w:tblGrid>
      <w:tr>
        <w:tc>
          <w:tcPr>
            <w:tcW w:type="dxa" w:w="201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Signal</w:t>
            </w:r>
          </w:p>
        </w:tc>
        <w:tc>
          <w:tcPr>
            <w:tcW w:type="dxa" w:w="806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Examples</w:t>
            </w:r>
          </w:p>
        </w:tc>
      </w:tr>
      <w:tr>
        <w:tc>
          <w:tcPr>
            <w:tcW w:type="dxa" w:w="2016"/>
            <w:vAlign w:val="center"/>
          </w:tcPr>
          <w:p>
            <w:r>
              <w:rPr>
                <w:rFonts w:ascii="Aptos" w:hAnsi="Aptos"/>
                <w:color w:val="152A3B"/>
                <w:sz w:val="16"/>
              </w:rPr>
              <w:t>Availability</w:t>
            </w:r>
          </w:p>
        </w:tc>
        <w:tc>
          <w:tcPr>
            <w:tcW w:type="dxa" w:w="8064"/>
            <w:vAlign w:val="center"/>
          </w:tcPr>
          <w:p>
            <w:r>
              <w:rPr>
                <w:rFonts w:ascii="Aptos" w:hAnsi="Aptos"/>
                <w:color w:val="152A3B"/>
                <w:sz w:val="16"/>
              </w:rPr>
              <w:t>web/API health, lesson-start success</w:t>
            </w:r>
          </w:p>
        </w:tc>
      </w:tr>
      <w:tr>
        <w:tc>
          <w:tcPr>
            <w:tcW w:type="dxa" w:w="2016"/>
            <w:shd w:fill="F8FAFB"/>
            <w:vAlign w:val="center"/>
          </w:tcPr>
          <w:p>
            <w:r>
              <w:rPr>
                <w:rFonts w:ascii="Aptos" w:hAnsi="Aptos"/>
                <w:color w:val="152A3B"/>
                <w:sz w:val="16"/>
              </w:rPr>
              <w:t>Latency</w:t>
            </w:r>
          </w:p>
        </w:tc>
        <w:tc>
          <w:tcPr>
            <w:tcW w:type="dxa" w:w="8064"/>
            <w:shd w:fill="F8FAFB"/>
            <w:vAlign w:val="center"/>
          </w:tcPr>
          <w:p>
            <w:r>
              <w:rPr>
                <w:rFonts w:ascii="Aptos" w:hAnsi="Aptos"/>
                <w:color w:val="152A3B"/>
                <w:sz w:val="16"/>
              </w:rPr>
              <w:t>API p50/p95, tutor first-token, voice first-audio, calculation time</w:t>
            </w:r>
          </w:p>
        </w:tc>
      </w:tr>
      <w:tr>
        <w:tc>
          <w:tcPr>
            <w:tcW w:type="dxa" w:w="2016"/>
            <w:vAlign w:val="center"/>
          </w:tcPr>
          <w:p>
            <w:r>
              <w:rPr>
                <w:rFonts w:ascii="Aptos" w:hAnsi="Aptos"/>
                <w:color w:val="152A3B"/>
                <w:sz w:val="16"/>
              </w:rPr>
              <w:t>Quality</w:t>
            </w:r>
          </w:p>
        </w:tc>
        <w:tc>
          <w:tcPr>
            <w:tcW w:type="dxa" w:w="8064"/>
            <w:vAlign w:val="center"/>
          </w:tcPr>
          <w:p>
            <w:r>
              <w:rPr>
                <w:rFonts w:ascii="Aptos" w:hAnsi="Aptos"/>
                <w:color w:val="152A3B"/>
                <w:sz w:val="16"/>
              </w:rPr>
              <w:t>citation retrieval success, tool failure, eval score trends</w:t>
            </w:r>
          </w:p>
        </w:tc>
      </w:tr>
      <w:tr>
        <w:tc>
          <w:tcPr>
            <w:tcW w:type="dxa" w:w="2016"/>
            <w:shd w:fill="F8FAFB"/>
            <w:vAlign w:val="center"/>
          </w:tcPr>
          <w:p>
            <w:r>
              <w:rPr>
                <w:rFonts w:ascii="Aptos" w:hAnsi="Aptos"/>
                <w:color w:val="152A3B"/>
                <w:sz w:val="16"/>
              </w:rPr>
              <w:t>Learning</w:t>
            </w:r>
          </w:p>
        </w:tc>
        <w:tc>
          <w:tcPr>
            <w:tcW w:type="dxa" w:w="8064"/>
            <w:shd w:fill="F8FAFB"/>
            <w:vAlign w:val="center"/>
          </w:tcPr>
          <w:p>
            <w:r>
              <w:rPr>
                <w:rFonts w:ascii="Aptos" w:hAnsi="Aptos"/>
                <w:color w:val="152A3B"/>
                <w:sz w:val="16"/>
              </w:rPr>
              <w:t>checkpoint completion, mastery changes, abandonment points</w:t>
            </w:r>
          </w:p>
        </w:tc>
      </w:tr>
      <w:tr>
        <w:tc>
          <w:tcPr>
            <w:tcW w:type="dxa" w:w="2016"/>
            <w:vAlign w:val="center"/>
          </w:tcPr>
          <w:p>
            <w:r>
              <w:rPr>
                <w:rFonts w:ascii="Aptos" w:hAnsi="Aptos"/>
                <w:color w:val="152A3B"/>
                <w:sz w:val="16"/>
              </w:rPr>
              <w:t>Cost</w:t>
            </w:r>
          </w:p>
        </w:tc>
        <w:tc>
          <w:tcPr>
            <w:tcW w:type="dxa" w:w="8064"/>
            <w:vAlign w:val="center"/>
          </w:tcPr>
          <w:p>
            <w:r>
              <w:rPr>
                <w:rFonts w:ascii="Aptos" w:hAnsi="Aptos"/>
                <w:color w:val="152A3B"/>
                <w:sz w:val="16"/>
              </w:rPr>
              <w:t>tokens, audio seconds, avatar minutes, image/video generation by tenant/feature</w:t>
            </w:r>
          </w:p>
        </w:tc>
      </w:tr>
      <w:tr>
        <w:tc>
          <w:tcPr>
            <w:tcW w:type="dxa" w:w="2016"/>
            <w:shd w:fill="F8FAFB"/>
            <w:vAlign w:val="center"/>
          </w:tcPr>
          <w:p>
            <w:r>
              <w:rPr>
                <w:rFonts w:ascii="Aptos" w:hAnsi="Aptos"/>
                <w:color w:val="152A3B"/>
                <w:sz w:val="16"/>
              </w:rPr>
              <w:t>Reliability</w:t>
            </w:r>
          </w:p>
        </w:tc>
        <w:tc>
          <w:tcPr>
            <w:tcW w:type="dxa" w:w="8064"/>
            <w:shd w:fill="F8FAFB"/>
            <w:vAlign w:val="center"/>
          </w:tcPr>
          <w:p>
            <w:r>
              <w:rPr>
                <w:rFonts w:ascii="Aptos" w:hAnsi="Aptos"/>
                <w:color w:val="152A3B"/>
                <w:sz w:val="16"/>
              </w:rPr>
              <w:t>worker retries, content publication failures, provider circuit-breaker state</w:t>
            </w:r>
          </w:p>
        </w:tc>
      </w:tr>
      <w:tr>
        <w:tc>
          <w:tcPr>
            <w:tcW w:type="dxa" w:w="2016"/>
            <w:vAlign w:val="center"/>
          </w:tcPr>
          <w:p>
            <w:r>
              <w:rPr>
                <w:rFonts w:ascii="Aptos" w:hAnsi="Aptos"/>
                <w:color w:val="152A3B"/>
                <w:sz w:val="16"/>
              </w:rPr>
              <w:t>Security</w:t>
            </w:r>
          </w:p>
        </w:tc>
        <w:tc>
          <w:tcPr>
            <w:tcW w:type="dxa" w:w="8064"/>
            <w:vAlign w:val="center"/>
          </w:tcPr>
          <w:p>
            <w:r>
              <w:rPr>
                <w:rFonts w:ascii="Aptos" w:hAnsi="Aptos"/>
                <w:color w:val="152A3B"/>
                <w:sz w:val="16"/>
              </w:rPr>
              <w:t>auth failures, rate-limit/WAF events, privileged admin actions</w:t>
            </w:r>
          </w:p>
        </w:tc>
      </w:tr>
    </w:tbl>
    <w:p>
      <w:pPr>
        <w:spacing w:after="20"/>
      </w:pPr>
    </w:p>
    <w:p>
      <w:pPr>
        <w:pStyle w:val="Heading2"/>
      </w:pPr>
      <w:r>
        <w:t>13.1 Logging policy</w:t>
      </w:r>
    </w:p>
    <w:p>
      <w:pPr>
        <w:pStyle w:val="ListBullet"/>
        <w:spacing w:after="40"/>
      </w:pPr>
      <w:r>
        <w:rPr>
          <w:rFonts w:ascii="Aptos" w:hAnsi="Aptos"/>
          <w:color w:val="152A3B"/>
          <w:sz w:val="19"/>
        </w:rPr>
        <w:t>Structured JSON logs with trace/request IDs.</w:t>
      </w:r>
    </w:p>
    <w:p>
      <w:pPr>
        <w:pStyle w:val="ListBullet"/>
        <w:spacing w:after="40"/>
      </w:pPr>
      <w:r>
        <w:rPr>
          <w:rFonts w:ascii="Aptos" w:hAnsi="Aptos"/>
          <w:color w:val="152A3B"/>
          <w:sz w:val="19"/>
        </w:rPr>
        <w:t>Redact secrets and sensitive learner/provider payloads.</w:t>
      </w:r>
    </w:p>
    <w:p>
      <w:pPr>
        <w:pStyle w:val="ListBullet"/>
        <w:spacing w:after="40"/>
      </w:pPr>
      <w:r>
        <w:rPr>
          <w:rFonts w:ascii="Aptos" w:hAnsi="Aptos"/>
          <w:color w:val="152A3B"/>
          <w:sz w:val="19"/>
        </w:rPr>
        <w:t>Raw voice/audio not retained by default unless product policy requires/consents.</w:t>
      </w:r>
    </w:p>
    <w:p>
      <w:pPr>
        <w:pStyle w:val="ListBullet"/>
        <w:spacing w:after="40"/>
      </w:pPr>
      <w:r>
        <w:rPr>
          <w:rFonts w:ascii="Aptos" w:hAnsi="Aptos"/>
          <w:color w:val="152A3B"/>
          <w:sz w:val="19"/>
        </w:rPr>
        <w:t>Do not log full regulatory source documents repeatedly; log stable source/version IDs.</w:t>
      </w:r>
    </w:p>
    <w:p>
      <w:pPr>
        <w:pStyle w:val="Heading1"/>
      </w:pPr>
      <w:r>
        <w:t>14. Security and Privacy Engineering</w:t>
      </w:r>
    </w:p>
    <w:p>
      <w:pPr>
        <w:spacing w:after="60"/>
      </w:pPr>
      <w:r>
        <w:rPr>
          <w:rFonts w:ascii="Aptos" w:hAnsi="Aptos"/>
          <w:b/>
          <w:color w:val="081726"/>
          <w:sz w:val="19"/>
        </w:rPr>
        <w:t xml:space="preserve">1. </w:t>
      </w:r>
      <w:r>
        <w:rPr>
          <w:rFonts w:ascii="Aptos" w:hAnsi="Aptos"/>
          <w:color w:val="152A3B"/>
          <w:sz w:val="19"/>
        </w:rPr>
        <w:t>Threat-model learner, admin/SME, provider, content-ingestion and media-upload flows.</w:t>
      </w:r>
    </w:p>
    <w:p>
      <w:pPr>
        <w:spacing w:after="60"/>
      </w:pPr>
      <w:r>
        <w:rPr>
          <w:rFonts w:ascii="Aptos" w:hAnsi="Aptos"/>
          <w:b/>
          <w:color w:val="081726"/>
          <w:sz w:val="19"/>
        </w:rPr>
        <w:t xml:space="preserve">2. </w:t>
      </w:r>
      <w:r>
        <w:rPr>
          <w:rFonts w:ascii="Aptos" w:hAnsi="Aptos"/>
          <w:color w:val="152A3B"/>
          <w:sz w:val="19"/>
        </w:rPr>
        <w:t>Enforce authorization server-side on every tenant/admin resource.</w:t>
      </w:r>
    </w:p>
    <w:p>
      <w:pPr>
        <w:spacing w:after="60"/>
      </w:pPr>
      <w:r>
        <w:rPr>
          <w:rFonts w:ascii="Aptos" w:hAnsi="Aptos"/>
          <w:b/>
          <w:color w:val="081726"/>
          <w:sz w:val="19"/>
        </w:rPr>
        <w:t xml:space="preserve">3. </w:t>
      </w:r>
      <w:r>
        <w:rPr>
          <w:rFonts w:ascii="Aptos" w:hAnsi="Aptos"/>
          <w:color w:val="152A3B"/>
          <w:sz w:val="19"/>
        </w:rPr>
        <w:t>Use short-lived browser credentials for realtime providers; permanent provider keys stay server-side.</w:t>
      </w:r>
    </w:p>
    <w:p>
      <w:pPr>
        <w:spacing w:after="60"/>
      </w:pPr>
      <w:r>
        <w:rPr>
          <w:rFonts w:ascii="Aptos" w:hAnsi="Aptos"/>
          <w:b/>
          <w:color w:val="081726"/>
          <w:sz w:val="19"/>
        </w:rPr>
        <w:t xml:space="preserve">4. </w:t>
      </w:r>
      <w:r>
        <w:rPr>
          <w:rFonts w:ascii="Aptos" w:hAnsi="Aptos"/>
          <w:color w:val="152A3B"/>
          <w:sz w:val="19"/>
        </w:rPr>
        <w:t>Minimize context sent to AI/voice vendors and document provider retention/configuration.</w:t>
      </w:r>
    </w:p>
    <w:p>
      <w:pPr>
        <w:spacing w:after="60"/>
      </w:pPr>
      <w:r>
        <w:rPr>
          <w:rFonts w:ascii="Aptos" w:hAnsi="Aptos"/>
          <w:b/>
          <w:color w:val="081726"/>
          <w:sz w:val="19"/>
        </w:rPr>
        <w:t xml:space="preserve">5. </w:t>
      </w:r>
      <w:r>
        <w:rPr>
          <w:rFonts w:ascii="Aptos" w:hAnsi="Aptos"/>
          <w:color w:val="152A3B"/>
          <w:sz w:val="19"/>
        </w:rPr>
        <w:t>Protect founder cloned voice IDs/assets as privileged secrets/licensed brand assets.</w:t>
      </w:r>
    </w:p>
    <w:p>
      <w:pPr>
        <w:spacing w:after="60"/>
      </w:pPr>
      <w:r>
        <w:rPr>
          <w:rFonts w:ascii="Aptos" w:hAnsi="Aptos"/>
          <w:b/>
          <w:color w:val="081726"/>
          <w:sz w:val="19"/>
        </w:rPr>
        <w:t xml:space="preserve">6. </w:t>
      </w:r>
      <w:r>
        <w:rPr>
          <w:rFonts w:ascii="Aptos" w:hAnsi="Aptos"/>
          <w:color w:val="152A3B"/>
          <w:sz w:val="19"/>
        </w:rPr>
        <w:t>Use dependency, secret, SAST and container scanning in CI.</w:t>
      </w:r>
    </w:p>
    <w:p>
      <w:pPr>
        <w:spacing w:after="60"/>
      </w:pPr>
      <w:r>
        <w:rPr>
          <w:rFonts w:ascii="Aptos" w:hAnsi="Aptos"/>
          <w:b/>
          <w:color w:val="081726"/>
          <w:sz w:val="19"/>
        </w:rPr>
        <w:t xml:space="preserve">7. </w:t>
      </w:r>
      <w:r>
        <w:rPr>
          <w:rFonts w:ascii="Aptos" w:hAnsi="Aptos"/>
          <w:color w:val="152A3B"/>
          <w:sz w:val="19"/>
        </w:rPr>
        <w:t>Create audit trail for content publication, entitlements and privileged configuration.</w:t>
      </w:r>
    </w:p>
    <w:p>
      <w:pPr>
        <w:spacing w:after="60"/>
      </w:pPr>
      <w:r>
        <w:rPr>
          <w:rFonts w:ascii="Aptos" w:hAnsi="Aptos"/>
          <w:b/>
          <w:color w:val="081726"/>
          <w:sz w:val="19"/>
        </w:rPr>
        <w:t xml:space="preserve">8. </w:t>
      </w:r>
      <w:r>
        <w:rPr>
          <w:rFonts w:ascii="Aptos" w:hAnsi="Aptos"/>
          <w:color w:val="152A3B"/>
          <w:sz w:val="19"/>
        </w:rPr>
        <w:t>Define deletion/export/retention flows before enterprise sales.</w:t>
      </w:r>
    </w:p>
    <w:p>
      <w:pPr>
        <w:spacing w:after="60"/>
      </w:pPr>
      <w:r>
        <w:rPr>
          <w:rFonts w:ascii="Aptos" w:hAnsi="Aptos"/>
          <w:b/>
          <w:color w:val="081726"/>
          <w:sz w:val="19"/>
        </w:rPr>
        <w:t xml:space="preserve">9. </w:t>
      </w:r>
      <w:r>
        <w:rPr>
          <w:rFonts w:ascii="Aptos" w:hAnsi="Aptos"/>
          <w:color w:val="152A3B"/>
          <w:sz w:val="19"/>
        </w:rPr>
        <w:t>Review external-generated media provenance and licensing.</w:t>
      </w:r>
    </w:p>
    <w:p>
      <w:pPr>
        <w:spacing w:after="60"/>
      </w:pPr>
      <w:r>
        <w:rPr>
          <w:rFonts w:ascii="Aptos" w:hAnsi="Aptos"/>
          <w:b/>
          <w:color w:val="081726"/>
          <w:sz w:val="19"/>
        </w:rPr>
        <w:t xml:space="preserve">10. </w:t>
      </w:r>
      <w:r>
        <w:rPr>
          <w:rFonts w:ascii="Aptos" w:hAnsi="Aptos"/>
          <w:color w:val="152A3B"/>
          <w:sz w:val="19"/>
        </w:rPr>
        <w:t>Run periodic backup-restore and incident exercises.</w:t>
      </w:r>
    </w:p>
    <w:p>
      <w:pPr>
        <w:pStyle w:val="Heading1"/>
      </w:pPr>
      <w:r>
        <w:t>15. Cost and Provider Governance</w:t>
      </w:r>
    </w:p>
    <w:p>
      <w:pPr>
        <w:pStyle w:val="Heading2"/>
      </w:pPr>
      <w:r>
        <w:t>15.1 Unit-cost ledger</w:t>
      </w:r>
    </w:p>
    <w:p>
      <w:pPr>
        <w:spacing w:after="100"/>
      </w:pPr>
      <w:r>
        <w:rPr>
          <w:rFonts w:ascii="Aptos" w:hAnsi="Aptos"/>
          <w:b w:val="0"/>
          <w:color w:val="152A3B"/>
        </w:rPr>
        <w:t>Every external AI/media call records provider, model, feature, tenant/user/session, usage unit and estimated cost. This makes pricing and quotas evidence-based rather than guessing after launch.</w:t>
      </w:r>
    </w:p>
    <w:tbl>
      <w:tblPr>
        <w:tblStyle w:val="TableGrid"/>
        <w:tblW w:type="auto" w:w="0"/>
        <w:jc w:val="center"/>
        <w:tblLook w:firstColumn="1" w:firstRow="1" w:lastColumn="0" w:lastRow="0" w:noHBand="0" w:noVBand="1" w:val="04A0"/>
      </w:tblPr>
      <w:tblGrid>
        <w:gridCol w:w="5083"/>
        <w:gridCol w:w="5083"/>
      </w:tblGrid>
      <w:tr>
        <w:tc>
          <w:tcPr>
            <w:tcW w:type="dxa" w:w="259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Feature</w:t>
            </w:r>
          </w:p>
        </w:tc>
        <w:tc>
          <w:tcPr>
            <w:tcW w:type="dxa" w:w="748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Cost posture</w:t>
            </w:r>
          </w:p>
        </w:tc>
      </w:tr>
      <w:tr>
        <w:tc>
          <w:tcPr>
            <w:tcW w:type="dxa" w:w="2592"/>
            <w:vAlign w:val="center"/>
          </w:tcPr>
          <w:p>
            <w:r>
              <w:rPr>
                <w:rFonts w:ascii="Aptos" w:hAnsi="Aptos"/>
                <w:color w:val="152A3B"/>
                <w:sz w:val="16"/>
              </w:rPr>
              <w:t>Pre-rendered video</w:t>
            </w:r>
          </w:p>
        </w:tc>
        <w:tc>
          <w:tcPr>
            <w:tcW w:type="dxa" w:w="7488"/>
            <w:vAlign w:val="center"/>
          </w:tcPr>
          <w:p>
            <w:r>
              <w:rPr>
                <w:rFonts w:ascii="Aptos" w:hAnsi="Aptos"/>
                <w:color w:val="152A3B"/>
                <w:sz w:val="16"/>
              </w:rPr>
              <w:t>Generate once; amortize via CDN</w:t>
            </w:r>
          </w:p>
        </w:tc>
      </w:tr>
      <w:tr>
        <w:tc>
          <w:tcPr>
            <w:tcW w:type="dxa" w:w="2592"/>
            <w:shd w:fill="F8FAFB"/>
            <w:vAlign w:val="center"/>
          </w:tcPr>
          <w:p>
            <w:r>
              <w:rPr>
                <w:rFonts w:ascii="Aptos" w:hAnsi="Aptos"/>
                <w:color w:val="152A3B"/>
                <w:sz w:val="16"/>
              </w:rPr>
              <w:t>Text tutor</w:t>
            </w:r>
          </w:p>
        </w:tc>
        <w:tc>
          <w:tcPr>
            <w:tcW w:type="dxa" w:w="7488"/>
            <w:shd w:fill="F8FAFB"/>
            <w:vAlign w:val="center"/>
          </w:tcPr>
          <w:p>
            <w:r>
              <w:rPr>
                <w:rFonts w:ascii="Aptos" w:hAnsi="Aptos"/>
                <w:color w:val="152A3B"/>
                <w:sz w:val="16"/>
              </w:rPr>
              <w:t>Low/medium variable; cache safe reusable retrieval, not personalized answers</w:t>
            </w:r>
          </w:p>
        </w:tc>
      </w:tr>
      <w:tr>
        <w:tc>
          <w:tcPr>
            <w:tcW w:type="dxa" w:w="2592"/>
            <w:vAlign w:val="center"/>
          </w:tcPr>
          <w:p>
            <w:r>
              <w:rPr>
                <w:rFonts w:ascii="Aptos" w:hAnsi="Aptos"/>
                <w:color w:val="152A3B"/>
                <w:sz w:val="16"/>
              </w:rPr>
              <w:t>Realtime voice</w:t>
            </w:r>
          </w:p>
        </w:tc>
        <w:tc>
          <w:tcPr>
            <w:tcW w:type="dxa" w:w="7488"/>
            <w:vAlign w:val="center"/>
          </w:tcPr>
          <w:p>
            <w:r>
              <w:rPr>
                <w:rFonts w:ascii="Aptos" w:hAnsi="Aptos"/>
                <w:color w:val="152A3B"/>
                <w:sz w:val="16"/>
              </w:rPr>
              <w:t>Higher variable; quota/fair-use and premium plan candidate</w:t>
            </w:r>
          </w:p>
        </w:tc>
      </w:tr>
      <w:tr>
        <w:tc>
          <w:tcPr>
            <w:tcW w:type="dxa" w:w="2592"/>
            <w:shd w:fill="F8FAFB"/>
            <w:vAlign w:val="center"/>
          </w:tcPr>
          <w:p>
            <w:r>
              <w:rPr>
                <w:rFonts w:ascii="Aptos" w:hAnsi="Aptos"/>
                <w:color w:val="152A3B"/>
                <w:sz w:val="16"/>
              </w:rPr>
              <w:t>Live avatar</w:t>
            </w:r>
          </w:p>
        </w:tc>
        <w:tc>
          <w:tcPr>
            <w:tcW w:type="dxa" w:w="7488"/>
            <w:shd w:fill="F8FAFB"/>
            <w:vAlign w:val="center"/>
          </w:tcPr>
          <w:p>
            <w:r>
              <w:rPr>
                <w:rFonts w:ascii="Aptos" w:hAnsi="Aptos"/>
                <w:color w:val="152A3B"/>
                <w:sz w:val="16"/>
              </w:rPr>
              <w:t>High variable/optional; premium/feature flag</w:t>
            </w:r>
          </w:p>
        </w:tc>
      </w:tr>
      <w:tr>
        <w:tc>
          <w:tcPr>
            <w:tcW w:type="dxa" w:w="2592"/>
            <w:vAlign w:val="center"/>
          </w:tcPr>
          <w:p>
            <w:r>
              <w:rPr>
                <w:rFonts w:ascii="Aptos" w:hAnsi="Aptos"/>
                <w:color w:val="152A3B"/>
                <w:sz w:val="16"/>
              </w:rPr>
              <w:t>Image generation</w:t>
            </w:r>
          </w:p>
        </w:tc>
        <w:tc>
          <w:tcPr>
            <w:tcW w:type="dxa" w:w="7488"/>
            <w:vAlign w:val="center"/>
          </w:tcPr>
          <w:p>
            <w:r>
              <w:rPr>
                <w:rFonts w:ascii="Aptos" w:hAnsi="Aptos"/>
                <w:color w:val="152A3B"/>
                <w:sz w:val="16"/>
              </w:rPr>
              <w:t>Offline content cost; budget per lesson version</w:t>
            </w:r>
          </w:p>
        </w:tc>
      </w:tr>
      <w:tr>
        <w:tc>
          <w:tcPr>
            <w:tcW w:type="dxa" w:w="2592"/>
            <w:shd w:fill="F8FAFB"/>
            <w:vAlign w:val="center"/>
          </w:tcPr>
          <w:p>
            <w:r>
              <w:rPr>
                <w:rFonts w:ascii="Aptos" w:hAnsi="Aptos"/>
                <w:color w:val="152A3B"/>
                <w:sz w:val="16"/>
              </w:rPr>
              <w:t>Generative video</w:t>
            </w:r>
          </w:p>
        </w:tc>
        <w:tc>
          <w:tcPr>
            <w:tcW w:type="dxa" w:w="7488"/>
            <w:shd w:fill="F8FAFB"/>
            <w:vAlign w:val="center"/>
          </w:tcPr>
          <w:p>
            <w:r>
              <w:rPr>
                <w:rFonts w:ascii="Aptos" w:hAnsi="Aptos"/>
                <w:color w:val="152A3B"/>
                <w:sz w:val="16"/>
              </w:rPr>
              <w:t>Offline selective premium scenes only</w:t>
            </w:r>
          </w:p>
        </w:tc>
      </w:tr>
      <w:tr>
        <w:tc>
          <w:tcPr>
            <w:tcW w:type="dxa" w:w="2592"/>
            <w:vAlign w:val="center"/>
          </w:tcPr>
          <w:p>
            <w:r>
              <w:rPr>
                <w:rFonts w:ascii="Aptos" w:hAnsi="Aptos"/>
                <w:color w:val="152A3B"/>
                <w:sz w:val="16"/>
              </w:rPr>
              <w:t>Embeddings</w:t>
            </w:r>
          </w:p>
        </w:tc>
        <w:tc>
          <w:tcPr>
            <w:tcW w:type="dxa" w:w="7488"/>
            <w:vAlign w:val="center"/>
          </w:tcPr>
          <w:p>
            <w:r>
              <w:rPr>
                <w:rFonts w:ascii="Aptos" w:hAnsi="Aptos"/>
                <w:color w:val="152A3B"/>
                <w:sz w:val="16"/>
              </w:rPr>
              <w:t>Content-version driven, not per page view</w:t>
            </w:r>
          </w:p>
        </w:tc>
      </w:tr>
    </w:tbl>
    <w:p>
      <w:pPr>
        <w:spacing w:after="20"/>
      </w:pPr>
    </w:p>
    <w:p>
      <w:pPr>
        <w:pStyle w:val="Heading2"/>
      </w:pPr>
      <w:r>
        <w:t>15.2 Provider failure strategy</w:t>
      </w:r>
    </w:p>
    <w:p>
      <w:pPr>
        <w:pStyle w:val="ListBullet"/>
        <w:spacing w:after="40"/>
      </w:pPr>
      <w:r>
        <w:rPr>
          <w:rFonts w:ascii="Aptos" w:hAnsi="Aptos"/>
          <w:color w:val="152A3B"/>
          <w:sz w:val="19"/>
        </w:rPr>
        <w:t>Circuit breaker/timeouts.</w:t>
      </w:r>
    </w:p>
    <w:p>
      <w:pPr>
        <w:pStyle w:val="ListBullet"/>
        <w:spacing w:after="40"/>
      </w:pPr>
      <w:r>
        <w:rPr>
          <w:rFonts w:ascii="Aptos" w:hAnsi="Aptos"/>
          <w:color w:val="152A3B"/>
          <w:sz w:val="19"/>
        </w:rPr>
        <w:t>Fallback provider or degraded text-only mode where practical.</w:t>
      </w:r>
    </w:p>
    <w:p>
      <w:pPr>
        <w:pStyle w:val="ListBullet"/>
        <w:spacing w:after="40"/>
      </w:pPr>
      <w:r>
        <w:rPr>
          <w:rFonts w:ascii="Aptos" w:hAnsi="Aptos"/>
          <w:color w:val="152A3B"/>
          <w:sz w:val="19"/>
        </w:rPr>
        <w:t>No lesson should become unwatchable because avatar/voice provider is down.</w:t>
      </w:r>
    </w:p>
    <w:p>
      <w:pPr>
        <w:pStyle w:val="ListBullet"/>
        <w:spacing w:after="40"/>
      </w:pPr>
      <w:r>
        <w:rPr>
          <w:rFonts w:ascii="Aptos" w:hAnsi="Aptos"/>
          <w:color w:val="152A3B"/>
          <w:sz w:val="19"/>
        </w:rPr>
        <w:t>Provider contract responses translated into our stable internal interface.</w:t>
      </w:r>
    </w:p>
    <w:p>
      <w:pPr>
        <w:pStyle w:val="Heading1"/>
      </w:pPr>
      <w:r>
        <w:t>16. Release and Incident Management</w:t>
      </w:r>
    </w:p>
    <w:p>
      <w:pPr>
        <w:pStyle w:val="Heading2"/>
      </w:pPr>
      <w:r>
        <w:t>16.1 Two release streams</w:t>
      </w:r>
    </w:p>
    <w:tbl>
      <w:tblPr>
        <w:tblStyle w:val="TableGrid"/>
        <w:tblW w:type="auto" w:w="0"/>
        <w:jc w:val="center"/>
        <w:tblLook w:firstColumn="1" w:firstRow="1" w:lastColumn="0" w:lastRow="0" w:noHBand="0" w:noVBand="1" w:val="04A0"/>
      </w:tblPr>
      <w:tblGrid>
        <w:gridCol w:w="5083"/>
        <w:gridCol w:w="5083"/>
      </w:tblGrid>
      <w:tr>
        <w:tc>
          <w:tcPr>
            <w:tcW w:type="dxa" w:w="511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Application release</w:t>
            </w:r>
          </w:p>
        </w:tc>
        <w:tc>
          <w:tcPr>
            <w:tcW w:type="dxa" w:w="511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Content release</w:t>
            </w:r>
          </w:p>
        </w:tc>
      </w:tr>
      <w:tr>
        <w:tc>
          <w:tcPr>
            <w:tcW w:type="dxa" w:w="5112"/>
            <w:vAlign w:val="center"/>
          </w:tcPr>
          <w:p>
            <w:r>
              <w:rPr>
                <w:rFonts w:ascii="Aptos" w:hAnsi="Aptos"/>
                <w:color w:val="152A3B"/>
                <w:sz w:val="16"/>
              </w:rPr>
              <w:t>Code/infrastructure release through CI/CD</w:t>
            </w:r>
          </w:p>
        </w:tc>
        <w:tc>
          <w:tcPr>
            <w:tcW w:type="dxa" w:w="5112"/>
            <w:vAlign w:val="center"/>
          </w:tcPr>
          <w:p>
            <w:r>
              <w:rPr>
                <w:rFonts w:ascii="Aptos" w:hAnsi="Aptos"/>
                <w:color w:val="152A3B"/>
                <w:sz w:val="16"/>
              </w:rPr>
              <w:t>Rule/lesson/media publication through SME workflow</w:t>
            </w:r>
          </w:p>
        </w:tc>
      </w:tr>
      <w:tr>
        <w:tc>
          <w:tcPr>
            <w:tcW w:type="dxa" w:w="5112"/>
            <w:shd w:fill="F8FAFB"/>
            <w:vAlign w:val="center"/>
          </w:tcPr>
          <w:p>
            <w:r>
              <w:rPr>
                <w:rFonts w:ascii="Aptos" w:hAnsi="Aptos"/>
                <w:color w:val="152A3B"/>
                <w:sz w:val="16"/>
              </w:rPr>
              <w:t>Can rollback container version</w:t>
            </w:r>
          </w:p>
        </w:tc>
        <w:tc>
          <w:tcPr>
            <w:tcW w:type="dxa" w:w="5112"/>
            <w:shd w:fill="F8FAFB"/>
            <w:vAlign w:val="center"/>
          </w:tcPr>
          <w:p>
            <w:r>
              <w:rPr>
                <w:rFonts w:ascii="Aptos" w:hAnsi="Aptos"/>
                <w:color w:val="152A3B"/>
                <w:sz w:val="16"/>
              </w:rPr>
              <w:t>Can unpublish/supersede lesson version</w:t>
            </w:r>
          </w:p>
        </w:tc>
      </w:tr>
      <w:tr>
        <w:tc>
          <w:tcPr>
            <w:tcW w:type="dxa" w:w="5112"/>
            <w:vAlign w:val="center"/>
          </w:tcPr>
          <w:p>
            <w:r>
              <w:rPr>
                <w:rFonts w:ascii="Aptos" w:hAnsi="Aptos"/>
                <w:color w:val="152A3B"/>
                <w:sz w:val="16"/>
              </w:rPr>
              <w:t>Engineering approval</w:t>
            </w:r>
          </w:p>
        </w:tc>
        <w:tc>
          <w:tcPr>
            <w:tcW w:type="dxa" w:w="5112"/>
            <w:vAlign w:val="center"/>
          </w:tcPr>
          <w:p>
            <w:r>
              <w:rPr>
                <w:rFonts w:ascii="Aptos" w:hAnsi="Aptos"/>
                <w:color w:val="152A3B"/>
                <w:sz w:val="16"/>
              </w:rPr>
              <w:t>SME + editorial/calculation approval</w:t>
            </w:r>
          </w:p>
        </w:tc>
      </w:tr>
      <w:tr>
        <w:tc>
          <w:tcPr>
            <w:tcW w:type="dxa" w:w="5112"/>
            <w:shd w:fill="F8FAFB"/>
            <w:vAlign w:val="center"/>
          </w:tcPr>
          <w:p>
            <w:r>
              <w:rPr>
                <w:rFonts w:ascii="Aptos" w:hAnsi="Aptos"/>
                <w:color w:val="152A3B"/>
                <w:sz w:val="16"/>
              </w:rPr>
              <w:t>Versioned artifact/image</w:t>
            </w:r>
          </w:p>
        </w:tc>
        <w:tc>
          <w:tcPr>
            <w:tcW w:type="dxa" w:w="5112"/>
            <w:shd w:fill="F8FAFB"/>
            <w:vAlign w:val="center"/>
          </w:tcPr>
          <w:p>
            <w:r>
              <w:rPr>
                <w:rFonts w:ascii="Aptos" w:hAnsi="Aptos"/>
                <w:color w:val="152A3B"/>
                <w:sz w:val="16"/>
              </w:rPr>
              <w:t>Immutable lesson version</w:t>
            </w:r>
          </w:p>
        </w:tc>
      </w:tr>
    </w:tbl>
    <w:p>
      <w:pPr>
        <w:spacing w:after="20"/>
      </w:pPr>
    </w:p>
    <w:p>
      <w:pPr>
        <w:pStyle w:val="Heading2"/>
      </w:pPr>
      <w:r>
        <w:t>16.2 Regulatory-content severity</w:t>
      </w:r>
    </w:p>
    <w:p>
      <w:pPr>
        <w:spacing w:after="100"/>
      </w:pPr>
      <w:r>
        <w:rPr>
          <w:rFonts w:ascii="Aptos" w:hAnsi="Aptos"/>
          <w:b w:val="0"/>
          <w:color w:val="152A3B"/>
        </w:rPr>
        <w:t>A materially wrong regulatory explanation/calculation can be as serious as an application outage. Treat widespread authoritative content/calculation error as a high-severity incident: unpublish/flag, preserve audit history, identify affected learners, correct through a new version, rerun all tests/evals and communicate the correction where appropriate.</w:t>
      </w:r>
    </w:p>
    <w:p>
      <w:pPr>
        <w:pStyle w:val="Heading1"/>
      </w:pPr>
      <w:r>
        <w:t>17. Enterprise Deployment Evolution</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Stage</w:t>
            </w:r>
          </w:p>
        </w:tc>
        <w:tc>
          <w:tcPr>
            <w:tcW w:type="dxa" w:w="4608"/>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Deployment model</w:t>
            </w:r>
          </w:p>
        </w:tc>
        <w:tc>
          <w:tcPr>
            <w:tcW w:type="dxa" w:w="374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Trigger</w:t>
            </w:r>
          </w:p>
        </w:tc>
      </w:tr>
      <w:tr>
        <w:tc>
          <w:tcPr>
            <w:tcW w:type="dxa" w:w="1728"/>
            <w:vAlign w:val="center"/>
          </w:tcPr>
          <w:p>
            <w:r>
              <w:rPr>
                <w:rFonts w:ascii="Aptos" w:hAnsi="Aptos"/>
                <w:color w:val="152A3B"/>
                <w:sz w:val="16"/>
              </w:rPr>
              <w:t>1 — Public/B2C SaaS</w:t>
            </w:r>
          </w:p>
        </w:tc>
        <w:tc>
          <w:tcPr>
            <w:tcW w:type="dxa" w:w="4608"/>
            <w:vAlign w:val="center"/>
          </w:tcPr>
          <w:p>
            <w:r>
              <w:rPr>
                <w:rFonts w:ascii="Aptos" w:hAnsi="Aptos"/>
                <w:color w:val="152A3B"/>
                <w:sz w:val="16"/>
              </w:rPr>
              <w:t>Shared app, tenant-aware data, single region Multi-AZ</w:t>
            </w:r>
          </w:p>
        </w:tc>
        <w:tc>
          <w:tcPr>
            <w:tcW w:type="dxa" w:w="3744"/>
            <w:vAlign w:val="center"/>
          </w:tcPr>
          <w:p>
            <w:r>
              <w:rPr>
                <w:rFonts w:ascii="Aptos" w:hAnsi="Aptos"/>
                <w:color w:val="152A3B"/>
                <w:sz w:val="16"/>
              </w:rPr>
              <w:t>Golden Lesson / early paid users</w:t>
            </w:r>
          </w:p>
        </w:tc>
      </w:tr>
      <w:tr>
        <w:tc>
          <w:tcPr>
            <w:tcW w:type="dxa" w:w="1728"/>
            <w:shd w:fill="F8FAFB"/>
            <w:vAlign w:val="center"/>
          </w:tcPr>
          <w:p>
            <w:r>
              <w:rPr>
                <w:rFonts w:ascii="Aptos" w:hAnsi="Aptos"/>
                <w:color w:val="152A3B"/>
                <w:sz w:val="16"/>
              </w:rPr>
              <w:t>2 — Enterprise SaaS</w:t>
            </w:r>
          </w:p>
        </w:tc>
        <w:tc>
          <w:tcPr>
            <w:tcW w:type="dxa" w:w="4608"/>
            <w:shd w:fill="F8FAFB"/>
            <w:vAlign w:val="center"/>
          </w:tcPr>
          <w:p>
            <w:r>
              <w:rPr>
                <w:rFonts w:ascii="Aptos" w:hAnsi="Aptos"/>
                <w:color w:val="152A3B"/>
                <w:sz w:val="16"/>
              </w:rPr>
              <w:t>Organizations, SSO/SAML/OIDC, SCIM, stronger audit/retention</w:t>
            </w:r>
          </w:p>
        </w:tc>
        <w:tc>
          <w:tcPr>
            <w:tcW w:type="dxa" w:w="3744"/>
            <w:shd w:fill="F8FAFB"/>
            <w:vAlign w:val="center"/>
          </w:tcPr>
          <w:p>
            <w:r>
              <w:rPr>
                <w:rFonts w:ascii="Aptos" w:hAnsi="Aptos"/>
                <w:color w:val="152A3B"/>
                <w:sz w:val="16"/>
              </w:rPr>
              <w:t>First bank/team contracts</w:t>
            </w:r>
          </w:p>
        </w:tc>
      </w:tr>
      <w:tr>
        <w:tc>
          <w:tcPr>
            <w:tcW w:type="dxa" w:w="1728"/>
            <w:vAlign w:val="center"/>
          </w:tcPr>
          <w:p>
            <w:r>
              <w:rPr>
                <w:rFonts w:ascii="Aptos" w:hAnsi="Aptos"/>
                <w:color w:val="152A3B"/>
                <w:sz w:val="16"/>
              </w:rPr>
              <w:t>3 — Regional tenancy</w:t>
            </w:r>
          </w:p>
        </w:tc>
        <w:tc>
          <w:tcPr>
            <w:tcW w:type="dxa" w:w="4608"/>
            <w:vAlign w:val="center"/>
          </w:tcPr>
          <w:p>
            <w:r>
              <w:rPr>
                <w:rFonts w:ascii="Aptos" w:hAnsi="Aptos"/>
                <w:color w:val="152A3B"/>
                <w:sz w:val="16"/>
              </w:rPr>
              <w:t>Regional database/media plane or dedicated tenant</w:t>
            </w:r>
          </w:p>
        </w:tc>
        <w:tc>
          <w:tcPr>
            <w:tcW w:type="dxa" w:w="3744"/>
            <w:vAlign w:val="center"/>
          </w:tcPr>
          <w:p>
            <w:r>
              <w:rPr>
                <w:rFonts w:ascii="Aptos" w:hAnsi="Aptos"/>
                <w:color w:val="152A3B"/>
                <w:sz w:val="16"/>
              </w:rPr>
              <w:t>Data-residency/customer contract</w:t>
            </w:r>
          </w:p>
        </w:tc>
      </w:tr>
      <w:tr>
        <w:tc>
          <w:tcPr>
            <w:tcW w:type="dxa" w:w="1728"/>
            <w:shd w:fill="F8FAFB"/>
            <w:vAlign w:val="center"/>
          </w:tcPr>
          <w:p>
            <w:r>
              <w:rPr>
                <w:rFonts w:ascii="Aptos" w:hAnsi="Aptos"/>
                <w:color w:val="152A3B"/>
                <w:sz w:val="16"/>
              </w:rPr>
              <w:t>4 — Dedicated VPC</w:t>
            </w:r>
          </w:p>
        </w:tc>
        <w:tc>
          <w:tcPr>
            <w:tcW w:type="dxa" w:w="4608"/>
            <w:shd w:fill="F8FAFB"/>
            <w:vAlign w:val="center"/>
          </w:tcPr>
          <w:p>
            <w:r>
              <w:rPr>
                <w:rFonts w:ascii="Aptos" w:hAnsi="Aptos"/>
                <w:color w:val="152A3B"/>
                <w:sz w:val="16"/>
              </w:rPr>
              <w:t>Separate infrastructure/account/VPC, private networking</w:t>
            </w:r>
          </w:p>
        </w:tc>
        <w:tc>
          <w:tcPr>
            <w:tcW w:type="dxa" w:w="3744"/>
            <w:shd w:fill="F8FAFB"/>
            <w:vAlign w:val="center"/>
          </w:tcPr>
          <w:p>
            <w:r>
              <w:rPr>
                <w:rFonts w:ascii="Aptos" w:hAnsi="Aptos"/>
                <w:color w:val="152A3B"/>
                <w:sz w:val="16"/>
              </w:rPr>
              <w:t>Large regulated customer</w:t>
            </w:r>
          </w:p>
        </w:tc>
      </w:tr>
      <w:tr>
        <w:tc>
          <w:tcPr>
            <w:tcW w:type="dxa" w:w="1728"/>
            <w:vAlign w:val="center"/>
          </w:tcPr>
          <w:p>
            <w:r>
              <w:rPr>
                <w:rFonts w:ascii="Aptos" w:hAnsi="Aptos"/>
                <w:color w:val="152A3B"/>
                <w:sz w:val="16"/>
              </w:rPr>
              <w:t>5 — Customer-hosted/on-prem</w:t>
            </w:r>
          </w:p>
        </w:tc>
        <w:tc>
          <w:tcPr>
            <w:tcW w:type="dxa" w:w="4608"/>
            <w:vAlign w:val="center"/>
          </w:tcPr>
          <w:p>
            <w:r>
              <w:rPr>
                <w:rFonts w:ascii="Aptos" w:hAnsi="Aptos"/>
                <w:color w:val="152A3B"/>
                <w:sz w:val="16"/>
              </w:rPr>
              <w:t>Packaged deployment; possibly Kubernetes</w:t>
            </w:r>
          </w:p>
        </w:tc>
        <w:tc>
          <w:tcPr>
            <w:tcW w:type="dxa" w:w="3744"/>
            <w:vAlign w:val="center"/>
          </w:tcPr>
          <w:p>
            <w:r>
              <w:rPr>
                <w:rFonts w:ascii="Aptos" w:hAnsi="Aptos"/>
                <w:color w:val="152A3B"/>
                <w:sz w:val="16"/>
              </w:rPr>
              <w:t>Only when commercial demand justifies support burden</w:t>
            </w:r>
          </w:p>
        </w:tc>
      </w:tr>
    </w:tbl>
    <w:p>
      <w:pPr>
        <w:spacing w:after="20"/>
      </w:pPr>
    </w:p>
    <w:p>
      <w:pPr>
        <w:pStyle w:val="Heading1"/>
      </w:pPr>
      <w:r>
        <w:t>18. Agent Skills and Markdown Governance</w:t>
      </w:r>
    </w:p>
    <w:p>
      <w:pPr>
        <w:spacing w:after="100"/>
      </w:pPr>
      <w:r>
        <w:rPr>
          <w:rFonts w:ascii="Aptos" w:hAnsi="Aptos"/>
          <w:b w:val="0"/>
          <w:color w:val="152A3B"/>
        </w:rPr>
        <w:t>The companion Developer Agent Starter Pack includes repository-level instructions. Coding agents must read `AGENTS.md` first and task-specific `SKILL.md` files before making changes.</w:t>
      </w:r>
    </w:p>
    <w:tbl>
      <w:tblPr>
        <w:tblStyle w:val="TableGrid"/>
        <w:tblW w:type="auto" w:w="0"/>
        <w:jc w:val="center"/>
        <w:tblLook w:firstColumn="1" w:firstRow="1" w:lastColumn="0" w:lastRow="0" w:noHBand="0" w:noVBand="1" w:val="04A0"/>
      </w:tblPr>
      <w:tblGrid>
        <w:gridCol w:w="5083"/>
        <w:gridCol w:w="5083"/>
      </w:tblGrid>
      <w:tr>
        <w:tc>
          <w:tcPr>
            <w:tcW w:type="dxa" w:w="345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File/skill</w:t>
            </w:r>
          </w:p>
        </w:tc>
        <w:tc>
          <w:tcPr>
            <w:tcW w:type="dxa" w:w="6624"/>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6"/>
              </w:rPr>
              <w:t>Purpose</w:t>
            </w:r>
          </w:p>
        </w:tc>
      </w:tr>
      <w:tr>
        <w:tc>
          <w:tcPr>
            <w:tcW w:type="dxa" w:w="3456"/>
            <w:vAlign w:val="center"/>
          </w:tcPr>
          <w:p>
            <w:r>
              <w:rPr>
                <w:rFonts w:ascii="Aptos" w:hAnsi="Aptos"/>
                <w:color w:val="152A3B"/>
                <w:sz w:val="16"/>
              </w:rPr>
              <w:t>AGENTS.md</w:t>
            </w:r>
          </w:p>
        </w:tc>
        <w:tc>
          <w:tcPr>
            <w:tcW w:type="dxa" w:w="6624"/>
            <w:vAlign w:val="center"/>
          </w:tcPr>
          <w:p>
            <w:r>
              <w:rPr>
                <w:rFonts w:ascii="Aptos" w:hAnsi="Aptos"/>
                <w:color w:val="152A3B"/>
                <w:sz w:val="16"/>
              </w:rPr>
              <w:t>Non-negotiable coding/architecture rules for AI agents</w:t>
            </w:r>
          </w:p>
        </w:tc>
      </w:tr>
      <w:tr>
        <w:tc>
          <w:tcPr>
            <w:tcW w:type="dxa" w:w="3456"/>
            <w:shd w:fill="F8FAFB"/>
            <w:vAlign w:val="center"/>
          </w:tcPr>
          <w:p>
            <w:r>
              <w:rPr>
                <w:rFonts w:ascii="Aptos" w:hAnsi="Aptos"/>
                <w:color w:val="152A3B"/>
                <w:sz w:val="16"/>
              </w:rPr>
              <w:t>docs/ARCHITECTURE.md</w:t>
            </w:r>
          </w:p>
        </w:tc>
        <w:tc>
          <w:tcPr>
            <w:tcW w:type="dxa" w:w="6624"/>
            <w:shd w:fill="F8FAFB"/>
            <w:vAlign w:val="center"/>
          </w:tcPr>
          <w:p>
            <w:r>
              <w:rPr>
                <w:rFonts w:ascii="Aptos" w:hAnsi="Aptos"/>
                <w:color w:val="152A3B"/>
                <w:sz w:val="16"/>
              </w:rPr>
              <w:t>Dependency boundaries and topology</w:t>
            </w:r>
          </w:p>
        </w:tc>
      </w:tr>
      <w:tr>
        <w:tc>
          <w:tcPr>
            <w:tcW w:type="dxa" w:w="3456"/>
            <w:vAlign w:val="center"/>
          </w:tcPr>
          <w:p>
            <w:r>
              <w:rPr>
                <w:rFonts w:ascii="Aptos" w:hAnsi="Aptos"/>
                <w:color w:val="152A3B"/>
                <w:sz w:val="16"/>
              </w:rPr>
              <w:t>docs/CODING_STANDARDS.md</w:t>
            </w:r>
          </w:p>
        </w:tc>
        <w:tc>
          <w:tcPr>
            <w:tcW w:type="dxa" w:w="6624"/>
            <w:vAlign w:val="center"/>
          </w:tcPr>
          <w:p>
            <w:r>
              <w:rPr>
                <w:rFonts w:ascii="Aptos" w:hAnsi="Aptos"/>
                <w:color w:val="152A3B"/>
                <w:sz w:val="16"/>
              </w:rPr>
              <w:t>Python/TypeScript quality conventions</w:t>
            </w:r>
          </w:p>
        </w:tc>
      </w:tr>
      <w:tr>
        <w:tc>
          <w:tcPr>
            <w:tcW w:type="dxa" w:w="3456"/>
            <w:shd w:fill="F8FAFB"/>
            <w:vAlign w:val="center"/>
          </w:tcPr>
          <w:p>
            <w:r>
              <w:rPr>
                <w:rFonts w:ascii="Aptos" w:hAnsi="Aptos"/>
                <w:color w:val="152A3B"/>
                <w:sz w:val="16"/>
              </w:rPr>
              <w:t>docs/TESTING_STRATEGY.md</w:t>
            </w:r>
          </w:p>
        </w:tc>
        <w:tc>
          <w:tcPr>
            <w:tcW w:type="dxa" w:w="6624"/>
            <w:shd w:fill="F8FAFB"/>
            <w:vAlign w:val="center"/>
          </w:tcPr>
          <w:p>
            <w:r>
              <w:rPr>
                <w:rFonts w:ascii="Aptos" w:hAnsi="Aptos"/>
                <w:color w:val="152A3B"/>
                <w:sz w:val="16"/>
              </w:rPr>
              <w:t>Golden calculation + E2E + AI gates</w:t>
            </w:r>
          </w:p>
        </w:tc>
      </w:tr>
      <w:tr>
        <w:tc>
          <w:tcPr>
            <w:tcW w:type="dxa" w:w="3456"/>
            <w:vAlign w:val="center"/>
          </w:tcPr>
          <w:p>
            <w:r>
              <w:rPr>
                <w:rFonts w:ascii="Aptos" w:hAnsi="Aptos"/>
                <w:color w:val="152A3B"/>
                <w:sz w:val="16"/>
              </w:rPr>
              <w:t>docs/AI_TUTOR_POLICY.md</w:t>
            </w:r>
          </w:p>
        </w:tc>
        <w:tc>
          <w:tcPr>
            <w:tcW w:type="dxa" w:w="6624"/>
            <w:vAlign w:val="center"/>
          </w:tcPr>
          <w:p>
            <w:r>
              <w:rPr>
                <w:rFonts w:ascii="Aptos" w:hAnsi="Aptos"/>
                <w:color w:val="152A3B"/>
                <w:sz w:val="16"/>
              </w:rPr>
              <w:t>Grounding, tutor modes, forbidden behavior</w:t>
            </w:r>
          </w:p>
        </w:tc>
      </w:tr>
      <w:tr>
        <w:tc>
          <w:tcPr>
            <w:tcW w:type="dxa" w:w="3456"/>
            <w:shd w:fill="F8FAFB"/>
            <w:vAlign w:val="center"/>
          </w:tcPr>
          <w:p>
            <w:r>
              <w:rPr>
                <w:rFonts w:ascii="Aptos" w:hAnsi="Aptos"/>
                <w:color w:val="152A3B"/>
                <w:sz w:val="16"/>
              </w:rPr>
              <w:t>docs/REGULATORY_CONTENT_POLICY.md</w:t>
            </w:r>
          </w:p>
        </w:tc>
        <w:tc>
          <w:tcPr>
            <w:tcW w:type="dxa" w:w="6624"/>
            <w:shd w:fill="F8FAFB"/>
            <w:vAlign w:val="center"/>
          </w:tcPr>
          <w:p>
            <w:r>
              <w:rPr>
                <w:rFonts w:ascii="Aptos" w:hAnsi="Aptos"/>
                <w:color w:val="152A3B"/>
                <w:sz w:val="16"/>
              </w:rPr>
              <w:t>Source/status/SME publication rules</w:t>
            </w:r>
          </w:p>
        </w:tc>
      </w:tr>
      <w:tr>
        <w:tc>
          <w:tcPr>
            <w:tcW w:type="dxa" w:w="3456"/>
            <w:vAlign w:val="center"/>
          </w:tcPr>
          <w:p>
            <w:r>
              <w:rPr>
                <w:rFonts w:ascii="Aptos" w:hAnsi="Aptos"/>
                <w:color w:val="152A3B"/>
                <w:sz w:val="16"/>
              </w:rPr>
              <w:t>docs/DEPLOYMENT.md</w:t>
            </w:r>
          </w:p>
        </w:tc>
        <w:tc>
          <w:tcPr>
            <w:tcW w:type="dxa" w:w="6624"/>
            <w:vAlign w:val="center"/>
          </w:tcPr>
          <w:p>
            <w:r>
              <w:rPr>
                <w:rFonts w:ascii="Aptos" w:hAnsi="Aptos"/>
                <w:color w:val="152A3B"/>
                <w:sz w:val="16"/>
              </w:rPr>
              <w:t>Environment and AWS reference strategy</w:t>
            </w:r>
          </w:p>
        </w:tc>
      </w:tr>
      <w:tr>
        <w:tc>
          <w:tcPr>
            <w:tcW w:type="dxa" w:w="3456"/>
            <w:shd w:fill="F8FAFB"/>
            <w:vAlign w:val="center"/>
          </w:tcPr>
          <w:p>
            <w:r>
              <w:rPr>
                <w:rFonts w:ascii="Aptos" w:hAnsi="Aptos"/>
                <w:color w:val="152A3B"/>
                <w:sz w:val="16"/>
              </w:rPr>
              <w:t>skills/regulatory-content-authoring</w:t>
            </w:r>
          </w:p>
        </w:tc>
        <w:tc>
          <w:tcPr>
            <w:tcW w:type="dxa" w:w="6624"/>
            <w:shd w:fill="F8FAFB"/>
            <w:vAlign w:val="center"/>
          </w:tcPr>
          <w:p>
            <w:r>
              <w:rPr>
                <w:rFonts w:ascii="Aptos" w:hAnsi="Aptos"/>
                <w:color w:val="152A3B"/>
                <w:sz w:val="16"/>
              </w:rPr>
              <w:t>Checklist for rule/lesson changes</w:t>
            </w:r>
          </w:p>
        </w:tc>
      </w:tr>
      <w:tr>
        <w:tc>
          <w:tcPr>
            <w:tcW w:type="dxa" w:w="3456"/>
            <w:vAlign w:val="center"/>
          </w:tcPr>
          <w:p>
            <w:r>
              <w:rPr>
                <w:rFonts w:ascii="Aptos" w:hAnsi="Aptos"/>
                <w:color w:val="152A3B"/>
                <w:sz w:val="16"/>
              </w:rPr>
              <w:t>skills/ai-tutor-evaluation</w:t>
            </w:r>
          </w:p>
        </w:tc>
        <w:tc>
          <w:tcPr>
            <w:tcW w:type="dxa" w:w="6624"/>
            <w:vAlign w:val="center"/>
          </w:tcPr>
          <w:p>
            <w:r>
              <w:rPr>
                <w:rFonts w:ascii="Aptos" w:hAnsi="Aptos"/>
                <w:color w:val="152A3B"/>
                <w:sz w:val="16"/>
              </w:rPr>
              <w:t>Mandatory eval workflow</w:t>
            </w:r>
          </w:p>
        </w:tc>
      </w:tr>
      <w:tr>
        <w:tc>
          <w:tcPr>
            <w:tcW w:type="dxa" w:w="3456"/>
            <w:shd w:fill="F8FAFB"/>
            <w:vAlign w:val="center"/>
          </w:tcPr>
          <w:p>
            <w:r>
              <w:rPr>
                <w:rFonts w:ascii="Aptos" w:hAnsi="Aptos"/>
                <w:color w:val="152A3B"/>
                <w:sz w:val="16"/>
              </w:rPr>
              <w:t>skills/release-quality-gate</w:t>
            </w:r>
          </w:p>
        </w:tc>
        <w:tc>
          <w:tcPr>
            <w:tcW w:type="dxa" w:w="6624"/>
            <w:shd w:fill="F8FAFB"/>
            <w:vAlign w:val="center"/>
          </w:tcPr>
          <w:p>
            <w:r>
              <w:rPr>
                <w:rFonts w:ascii="Aptos" w:hAnsi="Aptos"/>
                <w:color w:val="152A3B"/>
                <w:sz w:val="16"/>
              </w:rPr>
              <w:t>Pre-production release checks</w:t>
            </w:r>
          </w:p>
        </w:tc>
      </w:tr>
    </w:tbl>
    <w:p>
      <w:pPr>
        <w:spacing w:after="20"/>
      </w:pPr>
    </w:p>
    <w:p>
      <w:pPr>
        <w:pStyle w:val="Heading1"/>
      </w:pPr>
      <w:r>
        <w:t>19. Step-by-Step Build Sequence</w:t>
      </w:r>
    </w:p>
    <w:p>
      <w:pPr>
        <w:pStyle w:val="Heading2"/>
      </w:pPr>
      <w:r>
        <w:t>Phase A — Architecture lock and repo bootstrap</w:t>
      </w:r>
    </w:p>
    <w:p>
      <w:pPr>
        <w:spacing w:after="60"/>
      </w:pPr>
      <w:r>
        <w:rPr>
          <w:rFonts w:ascii="Aptos" w:hAnsi="Aptos"/>
          <w:b/>
          <w:color w:val="081726"/>
          <w:sz w:val="19"/>
        </w:rPr>
        <w:t xml:space="preserve">1. </w:t>
      </w:r>
      <w:r>
        <w:rPr>
          <w:rFonts w:ascii="Aptos" w:hAnsi="Aptos"/>
          <w:color w:val="152A3B"/>
          <w:sz w:val="19"/>
        </w:rPr>
        <w:t>Review Section 20 lock checklist and accept V1 technology decisions.</w:t>
      </w:r>
    </w:p>
    <w:p>
      <w:pPr>
        <w:spacing w:after="60"/>
      </w:pPr>
      <w:r>
        <w:rPr>
          <w:rFonts w:ascii="Aptos" w:hAnsi="Aptos"/>
          <w:b/>
          <w:color w:val="081726"/>
          <w:sz w:val="19"/>
        </w:rPr>
        <w:t xml:space="preserve">2. </w:t>
      </w:r>
      <w:r>
        <w:rPr>
          <w:rFonts w:ascii="Aptos" w:hAnsi="Aptos"/>
          <w:color w:val="152A3B"/>
          <w:sz w:val="19"/>
        </w:rPr>
        <w:t>Create Git repository/monorepo structure and copy starter pack documentation.</w:t>
      </w:r>
    </w:p>
    <w:p>
      <w:pPr>
        <w:spacing w:after="60"/>
      </w:pPr>
      <w:r>
        <w:rPr>
          <w:rFonts w:ascii="Aptos" w:hAnsi="Aptos"/>
          <w:b/>
          <w:color w:val="081726"/>
          <w:sz w:val="19"/>
        </w:rPr>
        <w:t xml:space="preserve">3. </w:t>
      </w:r>
      <w:r>
        <w:rPr>
          <w:rFonts w:ascii="Aptos" w:hAnsi="Aptos"/>
          <w:color w:val="152A3B"/>
          <w:sz w:val="19"/>
        </w:rPr>
        <w:t>Configure protected main branch and PR template.</w:t>
      </w:r>
    </w:p>
    <w:p>
      <w:pPr>
        <w:spacing w:after="60"/>
      </w:pPr>
      <w:r>
        <w:rPr>
          <w:rFonts w:ascii="Aptos" w:hAnsi="Aptos"/>
          <w:b/>
          <w:color w:val="081726"/>
          <w:sz w:val="19"/>
        </w:rPr>
        <w:t xml:space="preserve">4. </w:t>
      </w:r>
      <w:r>
        <w:rPr>
          <w:rFonts w:ascii="Aptos" w:hAnsi="Aptos"/>
          <w:color w:val="152A3B"/>
          <w:sz w:val="19"/>
        </w:rPr>
        <w:t>Bootstrap Next.js app and FastAPI app with health/readiness endpoints.</w:t>
      </w:r>
    </w:p>
    <w:p>
      <w:pPr>
        <w:spacing w:after="60"/>
      </w:pPr>
      <w:r>
        <w:rPr>
          <w:rFonts w:ascii="Aptos" w:hAnsi="Aptos"/>
          <w:b/>
          <w:color w:val="081726"/>
          <w:sz w:val="19"/>
        </w:rPr>
        <w:t xml:space="preserve">5. </w:t>
      </w:r>
      <w:r>
        <w:rPr>
          <w:rFonts w:ascii="Aptos" w:hAnsi="Aptos"/>
          <w:color w:val="152A3B"/>
          <w:sz w:val="19"/>
        </w:rPr>
        <w:t>Add Dockerfiles and local Docker Compose for Postgres/pgvector, Redis and object-store emulator.</w:t>
      </w:r>
    </w:p>
    <w:p>
      <w:pPr>
        <w:spacing w:after="60"/>
      </w:pPr>
      <w:r>
        <w:rPr>
          <w:rFonts w:ascii="Aptos" w:hAnsi="Aptos"/>
          <w:b/>
          <w:color w:val="081726"/>
          <w:sz w:val="19"/>
        </w:rPr>
        <w:t xml:space="preserve">6. </w:t>
      </w:r>
      <w:r>
        <w:rPr>
          <w:rFonts w:ascii="Aptos" w:hAnsi="Aptos"/>
          <w:color w:val="152A3B"/>
          <w:sz w:val="19"/>
        </w:rPr>
        <w:t>Add ruff/mypy/pytest and ESLint/Prettier/Vitest/Playwright configuration.</w:t>
      </w:r>
    </w:p>
    <w:p>
      <w:pPr>
        <w:spacing w:after="60"/>
      </w:pPr>
      <w:r>
        <w:rPr>
          <w:rFonts w:ascii="Aptos" w:hAnsi="Aptos"/>
          <w:b/>
          <w:color w:val="081726"/>
          <w:sz w:val="19"/>
        </w:rPr>
        <w:t xml:space="preserve">7. </w:t>
      </w:r>
      <w:r>
        <w:rPr>
          <w:rFonts w:ascii="Aptos" w:hAnsi="Aptos"/>
          <w:color w:val="152A3B"/>
          <w:sz w:val="19"/>
        </w:rPr>
        <w:t>Add GitHub Actions CI with lint/type/unit/integration jobs.</w:t>
      </w:r>
    </w:p>
    <w:p>
      <w:pPr>
        <w:spacing w:after="60"/>
      </w:pPr>
      <w:r>
        <w:rPr>
          <w:rFonts w:ascii="Aptos" w:hAnsi="Aptos"/>
          <w:b/>
          <w:color w:val="081726"/>
          <w:sz w:val="19"/>
        </w:rPr>
        <w:t xml:space="preserve">8. </w:t>
      </w:r>
      <w:r>
        <w:rPr>
          <w:rFonts w:ascii="Aptos" w:hAnsi="Aptos"/>
          <w:color w:val="152A3B"/>
          <w:sz w:val="19"/>
        </w:rPr>
        <w:t>Add OpenTelemetry skeleton and structured logging.</w:t>
      </w:r>
    </w:p>
    <w:p>
      <w:pPr>
        <w:spacing w:after="60"/>
      </w:pPr>
      <w:r>
        <w:rPr>
          <w:rFonts w:ascii="Aptos" w:hAnsi="Aptos"/>
          <w:b/>
          <w:color w:val="081726"/>
          <w:sz w:val="19"/>
        </w:rPr>
        <w:t xml:space="preserve">9. </w:t>
      </w:r>
      <w:r>
        <w:rPr>
          <w:rFonts w:ascii="Aptos" w:hAnsi="Aptos"/>
          <w:color w:val="152A3B"/>
          <w:sz w:val="19"/>
        </w:rPr>
        <w:t>Create Terraform dev/staging/prod directory structure without deploying production yet.</w:t>
      </w:r>
    </w:p>
    <w:p>
      <w:pPr>
        <w:spacing w:after="60"/>
      </w:pPr>
      <w:r>
        <w:rPr>
          <w:rFonts w:ascii="Aptos" w:hAnsi="Aptos"/>
          <w:b/>
          <w:color w:val="081726"/>
          <w:sz w:val="19"/>
        </w:rPr>
        <w:t xml:space="preserve">10. </w:t>
      </w:r>
      <w:r>
        <w:rPr>
          <w:rFonts w:ascii="Aptos" w:hAnsi="Aptos"/>
          <w:color w:val="152A3B"/>
          <w:sz w:val="19"/>
        </w:rPr>
        <w:t>Commit ADR-0001 documenting modular monolith + AWS/ECS decision.</w:t>
      </w:r>
    </w:p>
    <w:p>
      <w:pPr>
        <w:pStyle w:val="Heading2"/>
      </w:pPr>
      <w:r>
        <w:t>Phase B — Golden Lesson domain and deterministic core</w:t>
      </w:r>
    </w:p>
    <w:p>
      <w:pPr>
        <w:spacing w:after="60"/>
      </w:pPr>
      <w:r>
        <w:rPr>
          <w:rFonts w:ascii="Aptos" w:hAnsi="Aptos"/>
          <w:b/>
          <w:color w:val="081726"/>
          <w:sz w:val="19"/>
        </w:rPr>
        <w:t xml:space="preserve">1. </w:t>
      </w:r>
      <w:r>
        <w:rPr>
          <w:rFonts w:ascii="Aptos" w:hAnsi="Aptos"/>
          <w:color w:val="152A3B"/>
          <w:sz w:val="19"/>
        </w:rPr>
        <w:t>Create RegulatorySource/Document/Rule/JurisdictionRule/Citation schemas and migrations.</w:t>
      </w:r>
    </w:p>
    <w:p>
      <w:pPr>
        <w:spacing w:after="60"/>
      </w:pPr>
      <w:r>
        <w:rPr>
          <w:rFonts w:ascii="Aptos" w:hAnsi="Aptos"/>
          <w:b/>
          <w:color w:val="081726"/>
          <w:sz w:val="19"/>
        </w:rPr>
        <w:t xml:space="preserve">2. </w:t>
      </w:r>
      <w:r>
        <w:rPr>
          <w:rFonts w:ascii="Aptos" w:hAnsi="Aptos"/>
          <w:color w:val="152A3B"/>
          <w:sz w:val="19"/>
        </w:rPr>
        <w:t>Create Concept/Lesson/LessonVersion/Segment schemas and publication state machine.</w:t>
      </w:r>
    </w:p>
    <w:p>
      <w:pPr>
        <w:spacing w:after="60"/>
      </w:pPr>
      <w:r>
        <w:rPr>
          <w:rFonts w:ascii="Aptos" w:hAnsi="Aptos"/>
          <w:b/>
          <w:color w:val="081726"/>
          <w:sz w:val="19"/>
        </w:rPr>
        <w:t xml:space="preserve">3. </w:t>
      </w:r>
      <w:r>
        <w:rPr>
          <w:rFonts w:ascii="Aptos" w:hAnsi="Aptos"/>
          <w:color w:val="152A3B"/>
          <w:sz w:val="19"/>
        </w:rPr>
        <w:t>Import curated Golden Lesson BCBS/U.S./SAMA/CBUAE rule fixtures with status/version metadata.</w:t>
      </w:r>
    </w:p>
    <w:p>
      <w:pPr>
        <w:spacing w:after="60"/>
      </w:pPr>
      <w:r>
        <w:rPr>
          <w:rFonts w:ascii="Aptos" w:hAnsi="Aptos"/>
          <w:b/>
          <w:color w:val="081726"/>
          <w:sz w:val="19"/>
        </w:rPr>
        <w:t xml:space="preserve">4. </w:t>
      </w:r>
      <w:r>
        <w:rPr>
          <w:rFonts w:ascii="Aptos" w:hAnsi="Aptos"/>
          <w:color w:val="152A3B"/>
          <w:sz w:val="19"/>
        </w:rPr>
        <w:t>Refactor current Python capital code behind `CalculationEngine` interface.</w:t>
      </w:r>
    </w:p>
    <w:p>
      <w:pPr>
        <w:spacing w:after="60"/>
      </w:pPr>
      <w:r>
        <w:rPr>
          <w:rFonts w:ascii="Aptos" w:hAnsi="Aptos"/>
          <w:b/>
          <w:color w:val="081726"/>
          <w:sz w:val="19"/>
        </w:rPr>
        <w:t xml:space="preserve">5. </w:t>
      </w:r>
      <w:r>
        <w:rPr>
          <w:rFonts w:ascii="Aptos" w:hAnsi="Aptos"/>
          <w:color w:val="152A3B"/>
          <w:sz w:val="19"/>
        </w:rPr>
        <w:t>Build corporate exposure input schema and deterministic results.</w:t>
      </w:r>
    </w:p>
    <w:p>
      <w:pPr>
        <w:spacing w:after="60"/>
      </w:pPr>
      <w:r>
        <w:rPr>
          <w:rFonts w:ascii="Aptos" w:hAnsi="Aptos"/>
          <w:b/>
          <w:color w:val="081726"/>
          <w:sz w:val="19"/>
        </w:rPr>
        <w:t xml:space="preserve">6. </w:t>
      </w:r>
      <w:r>
        <w:rPr>
          <w:rFonts w:ascii="Aptos" w:hAnsi="Aptos"/>
          <w:color w:val="152A3B"/>
          <w:sz w:val="19"/>
        </w:rPr>
        <w:t>Create reviewed golden fixtures and boundary tests.</w:t>
      </w:r>
    </w:p>
    <w:p>
      <w:pPr>
        <w:spacing w:after="60"/>
      </w:pPr>
      <w:r>
        <w:rPr>
          <w:rFonts w:ascii="Aptos" w:hAnsi="Aptos"/>
          <w:b/>
          <w:color w:val="081726"/>
          <w:sz w:val="19"/>
        </w:rPr>
        <w:t xml:space="preserve">7. </w:t>
      </w:r>
      <w:r>
        <w:rPr>
          <w:rFonts w:ascii="Aptos" w:hAnsi="Aptos"/>
          <w:color w:val="152A3B"/>
          <w:sz w:val="19"/>
        </w:rPr>
        <w:t>Create FinBank seed record and learner-modifiable clone behavior.</w:t>
      </w:r>
    </w:p>
    <w:p>
      <w:pPr>
        <w:spacing w:after="60"/>
      </w:pPr>
      <w:r>
        <w:rPr>
          <w:rFonts w:ascii="Aptos" w:hAnsi="Aptos"/>
          <w:b/>
          <w:color w:val="081726"/>
          <w:sz w:val="19"/>
        </w:rPr>
        <w:t xml:space="preserve">8. </w:t>
      </w:r>
      <w:r>
        <w:rPr>
          <w:rFonts w:ascii="Aptos" w:hAnsi="Aptos"/>
          <w:color w:val="152A3B"/>
          <w:sz w:val="19"/>
        </w:rPr>
        <w:t>Expose calculation and comparison APIs with rule/version metadata.</w:t>
      </w:r>
    </w:p>
    <w:p>
      <w:pPr>
        <w:pStyle w:val="Heading2"/>
      </w:pPr>
      <w:r>
        <w:t>Phase C — Experience, tutor and mastery</w:t>
      </w:r>
    </w:p>
    <w:p>
      <w:pPr>
        <w:spacing w:after="60"/>
      </w:pPr>
      <w:r>
        <w:rPr>
          <w:rFonts w:ascii="Aptos" w:hAnsi="Aptos"/>
          <w:b/>
          <w:color w:val="081726"/>
          <w:sz w:val="19"/>
        </w:rPr>
        <w:t xml:space="preserve">1. </w:t>
      </w:r>
      <w:r>
        <w:rPr>
          <w:rFonts w:ascii="Aptos" w:hAnsi="Aptos"/>
          <w:color w:val="152A3B"/>
          <w:sz w:val="19"/>
        </w:rPr>
        <w:t>Build lesson player and semantic timeline contract.</w:t>
      </w:r>
    </w:p>
    <w:p>
      <w:pPr>
        <w:spacing w:after="60"/>
      </w:pPr>
      <w:r>
        <w:rPr>
          <w:rFonts w:ascii="Aptos" w:hAnsi="Aptos"/>
          <w:b/>
          <w:color w:val="081726"/>
          <w:sz w:val="19"/>
        </w:rPr>
        <w:t xml:space="preserve">2. </w:t>
      </w:r>
      <w:r>
        <w:rPr>
          <w:rFonts w:ascii="Aptos" w:hAnsi="Aptos"/>
          <w:color w:val="152A3B"/>
          <w:sz w:val="19"/>
        </w:rPr>
        <w:t>Persist LearningEvent stream and resume state.</w:t>
      </w:r>
    </w:p>
    <w:p>
      <w:pPr>
        <w:spacing w:after="60"/>
      </w:pPr>
      <w:r>
        <w:rPr>
          <w:rFonts w:ascii="Aptos" w:hAnsi="Aptos"/>
          <w:b/>
          <w:color w:val="081726"/>
          <w:sz w:val="19"/>
        </w:rPr>
        <w:t xml:space="preserve">3. </w:t>
      </w:r>
      <w:r>
        <w:rPr>
          <w:rFonts w:ascii="Aptos" w:hAnsi="Aptos"/>
          <w:color w:val="152A3B"/>
          <w:sz w:val="19"/>
        </w:rPr>
        <w:t>Build text Tutor Orchestrator with approved retrieval and citation objects.</w:t>
      </w:r>
    </w:p>
    <w:p>
      <w:pPr>
        <w:spacing w:after="60"/>
      </w:pPr>
      <w:r>
        <w:rPr>
          <w:rFonts w:ascii="Aptos" w:hAnsi="Aptos"/>
          <w:b/>
          <w:color w:val="081726"/>
          <w:sz w:val="19"/>
        </w:rPr>
        <w:t xml:space="preserve">4. </w:t>
      </w:r>
      <w:r>
        <w:rPr>
          <w:rFonts w:ascii="Aptos" w:hAnsi="Aptos"/>
          <w:color w:val="152A3B"/>
          <w:sz w:val="19"/>
        </w:rPr>
        <w:t>Add calculator/compare tools and enforce tool use for numerical answers.</w:t>
      </w:r>
    </w:p>
    <w:p>
      <w:pPr>
        <w:spacing w:after="60"/>
      </w:pPr>
      <w:r>
        <w:rPr>
          <w:rFonts w:ascii="Aptos" w:hAnsi="Aptos"/>
          <w:b/>
          <w:color w:val="081726"/>
          <w:sz w:val="19"/>
        </w:rPr>
        <w:t xml:space="preserve">5. </w:t>
      </w:r>
      <w:r>
        <w:rPr>
          <w:rFonts w:ascii="Aptos" w:hAnsi="Aptos"/>
          <w:color w:val="152A3B"/>
          <w:sz w:val="19"/>
        </w:rPr>
        <w:t>Build AI eval harness and seed regulatory/pedagogy cases.</w:t>
      </w:r>
    </w:p>
    <w:p>
      <w:pPr>
        <w:spacing w:after="60"/>
      </w:pPr>
      <w:r>
        <w:rPr>
          <w:rFonts w:ascii="Aptos" w:hAnsi="Aptos"/>
          <w:b/>
          <w:color w:val="081726"/>
          <w:sz w:val="19"/>
        </w:rPr>
        <w:t xml:space="preserve">6. </w:t>
      </w:r>
      <w:r>
        <w:rPr>
          <w:rFonts w:ascii="Aptos" w:hAnsi="Aptos"/>
          <w:color w:val="152A3B"/>
          <w:sz w:val="19"/>
        </w:rPr>
        <w:t>Implement checkpoints, mastery and misconception derivation.</w:t>
      </w:r>
    </w:p>
    <w:p>
      <w:pPr>
        <w:spacing w:after="60"/>
      </w:pPr>
      <w:r>
        <w:rPr>
          <w:rFonts w:ascii="Aptos" w:hAnsi="Aptos"/>
          <w:b/>
          <w:color w:val="081726"/>
          <w:sz w:val="19"/>
        </w:rPr>
        <w:t xml:space="preserve">7. </w:t>
      </w:r>
      <w:r>
        <w:rPr>
          <w:rFonts w:ascii="Aptos" w:hAnsi="Aptos"/>
          <w:color w:val="152A3B"/>
          <w:sz w:val="19"/>
        </w:rPr>
        <w:t>Add realtime voice session, interruption and transcript events.</w:t>
      </w:r>
    </w:p>
    <w:p>
      <w:pPr>
        <w:spacing w:after="60"/>
      </w:pPr>
      <w:r>
        <w:rPr>
          <w:rFonts w:ascii="Aptos" w:hAnsi="Aptos"/>
          <w:b/>
          <w:color w:val="081726"/>
          <w:sz w:val="19"/>
        </w:rPr>
        <w:t xml:space="preserve">8. </w:t>
      </w:r>
      <w:r>
        <w:rPr>
          <w:rFonts w:ascii="Aptos" w:hAnsi="Aptos"/>
          <w:color w:val="152A3B"/>
          <w:sz w:val="19"/>
        </w:rPr>
        <w:t>Add Arabic localization, glossary, RTL and Arabic evals.</w:t>
      </w:r>
    </w:p>
    <w:p>
      <w:pPr>
        <w:spacing w:after="60"/>
      </w:pPr>
      <w:r>
        <w:rPr>
          <w:rFonts w:ascii="Aptos" w:hAnsi="Aptos"/>
          <w:b/>
          <w:color w:val="081726"/>
          <w:sz w:val="19"/>
        </w:rPr>
        <w:t xml:space="preserve">9. </w:t>
      </w:r>
      <w:r>
        <w:rPr>
          <w:rFonts w:ascii="Aptos" w:hAnsi="Aptos"/>
          <w:color w:val="152A3B"/>
          <w:sz w:val="19"/>
        </w:rPr>
        <w:t>Add practice templates and viva rubric/scoring.</w:t>
      </w:r>
    </w:p>
    <w:p>
      <w:pPr>
        <w:spacing w:after="60"/>
      </w:pPr>
      <w:r>
        <w:rPr>
          <w:rFonts w:ascii="Aptos" w:hAnsi="Aptos"/>
          <w:b/>
          <w:color w:val="081726"/>
          <w:sz w:val="19"/>
        </w:rPr>
        <w:t xml:space="preserve">10. </w:t>
      </w:r>
      <w:r>
        <w:rPr>
          <w:rFonts w:ascii="Aptos" w:hAnsi="Aptos"/>
          <w:color w:val="152A3B"/>
          <w:sz w:val="19"/>
        </w:rPr>
        <w:t>Add admin content review and media publication pipeline.</w:t>
      </w:r>
    </w:p>
    <w:p>
      <w:pPr>
        <w:pStyle w:val="Heading2"/>
      </w:pPr>
      <w:r>
        <w:t>Phase D — Productionization and pilot</w:t>
      </w:r>
    </w:p>
    <w:p>
      <w:pPr>
        <w:spacing w:after="60"/>
      </w:pPr>
      <w:r>
        <w:rPr>
          <w:rFonts w:ascii="Aptos" w:hAnsi="Aptos"/>
          <w:b/>
          <w:color w:val="081726"/>
          <w:sz w:val="19"/>
        </w:rPr>
        <w:t xml:space="preserve">1. </w:t>
      </w:r>
      <w:r>
        <w:rPr>
          <w:rFonts w:ascii="Aptos" w:hAnsi="Aptos"/>
          <w:color w:val="152A3B"/>
          <w:sz w:val="19"/>
        </w:rPr>
        <w:t>Deploy dev and staging using Terraform.</w:t>
      </w:r>
    </w:p>
    <w:p>
      <w:pPr>
        <w:spacing w:after="60"/>
      </w:pPr>
      <w:r>
        <w:rPr>
          <w:rFonts w:ascii="Aptos" w:hAnsi="Aptos"/>
          <w:b/>
          <w:color w:val="081726"/>
          <w:sz w:val="19"/>
        </w:rPr>
        <w:t xml:space="preserve">2. </w:t>
      </w:r>
      <w:r>
        <w:rPr>
          <w:rFonts w:ascii="Aptos" w:hAnsi="Aptos"/>
          <w:color w:val="152A3B"/>
          <w:sz w:val="19"/>
        </w:rPr>
        <w:t>Configure WAF, secrets, database backups, alerts and cost budgets.</w:t>
      </w:r>
    </w:p>
    <w:p>
      <w:pPr>
        <w:spacing w:after="60"/>
      </w:pPr>
      <w:r>
        <w:rPr>
          <w:rFonts w:ascii="Aptos" w:hAnsi="Aptos"/>
          <w:b/>
          <w:color w:val="081726"/>
          <w:sz w:val="19"/>
        </w:rPr>
        <w:t xml:space="preserve">3. </w:t>
      </w:r>
      <w:r>
        <w:rPr>
          <w:rFonts w:ascii="Aptos" w:hAnsi="Aptos"/>
          <w:color w:val="152A3B"/>
          <w:sz w:val="19"/>
        </w:rPr>
        <w:t>Run load tests and provider-failure tests.</w:t>
      </w:r>
    </w:p>
    <w:p>
      <w:pPr>
        <w:spacing w:after="60"/>
      </w:pPr>
      <w:r>
        <w:rPr>
          <w:rFonts w:ascii="Aptos" w:hAnsi="Aptos"/>
          <w:b/>
          <w:color w:val="081726"/>
          <w:sz w:val="19"/>
        </w:rPr>
        <w:t xml:space="preserve">4. </w:t>
      </w:r>
      <w:r>
        <w:rPr>
          <w:rFonts w:ascii="Aptos" w:hAnsi="Aptos"/>
          <w:color w:val="152A3B"/>
          <w:sz w:val="19"/>
        </w:rPr>
        <w:t>Complete privacy/terms/retention decisions for beta.</w:t>
      </w:r>
    </w:p>
    <w:p>
      <w:pPr>
        <w:spacing w:after="60"/>
      </w:pPr>
      <w:r>
        <w:rPr>
          <w:rFonts w:ascii="Aptos" w:hAnsi="Aptos"/>
          <w:b/>
          <w:color w:val="081726"/>
          <w:sz w:val="19"/>
        </w:rPr>
        <w:t xml:space="preserve">5. </w:t>
      </w:r>
      <w:r>
        <w:rPr>
          <w:rFonts w:ascii="Aptos" w:hAnsi="Aptos"/>
          <w:color w:val="152A3B"/>
          <w:sz w:val="19"/>
        </w:rPr>
        <w:t>Generate reviewed English/Arabic Golden Lesson media.</w:t>
      </w:r>
    </w:p>
    <w:p>
      <w:pPr>
        <w:spacing w:after="60"/>
      </w:pPr>
      <w:r>
        <w:rPr>
          <w:rFonts w:ascii="Aptos" w:hAnsi="Aptos"/>
          <w:b/>
          <w:color w:val="081726"/>
          <w:sz w:val="19"/>
        </w:rPr>
        <w:t xml:space="preserve">6. </w:t>
      </w:r>
      <w:r>
        <w:rPr>
          <w:rFonts w:ascii="Aptos" w:hAnsi="Aptos"/>
          <w:color w:val="152A3B"/>
          <w:sz w:val="19"/>
        </w:rPr>
        <w:t>Run full staging acceptance with SME sign-off.</w:t>
      </w:r>
    </w:p>
    <w:p>
      <w:pPr>
        <w:spacing w:after="60"/>
      </w:pPr>
      <w:r>
        <w:rPr>
          <w:rFonts w:ascii="Aptos" w:hAnsi="Aptos"/>
          <w:b/>
          <w:color w:val="081726"/>
          <w:sz w:val="19"/>
        </w:rPr>
        <w:t xml:space="preserve">7. </w:t>
      </w:r>
      <w:r>
        <w:rPr>
          <w:rFonts w:ascii="Aptos" w:hAnsi="Aptos"/>
          <w:color w:val="152A3B"/>
          <w:sz w:val="19"/>
        </w:rPr>
        <w:t>Pilot with 10–20 practitioners and instrument completion/questions/confusion/voice usage/pay intent.</w:t>
      </w:r>
    </w:p>
    <w:p>
      <w:pPr>
        <w:spacing w:after="60"/>
      </w:pPr>
      <w:r>
        <w:rPr>
          <w:rFonts w:ascii="Aptos" w:hAnsi="Aptos"/>
          <w:b/>
          <w:color w:val="081726"/>
          <w:sz w:val="19"/>
        </w:rPr>
        <w:t xml:space="preserve">8. </w:t>
      </w:r>
      <w:r>
        <w:rPr>
          <w:rFonts w:ascii="Aptos" w:hAnsi="Aptos"/>
          <w:color w:val="152A3B"/>
          <w:sz w:val="19"/>
        </w:rPr>
        <w:t>Use evidence to decide whether to scale Basel curriculum, change tutor interaction, or adjust pricing before major content production.</w:t>
      </w:r>
    </w:p>
    <w:p>
      <w:pPr>
        <w:pStyle w:val="Heading1"/>
      </w:pPr>
      <w:r>
        <w:t>20. Definition of Done and Lock Checklist</w:t>
      </w:r>
    </w:p>
    <w:p>
      <w:pPr>
        <w:pStyle w:val="Heading2"/>
      </w:pPr>
      <w:r>
        <w:t>20.1 Definition of Done</w:t>
      </w:r>
    </w:p>
    <w:p>
      <w:pPr>
        <w:pStyle w:val="ListBullet"/>
        <w:spacing w:after="40"/>
      </w:pPr>
      <w:r>
        <w:rPr>
          <w:rFonts w:ascii="Aptos" w:hAnsi="Aptos"/>
          <w:color w:val="152A3B"/>
          <w:sz w:val="19"/>
        </w:rPr>
        <w:t>Acceptance criteria met and accessible responsive UI implemented.</w:t>
      </w:r>
    </w:p>
    <w:p>
      <w:pPr>
        <w:pStyle w:val="ListBullet"/>
        <w:spacing w:after="40"/>
      </w:pPr>
      <w:r>
        <w:rPr>
          <w:rFonts w:ascii="Aptos" w:hAnsi="Aptos"/>
          <w:color w:val="152A3B"/>
          <w:sz w:val="19"/>
        </w:rPr>
        <w:t>Typed/linted/formatted code with tests green.</w:t>
      </w:r>
    </w:p>
    <w:p>
      <w:pPr>
        <w:pStyle w:val="ListBullet"/>
        <w:spacing w:after="40"/>
      </w:pPr>
      <w:r>
        <w:rPr>
          <w:rFonts w:ascii="Aptos" w:hAnsi="Aptos"/>
          <w:color w:val="152A3B"/>
          <w:sz w:val="19"/>
        </w:rPr>
        <w:t>Golden calculation tests updated and approved if calculation changed.</w:t>
      </w:r>
    </w:p>
    <w:p>
      <w:pPr>
        <w:pStyle w:val="ListBullet"/>
        <w:spacing w:after="40"/>
      </w:pPr>
      <w:r>
        <w:rPr>
          <w:rFonts w:ascii="Aptos" w:hAnsi="Aptos"/>
          <w:color w:val="152A3B"/>
          <w:sz w:val="19"/>
        </w:rPr>
        <w:t>AI eval suite passes if prompt/model/retrieval/tool behavior changed.</w:t>
      </w:r>
    </w:p>
    <w:p>
      <w:pPr>
        <w:pStyle w:val="ListBullet"/>
        <w:spacing w:after="40"/>
      </w:pPr>
      <w:r>
        <w:rPr>
          <w:rFonts w:ascii="Aptos" w:hAnsi="Aptos"/>
          <w:color w:val="152A3B"/>
          <w:sz w:val="19"/>
        </w:rPr>
        <w:t>Telemetry, error/loading/empty states and cost tracking present.</w:t>
      </w:r>
    </w:p>
    <w:p>
      <w:pPr>
        <w:pStyle w:val="ListBullet"/>
        <w:spacing w:after="40"/>
      </w:pPr>
      <w:r>
        <w:rPr>
          <w:rFonts w:ascii="Aptos" w:hAnsi="Aptos"/>
          <w:color w:val="152A3B"/>
          <w:sz w:val="19"/>
        </w:rPr>
        <w:t>Security/privacy review completed for new data/provider flow.</w:t>
      </w:r>
    </w:p>
    <w:p>
      <w:pPr>
        <w:pStyle w:val="ListBullet"/>
        <w:spacing w:after="40"/>
      </w:pPr>
      <w:r>
        <w:rPr>
          <w:rFonts w:ascii="Aptos" w:hAnsi="Aptos"/>
          <w:color w:val="152A3B"/>
          <w:sz w:val="19"/>
        </w:rPr>
        <w:t>Migration and rollback documented when persistent schema changes.</w:t>
      </w:r>
    </w:p>
    <w:p>
      <w:pPr>
        <w:pStyle w:val="ListBullet"/>
        <w:spacing w:after="40"/>
      </w:pPr>
      <w:r>
        <w:rPr>
          <w:rFonts w:ascii="Aptos" w:hAnsi="Aptos"/>
          <w:color w:val="152A3B"/>
          <w:sz w:val="19"/>
        </w:rPr>
        <w:t>Feature flag/kill switch for experimental high-cost AI/media capability.</w:t>
      </w:r>
    </w:p>
    <w:p>
      <w:pPr>
        <w:pStyle w:val="ListBullet"/>
        <w:spacing w:after="40"/>
      </w:pPr>
      <w:r>
        <w:rPr>
          <w:rFonts w:ascii="Aptos" w:hAnsi="Aptos"/>
          <w:color w:val="152A3B"/>
          <w:sz w:val="19"/>
        </w:rPr>
        <w:t>Documentation/ADR updated.</w:t>
      </w:r>
    </w:p>
    <w:p>
      <w:pPr>
        <w:pStyle w:val="ListBullet"/>
        <w:spacing w:after="40"/>
      </w:pPr>
      <w:r>
        <w:rPr>
          <w:rFonts w:ascii="Aptos" w:hAnsi="Aptos"/>
          <w:color w:val="152A3B"/>
          <w:sz w:val="19"/>
        </w:rPr>
        <w:t>SME acceptance recorded for authoritative content/calculation changes.</w:t>
      </w:r>
    </w:p>
    <w:p>
      <w:pPr>
        <w:pStyle w:val="Heading2"/>
      </w:pPr>
      <w:r>
        <w:t>20.2 Decisions to lock with product owner</w:t>
      </w:r>
    </w:p>
    <w:tbl>
      <w:tblPr>
        <w:tblStyle w:val="TableGrid"/>
        <w:tblW w:type="auto" w:w="0"/>
        <w:jc w:val="center"/>
        <w:tblLook w:firstColumn="1" w:firstRow="1" w:lastColumn="0" w:lastRow="0" w:noHBand="0" w:noVBand="1" w:val="04A0"/>
      </w:tblPr>
      <w:tblGrid>
        <w:gridCol w:w="3389"/>
        <w:gridCol w:w="3389"/>
        <w:gridCol w:w="3389"/>
      </w:tblGrid>
      <w:tr>
        <w:tc>
          <w:tcPr>
            <w:tcW w:type="dxa" w:w="3096"/>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Decision</w:t>
            </w:r>
          </w:p>
        </w:tc>
        <w:tc>
          <w:tcPr>
            <w:tcW w:type="dxa" w:w="5760"/>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Recommendation</w:t>
            </w:r>
          </w:p>
        </w:tc>
        <w:tc>
          <w:tcPr>
            <w:tcW w:type="dxa" w:w="1152"/>
            <w:shd w:fill="081726"/>
            <w:tcBorders>
              <w:top w:val="single" w:sz="6" w:color="081726"/>
              <w:bottom w:val="single" w:sz="6" w:color="081726"/>
              <w:left w:val="single" w:sz="6" w:color="081726"/>
              <w:right w:val="single" w:sz="6" w:color="081726"/>
            </w:tcBorders>
            <w:vAlign w:val="center"/>
          </w:tcPr>
          <w:p>
            <w:r>
              <w:rPr>
                <w:rFonts w:ascii="Aptos" w:hAnsi="Aptos"/>
                <w:b/>
                <w:color w:val="FFFFFF"/>
                <w:sz w:val="15"/>
              </w:rPr>
              <w:t>Lock?</w:t>
            </w:r>
          </w:p>
        </w:tc>
      </w:tr>
      <w:tr>
        <w:tc>
          <w:tcPr>
            <w:tcW w:type="dxa" w:w="3096"/>
            <w:vAlign w:val="center"/>
          </w:tcPr>
          <w:p>
            <w:r>
              <w:rPr>
                <w:rFonts w:ascii="Aptos" w:hAnsi="Aptos"/>
                <w:color w:val="152A3B"/>
                <w:sz w:val="15"/>
              </w:rPr>
              <w:t>Cloud</w:t>
            </w:r>
          </w:p>
        </w:tc>
        <w:tc>
          <w:tcPr>
            <w:tcW w:type="dxa" w:w="5760"/>
            <w:vAlign w:val="center"/>
          </w:tcPr>
          <w:p>
            <w:r>
              <w:rPr>
                <w:rFonts w:ascii="Aptos" w:hAnsi="Aptos"/>
                <w:color w:val="152A3B"/>
                <w:sz w:val="15"/>
              </w:rPr>
              <w:t>AWS for V1 SaaS</w:t>
            </w:r>
          </w:p>
        </w:tc>
        <w:tc>
          <w:tcPr>
            <w:tcW w:type="dxa" w:w="1152"/>
            <w:vAlign w:val="center"/>
          </w:tcPr>
          <w:p>
            <w:r>
              <w:rPr>
                <w:rFonts w:ascii="Aptos" w:hAnsi="Aptos"/>
                <w:color w:val="152A3B"/>
                <w:sz w:val="15"/>
              </w:rPr>
              <w:t>□</w:t>
            </w:r>
          </w:p>
        </w:tc>
      </w:tr>
      <w:tr>
        <w:tc>
          <w:tcPr>
            <w:tcW w:type="dxa" w:w="3096"/>
            <w:shd w:fill="F8FAFB"/>
            <w:vAlign w:val="center"/>
          </w:tcPr>
          <w:p>
            <w:r>
              <w:rPr>
                <w:rFonts w:ascii="Aptos" w:hAnsi="Aptos"/>
                <w:color w:val="152A3B"/>
                <w:sz w:val="15"/>
              </w:rPr>
              <w:t>Compute</w:t>
            </w:r>
          </w:p>
        </w:tc>
        <w:tc>
          <w:tcPr>
            <w:tcW w:type="dxa" w:w="5760"/>
            <w:shd w:fill="F8FAFB"/>
            <w:vAlign w:val="center"/>
          </w:tcPr>
          <w:p>
            <w:r>
              <w:rPr>
                <w:rFonts w:ascii="Aptos" w:hAnsi="Aptos"/>
                <w:color w:val="152A3B"/>
                <w:sz w:val="15"/>
              </w:rPr>
              <w:t>ECS Fargate; no Kubernetes V1</w:t>
            </w:r>
          </w:p>
        </w:tc>
        <w:tc>
          <w:tcPr>
            <w:tcW w:type="dxa" w:w="1152"/>
            <w:shd w:fill="F8FAFB"/>
            <w:vAlign w:val="center"/>
          </w:tcPr>
          <w:p>
            <w:r>
              <w:rPr>
                <w:rFonts w:ascii="Aptos" w:hAnsi="Aptos"/>
                <w:color w:val="152A3B"/>
                <w:sz w:val="15"/>
              </w:rPr>
              <w:t>□</w:t>
            </w:r>
          </w:p>
        </w:tc>
      </w:tr>
      <w:tr>
        <w:tc>
          <w:tcPr>
            <w:tcW w:type="dxa" w:w="3096"/>
            <w:vAlign w:val="center"/>
          </w:tcPr>
          <w:p>
            <w:r>
              <w:rPr>
                <w:rFonts w:ascii="Aptos" w:hAnsi="Aptos"/>
                <w:color w:val="152A3B"/>
                <w:sz w:val="15"/>
              </w:rPr>
              <w:t>Architecture</w:t>
            </w:r>
          </w:p>
        </w:tc>
        <w:tc>
          <w:tcPr>
            <w:tcW w:type="dxa" w:w="5760"/>
            <w:vAlign w:val="center"/>
          </w:tcPr>
          <w:p>
            <w:r>
              <w:rPr>
                <w:rFonts w:ascii="Aptos" w:hAnsi="Aptos"/>
                <w:color w:val="152A3B"/>
                <w:sz w:val="15"/>
              </w:rPr>
              <w:t>Modular monolith, multiple deployable processes</w:t>
            </w:r>
          </w:p>
        </w:tc>
        <w:tc>
          <w:tcPr>
            <w:tcW w:type="dxa" w:w="1152"/>
            <w:vAlign w:val="center"/>
          </w:tcPr>
          <w:p>
            <w:r>
              <w:rPr>
                <w:rFonts w:ascii="Aptos" w:hAnsi="Aptos"/>
                <w:color w:val="152A3B"/>
                <w:sz w:val="15"/>
              </w:rPr>
              <w:t>□</w:t>
            </w:r>
          </w:p>
        </w:tc>
      </w:tr>
      <w:tr>
        <w:tc>
          <w:tcPr>
            <w:tcW w:type="dxa" w:w="3096"/>
            <w:shd w:fill="F8FAFB"/>
            <w:vAlign w:val="center"/>
          </w:tcPr>
          <w:p>
            <w:r>
              <w:rPr>
                <w:rFonts w:ascii="Aptos" w:hAnsi="Aptos"/>
                <w:color w:val="152A3B"/>
                <w:sz w:val="15"/>
              </w:rPr>
              <w:t>Frontend</w:t>
            </w:r>
          </w:p>
        </w:tc>
        <w:tc>
          <w:tcPr>
            <w:tcW w:type="dxa" w:w="5760"/>
            <w:shd w:fill="F8FAFB"/>
            <w:vAlign w:val="center"/>
          </w:tcPr>
          <w:p>
            <w:r>
              <w:rPr>
                <w:rFonts w:ascii="Aptos" w:hAnsi="Aptos"/>
                <w:color w:val="152A3B"/>
                <w:sz w:val="15"/>
              </w:rPr>
              <w:t>Next.js/React/TypeScript/Tailwind</w:t>
            </w:r>
          </w:p>
        </w:tc>
        <w:tc>
          <w:tcPr>
            <w:tcW w:type="dxa" w:w="1152"/>
            <w:shd w:fill="F8FAFB"/>
            <w:vAlign w:val="center"/>
          </w:tcPr>
          <w:p>
            <w:r>
              <w:rPr>
                <w:rFonts w:ascii="Aptos" w:hAnsi="Aptos"/>
                <w:color w:val="152A3B"/>
                <w:sz w:val="15"/>
              </w:rPr>
              <w:t>□</w:t>
            </w:r>
          </w:p>
        </w:tc>
      </w:tr>
      <w:tr>
        <w:tc>
          <w:tcPr>
            <w:tcW w:type="dxa" w:w="3096"/>
            <w:vAlign w:val="center"/>
          </w:tcPr>
          <w:p>
            <w:r>
              <w:rPr>
                <w:rFonts w:ascii="Aptos" w:hAnsi="Aptos"/>
                <w:color w:val="152A3B"/>
                <w:sz w:val="15"/>
              </w:rPr>
              <w:t>Backend</w:t>
            </w:r>
          </w:p>
        </w:tc>
        <w:tc>
          <w:tcPr>
            <w:tcW w:type="dxa" w:w="5760"/>
            <w:vAlign w:val="center"/>
          </w:tcPr>
          <w:p>
            <w:r>
              <w:rPr>
                <w:rFonts w:ascii="Aptos" w:hAnsi="Aptos"/>
                <w:color w:val="152A3B"/>
                <w:sz w:val="15"/>
              </w:rPr>
              <w:t>FastAPI/Python</w:t>
            </w:r>
          </w:p>
        </w:tc>
        <w:tc>
          <w:tcPr>
            <w:tcW w:type="dxa" w:w="1152"/>
            <w:vAlign w:val="center"/>
          </w:tcPr>
          <w:p>
            <w:r>
              <w:rPr>
                <w:rFonts w:ascii="Aptos" w:hAnsi="Aptos"/>
                <w:color w:val="152A3B"/>
                <w:sz w:val="15"/>
              </w:rPr>
              <w:t>□</w:t>
            </w:r>
          </w:p>
        </w:tc>
      </w:tr>
      <w:tr>
        <w:tc>
          <w:tcPr>
            <w:tcW w:type="dxa" w:w="3096"/>
            <w:shd w:fill="F8FAFB"/>
            <w:vAlign w:val="center"/>
          </w:tcPr>
          <w:p>
            <w:r>
              <w:rPr>
                <w:rFonts w:ascii="Aptos" w:hAnsi="Aptos"/>
                <w:color w:val="152A3B"/>
                <w:sz w:val="15"/>
              </w:rPr>
              <w:t>Primary DB</w:t>
            </w:r>
          </w:p>
        </w:tc>
        <w:tc>
          <w:tcPr>
            <w:tcW w:type="dxa" w:w="5760"/>
            <w:shd w:fill="F8FAFB"/>
            <w:vAlign w:val="center"/>
          </w:tcPr>
          <w:p>
            <w:r>
              <w:rPr>
                <w:rFonts w:ascii="Aptos" w:hAnsi="Aptos"/>
                <w:color w:val="152A3B"/>
                <w:sz w:val="15"/>
              </w:rPr>
              <w:t>PostgreSQL + pgvector</w:t>
            </w:r>
          </w:p>
        </w:tc>
        <w:tc>
          <w:tcPr>
            <w:tcW w:type="dxa" w:w="1152"/>
            <w:shd w:fill="F8FAFB"/>
            <w:vAlign w:val="center"/>
          </w:tcPr>
          <w:p>
            <w:r>
              <w:rPr>
                <w:rFonts w:ascii="Aptos" w:hAnsi="Aptos"/>
                <w:color w:val="152A3B"/>
                <w:sz w:val="15"/>
              </w:rPr>
              <w:t>□</w:t>
            </w:r>
          </w:p>
        </w:tc>
      </w:tr>
      <w:tr>
        <w:tc>
          <w:tcPr>
            <w:tcW w:type="dxa" w:w="3096"/>
            <w:vAlign w:val="center"/>
          </w:tcPr>
          <w:p>
            <w:r>
              <w:rPr>
                <w:rFonts w:ascii="Aptos" w:hAnsi="Aptos"/>
                <w:color w:val="152A3B"/>
                <w:sz w:val="15"/>
              </w:rPr>
              <w:t>Cache</w:t>
            </w:r>
          </w:p>
        </w:tc>
        <w:tc>
          <w:tcPr>
            <w:tcW w:type="dxa" w:w="5760"/>
            <w:vAlign w:val="center"/>
          </w:tcPr>
          <w:p>
            <w:r>
              <w:rPr>
                <w:rFonts w:ascii="Aptos" w:hAnsi="Aptos"/>
                <w:color w:val="152A3B"/>
                <w:sz w:val="15"/>
              </w:rPr>
              <w:t>Redis, ephemeral only</w:t>
            </w:r>
          </w:p>
        </w:tc>
        <w:tc>
          <w:tcPr>
            <w:tcW w:type="dxa" w:w="1152"/>
            <w:vAlign w:val="center"/>
          </w:tcPr>
          <w:p>
            <w:r>
              <w:rPr>
                <w:rFonts w:ascii="Aptos" w:hAnsi="Aptos"/>
                <w:color w:val="152A3B"/>
                <w:sz w:val="15"/>
              </w:rPr>
              <w:t>□</w:t>
            </w:r>
          </w:p>
        </w:tc>
      </w:tr>
      <w:tr>
        <w:tc>
          <w:tcPr>
            <w:tcW w:type="dxa" w:w="3096"/>
            <w:shd w:fill="F8FAFB"/>
            <w:vAlign w:val="center"/>
          </w:tcPr>
          <w:p>
            <w:r>
              <w:rPr>
                <w:rFonts w:ascii="Aptos" w:hAnsi="Aptos"/>
                <w:color w:val="152A3B"/>
                <w:sz w:val="15"/>
              </w:rPr>
              <w:t>Graph DB</w:t>
            </w:r>
          </w:p>
        </w:tc>
        <w:tc>
          <w:tcPr>
            <w:tcW w:type="dxa" w:w="5760"/>
            <w:shd w:fill="F8FAFB"/>
            <w:vAlign w:val="center"/>
          </w:tcPr>
          <w:p>
            <w:r>
              <w:rPr>
                <w:rFonts w:ascii="Aptos" w:hAnsi="Aptos"/>
                <w:color w:val="152A3B"/>
                <w:sz w:val="15"/>
              </w:rPr>
              <w:t>Deferred until measured need</w:t>
            </w:r>
          </w:p>
        </w:tc>
        <w:tc>
          <w:tcPr>
            <w:tcW w:type="dxa" w:w="1152"/>
            <w:shd w:fill="F8FAFB"/>
            <w:vAlign w:val="center"/>
          </w:tcPr>
          <w:p>
            <w:r>
              <w:rPr>
                <w:rFonts w:ascii="Aptos" w:hAnsi="Aptos"/>
                <w:color w:val="152A3B"/>
                <w:sz w:val="15"/>
              </w:rPr>
              <w:t>□</w:t>
            </w:r>
          </w:p>
        </w:tc>
      </w:tr>
      <w:tr>
        <w:tc>
          <w:tcPr>
            <w:tcW w:type="dxa" w:w="3096"/>
            <w:vAlign w:val="center"/>
          </w:tcPr>
          <w:p>
            <w:r>
              <w:rPr>
                <w:rFonts w:ascii="Aptos" w:hAnsi="Aptos"/>
                <w:color w:val="152A3B"/>
                <w:sz w:val="15"/>
              </w:rPr>
              <w:t>Workflow</w:t>
            </w:r>
          </w:p>
        </w:tc>
        <w:tc>
          <w:tcPr>
            <w:tcW w:type="dxa" w:w="5760"/>
            <w:vAlign w:val="center"/>
          </w:tcPr>
          <w:p>
            <w:r>
              <w:rPr>
                <w:rFonts w:ascii="Aptos" w:hAnsi="Aptos"/>
                <w:color w:val="152A3B"/>
                <w:sz w:val="15"/>
              </w:rPr>
              <w:t>Temporal timing decision: Sprint 0 vs Sprint 9</w:t>
            </w:r>
          </w:p>
        </w:tc>
        <w:tc>
          <w:tcPr>
            <w:tcW w:type="dxa" w:w="1152"/>
            <w:vAlign w:val="center"/>
          </w:tcPr>
          <w:p>
            <w:r>
              <w:rPr>
                <w:rFonts w:ascii="Aptos" w:hAnsi="Aptos"/>
                <w:color w:val="152A3B"/>
                <w:sz w:val="15"/>
              </w:rPr>
              <w:t>□</w:t>
            </w:r>
          </w:p>
        </w:tc>
      </w:tr>
      <w:tr>
        <w:tc>
          <w:tcPr>
            <w:tcW w:type="dxa" w:w="3096"/>
            <w:shd w:fill="F8FAFB"/>
            <w:vAlign w:val="center"/>
          </w:tcPr>
          <w:p>
            <w:r>
              <w:rPr>
                <w:rFonts w:ascii="Aptos" w:hAnsi="Aptos"/>
                <w:color w:val="152A3B"/>
                <w:sz w:val="15"/>
              </w:rPr>
              <w:t>Realtime voice</w:t>
            </w:r>
          </w:p>
        </w:tc>
        <w:tc>
          <w:tcPr>
            <w:tcW w:type="dxa" w:w="5760"/>
            <w:shd w:fill="F8FAFB"/>
            <w:vAlign w:val="center"/>
          </w:tcPr>
          <w:p>
            <w:r>
              <w:rPr>
                <w:rFonts w:ascii="Aptos" w:hAnsi="Aptos"/>
                <w:color w:val="152A3B"/>
                <w:sz w:val="15"/>
              </w:rPr>
              <w:t>Provider adapter; primary provider selected after Golden Lesson spike</w:t>
            </w:r>
          </w:p>
        </w:tc>
        <w:tc>
          <w:tcPr>
            <w:tcW w:type="dxa" w:w="1152"/>
            <w:shd w:fill="F8FAFB"/>
            <w:vAlign w:val="center"/>
          </w:tcPr>
          <w:p>
            <w:r>
              <w:rPr>
                <w:rFonts w:ascii="Aptos" w:hAnsi="Aptos"/>
                <w:color w:val="152A3B"/>
                <w:sz w:val="15"/>
              </w:rPr>
              <w:t>□</w:t>
            </w:r>
          </w:p>
        </w:tc>
      </w:tr>
      <w:tr>
        <w:tc>
          <w:tcPr>
            <w:tcW w:type="dxa" w:w="3096"/>
            <w:vAlign w:val="center"/>
          </w:tcPr>
          <w:p>
            <w:r>
              <w:rPr>
                <w:rFonts w:ascii="Aptos" w:hAnsi="Aptos"/>
                <w:color w:val="152A3B"/>
                <w:sz w:val="15"/>
              </w:rPr>
              <w:t>Avatar</w:t>
            </w:r>
          </w:p>
        </w:tc>
        <w:tc>
          <w:tcPr>
            <w:tcW w:type="dxa" w:w="5760"/>
            <w:vAlign w:val="center"/>
          </w:tcPr>
          <w:p>
            <w:r>
              <w:rPr>
                <w:rFonts w:ascii="Aptos" w:hAnsi="Aptos"/>
                <w:color w:val="152A3B"/>
                <w:sz w:val="15"/>
              </w:rPr>
              <w:t>Optional, not required for learning correctness</w:t>
            </w:r>
          </w:p>
        </w:tc>
        <w:tc>
          <w:tcPr>
            <w:tcW w:type="dxa" w:w="1152"/>
            <w:vAlign w:val="center"/>
          </w:tcPr>
          <w:p>
            <w:r>
              <w:rPr>
                <w:rFonts w:ascii="Aptos" w:hAnsi="Aptos"/>
                <w:color w:val="152A3B"/>
                <w:sz w:val="15"/>
              </w:rPr>
              <w:t>□</w:t>
            </w:r>
          </w:p>
        </w:tc>
      </w:tr>
      <w:tr>
        <w:tc>
          <w:tcPr>
            <w:tcW w:type="dxa" w:w="3096"/>
            <w:shd w:fill="F8FAFB"/>
            <w:vAlign w:val="center"/>
          </w:tcPr>
          <w:p>
            <w:r>
              <w:rPr>
                <w:rFonts w:ascii="Aptos" w:hAnsi="Aptos"/>
                <w:color w:val="152A3B"/>
                <w:sz w:val="15"/>
              </w:rPr>
              <w:t>Languages</w:t>
            </w:r>
          </w:p>
        </w:tc>
        <w:tc>
          <w:tcPr>
            <w:tcW w:type="dxa" w:w="5760"/>
            <w:shd w:fill="F8FAFB"/>
            <w:vAlign w:val="center"/>
          </w:tcPr>
          <w:p>
            <w:r>
              <w:rPr>
                <w:rFonts w:ascii="Aptos" w:hAnsi="Aptos"/>
                <w:color w:val="152A3B"/>
                <w:sz w:val="15"/>
              </w:rPr>
              <w:t>English + Arabic</w:t>
            </w:r>
          </w:p>
        </w:tc>
        <w:tc>
          <w:tcPr>
            <w:tcW w:type="dxa" w:w="1152"/>
            <w:shd w:fill="F8FAFB"/>
            <w:vAlign w:val="center"/>
          </w:tcPr>
          <w:p>
            <w:r>
              <w:rPr>
                <w:rFonts w:ascii="Aptos" w:hAnsi="Aptos"/>
                <w:color w:val="152A3B"/>
                <w:sz w:val="15"/>
              </w:rPr>
              <w:t>□</w:t>
            </w:r>
          </w:p>
        </w:tc>
      </w:tr>
      <w:tr>
        <w:tc>
          <w:tcPr>
            <w:tcW w:type="dxa" w:w="3096"/>
            <w:vAlign w:val="center"/>
          </w:tcPr>
          <w:p>
            <w:r>
              <w:rPr>
                <w:rFonts w:ascii="Aptos" w:hAnsi="Aptos"/>
                <w:color w:val="152A3B"/>
                <w:sz w:val="15"/>
              </w:rPr>
              <w:t>Jurisdictions</w:t>
            </w:r>
          </w:p>
        </w:tc>
        <w:tc>
          <w:tcPr>
            <w:tcW w:type="dxa" w:w="5760"/>
            <w:vAlign w:val="center"/>
          </w:tcPr>
          <w:p>
            <w:r>
              <w:rPr>
                <w:rFonts w:ascii="Aptos" w:hAnsi="Aptos"/>
                <w:color w:val="152A3B"/>
                <w:sz w:val="15"/>
              </w:rPr>
              <w:t>BCBS + U.S. + SAMA + CBUAE</w:t>
            </w:r>
          </w:p>
        </w:tc>
        <w:tc>
          <w:tcPr>
            <w:tcW w:type="dxa" w:w="1152"/>
            <w:vAlign w:val="center"/>
          </w:tcPr>
          <w:p>
            <w:r>
              <w:rPr>
                <w:rFonts w:ascii="Aptos" w:hAnsi="Aptos"/>
                <w:color w:val="152A3B"/>
                <w:sz w:val="15"/>
              </w:rPr>
              <w:t>□</w:t>
            </w:r>
          </w:p>
        </w:tc>
      </w:tr>
      <w:tr>
        <w:tc>
          <w:tcPr>
            <w:tcW w:type="dxa" w:w="3096"/>
            <w:shd w:fill="F8FAFB"/>
            <w:vAlign w:val="center"/>
          </w:tcPr>
          <w:p>
            <w:r>
              <w:rPr>
                <w:rFonts w:ascii="Aptos" w:hAnsi="Aptos"/>
                <w:color w:val="152A3B"/>
                <w:sz w:val="15"/>
              </w:rPr>
              <w:t>Content governance</w:t>
            </w:r>
          </w:p>
        </w:tc>
        <w:tc>
          <w:tcPr>
            <w:tcW w:type="dxa" w:w="5760"/>
            <w:shd w:fill="F8FAFB"/>
            <w:vAlign w:val="center"/>
          </w:tcPr>
          <w:p>
            <w:r>
              <w:rPr>
                <w:rFonts w:ascii="Aptos" w:hAnsi="Aptos"/>
                <w:color w:val="152A3B"/>
                <w:sz w:val="15"/>
              </w:rPr>
              <w:t>SME review required before publish</w:t>
            </w:r>
          </w:p>
        </w:tc>
        <w:tc>
          <w:tcPr>
            <w:tcW w:type="dxa" w:w="1152"/>
            <w:shd w:fill="F8FAFB"/>
            <w:vAlign w:val="center"/>
          </w:tcPr>
          <w:p>
            <w:r>
              <w:rPr>
                <w:rFonts w:ascii="Aptos" w:hAnsi="Aptos"/>
                <w:color w:val="152A3B"/>
                <w:sz w:val="15"/>
              </w:rPr>
              <w:t>□</w:t>
            </w:r>
          </w:p>
        </w:tc>
      </w:tr>
      <w:tr>
        <w:tc>
          <w:tcPr>
            <w:tcW w:type="dxa" w:w="3096"/>
            <w:vAlign w:val="center"/>
          </w:tcPr>
          <w:p>
            <w:r>
              <w:rPr>
                <w:rFonts w:ascii="Aptos" w:hAnsi="Aptos"/>
                <w:color w:val="152A3B"/>
                <w:sz w:val="15"/>
              </w:rPr>
              <w:t>Finance logic</w:t>
            </w:r>
          </w:p>
        </w:tc>
        <w:tc>
          <w:tcPr>
            <w:tcW w:type="dxa" w:w="5760"/>
            <w:vAlign w:val="center"/>
          </w:tcPr>
          <w:p>
            <w:r>
              <w:rPr>
                <w:rFonts w:ascii="Aptos" w:hAnsi="Aptos"/>
                <w:color w:val="152A3B"/>
                <w:sz w:val="15"/>
              </w:rPr>
              <w:t>Deterministic Python service, never LLM calculation</w:t>
            </w:r>
          </w:p>
        </w:tc>
        <w:tc>
          <w:tcPr>
            <w:tcW w:type="dxa" w:w="1152"/>
            <w:vAlign w:val="center"/>
          </w:tcPr>
          <w:p>
            <w:r>
              <w:rPr>
                <w:rFonts w:ascii="Aptos" w:hAnsi="Aptos"/>
                <w:color w:val="152A3B"/>
                <w:sz w:val="15"/>
              </w:rPr>
              <w:t>□</w:t>
            </w:r>
          </w:p>
        </w:tc>
      </w:tr>
      <w:tr>
        <w:tc>
          <w:tcPr>
            <w:tcW w:type="dxa" w:w="3096"/>
            <w:shd w:fill="F8FAFB"/>
            <w:vAlign w:val="center"/>
          </w:tcPr>
          <w:p>
            <w:r>
              <w:rPr>
                <w:rFonts w:ascii="Aptos" w:hAnsi="Aptos"/>
                <w:color w:val="152A3B"/>
                <w:sz w:val="15"/>
              </w:rPr>
              <w:t>Repo governance</w:t>
            </w:r>
          </w:p>
        </w:tc>
        <w:tc>
          <w:tcPr>
            <w:tcW w:type="dxa" w:w="5760"/>
            <w:shd w:fill="F8FAFB"/>
            <w:vAlign w:val="center"/>
          </w:tcPr>
          <w:p>
            <w:r>
              <w:rPr>
                <w:rFonts w:ascii="Aptos" w:hAnsi="Aptos"/>
                <w:color w:val="152A3B"/>
                <w:sz w:val="15"/>
              </w:rPr>
              <w:t>AGENTS.md + skills + ADR + CI quality gates</w:t>
            </w:r>
          </w:p>
        </w:tc>
        <w:tc>
          <w:tcPr>
            <w:tcW w:type="dxa" w:w="1152"/>
            <w:shd w:fill="F8FAFB"/>
            <w:vAlign w:val="center"/>
          </w:tcPr>
          <w:p>
            <w:r>
              <w:rPr>
                <w:rFonts w:ascii="Aptos" w:hAnsi="Aptos"/>
                <w:color w:val="152A3B"/>
                <w:sz w:val="15"/>
              </w:rPr>
              <w:t>□</w:t>
            </w:r>
          </w:p>
        </w:tc>
      </w:tr>
    </w:tbl>
    <w:p>
      <w:pPr>
        <w:spacing w:after="20"/>
      </w:pPr>
    </w:p>
    <w:p>
      <w:pPr>
        <w:pStyle w:val="Heading2"/>
      </w:pPr>
      <w:r>
        <w:t>Reference basis</w:t>
      </w:r>
    </w:p>
    <w:p>
      <w:pPr>
        <w:spacing w:after="80"/>
      </w:pPr>
      <w:r>
        <w:rPr>
          <w:rFonts w:ascii="Aptos" w:hAnsi="Aptos"/>
          <w:b w:val="0"/>
          <w:color w:val="152A3B"/>
        </w:rPr>
        <w:t>[R1] OpenAI Voice agents documentation</w:t>
        <w:br/>
        <w:t>https://developers.openai.com/api/docs/guides/voice-agents</w:t>
      </w:r>
    </w:p>
    <w:p>
      <w:pPr>
        <w:spacing w:after="80"/>
      </w:pPr>
      <w:r>
        <w:rPr>
          <w:rFonts w:ascii="Aptos" w:hAnsi="Aptos"/>
          <w:b w:val="0"/>
          <w:color w:val="152A3B"/>
        </w:rPr>
        <w:t>[R2] HeyGen / LiveAvatar developer documentation</w:t>
        <w:br/>
        <w:t>https://docs.liveavatar.com/</w:t>
      </w:r>
    </w:p>
    <w:p>
      <w:pPr>
        <w:spacing w:after="80"/>
      </w:pPr>
      <w:r>
        <w:rPr>
          <w:rFonts w:ascii="Aptos" w:hAnsi="Aptos"/>
          <w:b w:val="0"/>
          <w:color w:val="152A3B"/>
        </w:rPr>
        <w:t>[R3] ElevenLabs ElevenAgents documentation</w:t>
        <w:br/>
        <w:t>https://elevenlabs.io/docs/eleven-agents/overview</w:t>
      </w:r>
    </w:p>
    <w:p>
      <w:pPr>
        <w:spacing w:after="80"/>
      </w:pPr>
      <w:r>
        <w:rPr>
          <w:rFonts w:ascii="Aptos" w:hAnsi="Aptos"/>
          <w:b w:val="0"/>
          <w:color w:val="152A3B"/>
        </w:rPr>
        <w:t>[R4] Google Developers — Gemini 2.5 Flash Image / nano-banana</w:t>
        <w:br/>
        <w:t>https://developers.googleblog.com/introducing-gemini-2-5-flash-image/</w:t>
      </w:r>
    </w:p>
    <w:p>
      <w:pPr>
        <w:spacing w:after="80"/>
      </w:pPr>
      <w:r>
        <w:rPr>
          <w:rFonts w:ascii="Aptos" w:hAnsi="Aptos"/>
          <w:b w:val="0"/>
          <w:color w:val="152A3B"/>
        </w:rPr>
        <w:t>[R5] AWS — Architect for AWS Fargate for Amazon ECS</w:t>
        <w:br/>
        <w:t>https://docs.aws.amazon.com/AmazonECS/latest/developerguide/AWS_Fargate.html</w:t>
      </w:r>
    </w:p>
    <w:p>
      <w:pPr>
        <w:spacing w:after="80"/>
      </w:pPr>
      <w:r>
        <w:rPr>
          <w:rFonts w:ascii="Aptos" w:hAnsi="Aptos"/>
          <w:b w:val="0"/>
          <w:color w:val="152A3B"/>
        </w:rPr>
        <w:t>[R6] Temporal documentation — durable execution</w:t>
        <w:br/>
        <w:t>https://docs.temporal.io/temporal</w:t>
      </w:r>
    </w:p>
    <w:p>
      <w:pPr>
        <w:spacing w:after="80"/>
      </w:pPr>
      <w:r>
        <w:rPr>
          <w:rFonts w:ascii="Aptos" w:hAnsi="Aptos"/>
          <w:b w:val="0"/>
          <w:color w:val="152A3B"/>
        </w:rPr>
        <w:t>[R7] pgvector official repository/documentation</w:t>
        <w:br/>
        <w:t>https://github.com/pgvector/pgvector</w:t>
      </w:r>
    </w:p>
    <w:p>
      <w:pPr>
        <w:spacing w:after="80"/>
      </w:pPr>
      <w:r>
        <w:rPr>
          <w:rFonts w:ascii="Aptos" w:hAnsi="Aptos"/>
          <w:b w:val="0"/>
          <w:color w:val="152A3B"/>
        </w:rPr>
        <w:t>[R8] OpenTelemetry documentation</w:t>
        <w:br/>
        <w:t>https://opentelemetry.io/docs/</w:t>
      </w:r>
    </w:p>
    <w:sectPr w:rsidR="00FC693F" w:rsidRPr="0006063C" w:rsidSect="00034616">
      <w:headerReference w:type="default" r:id="rId9"/>
      <w:footerReference w:type="default" r:id="rId10"/>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17789"/>
        <w:sz w:val="15"/>
      </w:rPr>
      <w:t xml:space="preserve">Architecture Lock Draft  •  August 2026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17789"/>
        <w:sz w:val="15"/>
      </w:rPr>
      <w:t>FINANCIAL PODS  •  ENGINEERING, DEPLOYMENT &amp; CODING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52A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1726"/>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B9B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9A2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17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52A3B"/>
      <w:sz w:val="19"/>
    </w:rPr>
  </w:style>
  <w:style w:type="paragraph" w:styleId="ListBullet2">
    <w:name w:val="List Bullet 2"/>
    <w:basedOn w:val="Normal"/>
    <w:uiPriority w:val="99"/>
    <w:unhideWhenUsed/>
    <w:rsid w:val="00326F90"/>
    <w:pPr>
      <w:numPr>
        <w:numId w:val="2"/>
      </w:numPr>
      <w:contextualSpacing/>
    </w:pPr>
    <w:rPr>
      <w:rFonts w:ascii="Aptos" w:hAnsi="Aptos"/>
      <w:color w:val="152A3B"/>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52A3B"/>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