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Liberation Sans" w:hAnsi="Liberation Sans"/>
          <w:b/>
          <w:color w:val="17365D"/>
          <w:sz w:val="58"/>
        </w:rPr>
        <w:t>PRUDENTIAL CAPITAL</w:t>
        <w:br/>
        <w:t>CHANGE ASSURANCE</w:t>
      </w:r>
    </w:p>
    <w:p>
      <w:pPr>
        <w:jc w:val="center"/>
      </w:pPr>
      <w:r>
        <w:rPr>
          <w:rFonts w:ascii="Liberation Sans" w:hAnsi="Liberation Sans"/>
          <w:color w:val="1F4E79"/>
          <w:sz w:val="28"/>
        </w:rPr>
        <w:t>Finalized Product, Architecture, Testing, Scalability &amp; Go-to-Market Implementation Plan</w:t>
      </w:r>
    </w:p>
    <w:p>
      <w:pPr>
        <w:spacing w:before="500"/>
        <w:jc w:val="center"/>
      </w:pPr>
      <w:r>
        <w:rPr>
          <w:rFonts w:ascii="Liberation Sans" w:hAnsi="Liberation Sans"/>
          <w:b/>
          <w:color w:val="5B6573"/>
          <w:sz w:val="20"/>
        </w:rPr>
        <w:t>Foundation: existing Python Basel III / U.S. ERBA capital engine, unified data model and FFIEC 101 reporting layer</w:t>
      </w:r>
    </w:p>
    <w:p>
      <w:pPr>
        <w:spacing w:before="1100"/>
        <w:jc w:val="center"/>
      </w:pPr>
      <w:r>
        <w:rPr>
          <w:rFonts w:ascii="Liberation Sans" w:hAnsi="Liberation Sans"/>
          <w:color w:val="5B6573"/>
          <w:sz w:val="20"/>
        </w:rPr>
        <w:t>Version 1.0  •  15 August 2026</w:t>
      </w:r>
    </w:p>
    <w:p>
      <w:pPr>
        <w:jc w:val="center"/>
      </w:pPr>
      <w:r>
        <w:rPr>
          <w:rFonts w:ascii="Liberation Sans" w:hAnsi="Liberation Sans"/>
          <w:color w:val="5B6573"/>
          <w:sz w:val="18"/>
        </w:rPr>
        <w:t>Prepared as a build-and-commercialization blueprint</w:t>
      </w:r>
    </w:p>
    <w:p>
      <w:r>
        <w:br w:type="page"/>
      </w:r>
    </w:p>
    <w:p>
      <w:pPr>
        <w:pStyle w:val="Heading1"/>
      </w:pPr>
      <w:r>
        <w:t>1. Executive decision</w:t>
      </w:r>
    </w:p>
    <w:tbl>
      <w:tblPr>
        <w:tblW w:type="auto" w:w="0"/>
        <w:jc w:val="center"/>
        <w:tblLayout w:type="fixed"/>
        <w:tblLook w:firstColumn="1" w:firstRow="1" w:lastColumn="0" w:lastRow="0" w:noHBand="0" w:noVBand="1" w:val="04A0"/>
      </w:tblPr>
      <w:tblGrid>
        <w:gridCol w:w="9792"/>
      </w:tblGrid>
      <w:tr>
        <w:tc>
          <w:tcPr>
            <w:tcW w:type="dxa" w:w="10080"/>
            <w:shd w:fill="EAF0F8"/>
            <w:tcMar>
              <w:top w:w="120" w:type="dxa"/>
              <w:start w:w="150" w:type="dxa"/>
              <w:bottom w:w="120" w:type="dxa"/>
              <w:end w:w="150" w:type="dxa"/>
            </w:tcMar>
          </w:tcPr>
          <w:p>
            <w:r>
              <w:rPr>
                <w:rFonts w:ascii="Liberation Sans" w:hAnsi="Liberation Sans"/>
                <w:b/>
                <w:color w:val="17365D"/>
                <w:sz w:val="20"/>
              </w:rPr>
              <w:t>Build an AI-native, vendor-neutral Prudential Capital Change Assurance platform — not a generic regulatory radar and not a head-on replacement for Oracle OFSAA, Nasdaq AxiomSL, Regnology or Suade.</w:t>
            </w:r>
          </w:p>
        </w:tc>
      </w:tr>
    </w:tbl>
    <w:p>
      <w:r>
        <w:rPr>
          <w:rFonts w:ascii="Liberation Sans" w:hAnsi="Liberation Sans"/>
          <w:sz w:val="19"/>
        </w:rPr>
        <w:t>The current asset base already provides the most difficult foundation: a deterministic Python capital engine, a unified data model (UDM), exposure-level RWA/capital calculations and an FFIEC 101 reporting layer. The commercial strategy is to turn that calculation capability into an independent assurance and regulatory-change product rather than lead with “another Basel engine.”</w:t>
      </w:r>
    </w:p>
    <w:p>
      <w:pPr>
        <w:pStyle w:val="Heading2"/>
      </w:pPr>
      <w:r>
        <w:t>1.1 First two products</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tblHeader w:val="true"/>
        </w:trPr>
        <w:tc>
          <w:tcPr>
            <w:tcW w:type="dxa" w:w="2448"/>
            <w:shd w:fill="17365D"/>
            <w:tcMar>
              <w:top w:w="70" w:type="dxa"/>
              <w:start w:w="90" w:type="dxa"/>
              <w:bottom w:w="70" w:type="dxa"/>
              <w:end w:w="90" w:type="dxa"/>
            </w:tcMar>
          </w:tcPr>
          <w:p>
            <w:r>
              <w:rPr>
                <w:b/>
                <w:color w:val="FFFFFF"/>
                <w:sz w:val="16"/>
              </w:rPr>
              <w:t>Product</w:t>
            </w:r>
          </w:p>
        </w:tc>
        <w:tc>
          <w:tcPr>
            <w:tcW w:type="dxa" w:w="2592"/>
            <w:shd w:fill="17365D"/>
            <w:tcMar>
              <w:top w:w="70" w:type="dxa"/>
              <w:start w:w="90" w:type="dxa"/>
              <w:bottom w:w="70" w:type="dxa"/>
              <w:end w:w="90" w:type="dxa"/>
            </w:tcMar>
          </w:tcPr>
          <w:p>
            <w:r>
              <w:rPr>
                <w:b/>
                <w:color w:val="FFFFFF"/>
                <w:sz w:val="16"/>
              </w:rPr>
              <w:t>Primary question</w:t>
            </w:r>
          </w:p>
        </w:tc>
        <w:tc>
          <w:tcPr>
            <w:tcW w:type="dxa" w:w="3168"/>
            <w:shd w:fill="17365D"/>
            <w:tcMar>
              <w:top w:w="70" w:type="dxa"/>
              <w:start w:w="90" w:type="dxa"/>
              <w:bottom w:w="70" w:type="dxa"/>
              <w:end w:w="90" w:type="dxa"/>
            </w:tcMar>
          </w:tcPr>
          <w:p>
            <w:r>
              <w:rPr>
                <w:b/>
                <w:color w:val="FFFFFF"/>
                <w:sz w:val="16"/>
              </w:rPr>
              <w:t>Why it is differentiated</w:t>
            </w:r>
          </w:p>
        </w:tc>
        <w:tc>
          <w:tcPr>
            <w:tcW w:type="dxa" w:w="2016"/>
            <w:shd w:fill="17365D"/>
            <w:tcMar>
              <w:top w:w="70" w:type="dxa"/>
              <w:start w:w="90" w:type="dxa"/>
              <w:bottom w:w="70" w:type="dxa"/>
              <w:end w:w="90" w:type="dxa"/>
            </w:tcMar>
          </w:tcPr>
          <w:p>
            <w:r>
              <w:rPr>
                <w:b/>
                <w:color w:val="FFFFFF"/>
                <w:sz w:val="16"/>
              </w:rPr>
              <w:t>Initial buyer</w:t>
            </w:r>
          </w:p>
        </w:tc>
      </w:tr>
      <w:tr>
        <w:tc>
          <w:tcPr>
            <w:tcW w:type="dxa" w:w="2448"/>
            <w:vAlign w:val="top"/>
            <w:tcMar>
              <w:top w:w="70" w:type="dxa"/>
              <w:start w:w="90" w:type="dxa"/>
              <w:bottom w:w="70" w:type="dxa"/>
              <w:end w:w="90" w:type="dxa"/>
            </w:tcMar>
          </w:tcPr>
          <w:p>
            <w:pPr>
              <w:spacing w:after="0"/>
            </w:pPr>
            <w:r>
              <w:rPr>
                <w:rFonts w:ascii="Liberation Sans" w:hAnsi="Liberation Sans"/>
                <w:sz w:val="16"/>
              </w:rPr>
              <w:t>Product A — U.S. 2026 Capital Change Analyzer</w:t>
            </w:r>
          </w:p>
        </w:tc>
        <w:tc>
          <w:tcPr>
            <w:tcW w:type="dxa" w:w="2592"/>
            <w:vAlign w:val="top"/>
            <w:tcMar>
              <w:top w:w="70" w:type="dxa"/>
              <w:start w:w="90" w:type="dxa"/>
              <w:bottom w:w="70" w:type="dxa"/>
              <w:end w:w="90" w:type="dxa"/>
            </w:tcMar>
          </w:tcPr>
          <w:p>
            <w:pPr>
              <w:spacing w:after="0"/>
            </w:pPr>
            <w:r>
              <w:rPr>
                <w:rFonts w:ascii="Liberation Sans" w:hAnsi="Liberation Sans"/>
                <w:sz w:val="16"/>
              </w:rPr>
              <w:t>What does the March 2026 U.S. capital proposal change for our portfolio?</w:t>
            </w:r>
          </w:p>
        </w:tc>
        <w:tc>
          <w:tcPr>
            <w:tcW w:type="dxa" w:w="3168"/>
            <w:vAlign w:val="top"/>
            <w:tcMar>
              <w:top w:w="70" w:type="dxa"/>
              <w:start w:w="90" w:type="dxa"/>
              <w:bottom w:w="70" w:type="dxa"/>
              <w:end w:w="90" w:type="dxa"/>
            </w:tcMar>
          </w:tcPr>
          <w:p>
            <w:pPr>
              <w:spacing w:after="0"/>
            </w:pPr>
            <w:r>
              <w:rPr>
                <w:rFonts w:ascii="Liberation Sans" w:hAnsi="Liberation Sans"/>
                <w:sz w:val="16"/>
              </w:rPr>
              <w:t>Connects rule change to products, data, executable logic, ΔRWA/Δcapital, tests and evidence.</w:t>
            </w:r>
          </w:p>
        </w:tc>
        <w:tc>
          <w:tcPr>
            <w:tcW w:type="dxa" w:w="2016"/>
            <w:vAlign w:val="top"/>
            <w:tcMar>
              <w:top w:w="70" w:type="dxa"/>
              <w:start w:w="90" w:type="dxa"/>
              <w:bottom w:w="70" w:type="dxa"/>
              <w:end w:w="90" w:type="dxa"/>
            </w:tcMar>
          </w:tcPr>
          <w:p>
            <w:pPr>
              <w:spacing w:after="0"/>
            </w:pPr>
            <w:r>
              <w:rPr>
                <w:rFonts w:ascii="Liberation Sans" w:hAnsi="Liberation Sans"/>
                <w:sz w:val="16"/>
              </w:rPr>
              <w:t>Capital implementation, regulatory capital, change programs, consulting teams</w:t>
            </w:r>
          </w:p>
        </w:tc>
      </w:tr>
      <w:tr>
        <w:tc>
          <w:tcPr>
            <w:tcW w:type="dxa" w:w="2448"/>
            <w:vAlign w:val="top"/>
            <w:tcMar>
              <w:top w:w="70" w:type="dxa"/>
              <w:start w:w="90" w:type="dxa"/>
              <w:bottom w:w="70" w:type="dxa"/>
              <w:end w:w="90" w:type="dxa"/>
            </w:tcMar>
            <w:shd w:fill="F7F9FB"/>
          </w:tcPr>
          <w:p>
            <w:pPr>
              <w:spacing w:after="0"/>
            </w:pPr>
            <w:r>
              <w:rPr>
                <w:rFonts w:ascii="Liberation Sans" w:hAnsi="Liberation Sans"/>
                <w:sz w:val="16"/>
              </w:rPr>
              <w:t>Product B — Capital Assurance / RWA Reconciliation</w:t>
            </w:r>
          </w:p>
        </w:tc>
        <w:tc>
          <w:tcPr>
            <w:tcW w:type="dxa" w:w="2592"/>
            <w:vAlign w:val="top"/>
            <w:tcMar>
              <w:top w:w="70" w:type="dxa"/>
              <w:start w:w="90" w:type="dxa"/>
              <w:bottom w:w="70" w:type="dxa"/>
              <w:end w:w="90" w:type="dxa"/>
            </w:tcMar>
            <w:shd w:fill="F7F9FB"/>
          </w:tcPr>
          <w:p>
            <w:pPr>
              <w:spacing w:after="0"/>
            </w:pPr>
            <w:r>
              <w:rPr>
                <w:rFonts w:ascii="Liberation Sans" w:hAnsi="Liberation Sans"/>
                <w:sz w:val="16"/>
              </w:rPr>
              <w:t>Can we independently reproduce and explain the bank’s existing RWA?</w:t>
            </w:r>
          </w:p>
        </w:tc>
        <w:tc>
          <w:tcPr>
            <w:tcW w:type="dxa" w:w="3168"/>
            <w:vAlign w:val="top"/>
            <w:tcMar>
              <w:top w:w="70" w:type="dxa"/>
              <w:start w:w="90" w:type="dxa"/>
              <w:bottom w:w="70" w:type="dxa"/>
              <w:end w:w="90" w:type="dxa"/>
            </w:tcMar>
            <w:shd w:fill="F7F9FB"/>
          </w:tcPr>
          <w:p>
            <w:pPr>
              <w:spacing w:after="0"/>
            </w:pPr>
            <w:r>
              <w:rPr>
                <w:rFonts w:ascii="Liberation Sans" w:hAnsi="Liberation Sans"/>
                <w:sz w:val="16"/>
              </w:rPr>
              <w:t>Vendor-neutral comparison against OFSAA, AxiomSL, Regnology or internal engines; explains discrepancies rather than replacing production.</w:t>
            </w:r>
          </w:p>
        </w:tc>
        <w:tc>
          <w:tcPr>
            <w:tcW w:type="dxa" w:w="2016"/>
            <w:vAlign w:val="top"/>
            <w:tcMar>
              <w:top w:w="70" w:type="dxa"/>
              <w:start w:w="90" w:type="dxa"/>
              <w:bottom w:w="70" w:type="dxa"/>
              <w:end w:w="90" w:type="dxa"/>
            </w:tcMar>
            <w:shd w:fill="F7F9FB"/>
          </w:tcPr>
          <w:p>
            <w:pPr>
              <w:spacing w:after="0"/>
            </w:pPr>
            <w:r>
              <w:rPr>
                <w:rFonts w:ascii="Liberation Sans" w:hAnsi="Liberation Sans"/>
                <w:sz w:val="16"/>
              </w:rPr>
              <w:t>Capital controls, model validation, internal audit, regulatory reporting</w:t>
            </w:r>
          </w:p>
        </w:tc>
      </w:tr>
    </w:tbl>
    <w:p>
      <w:pPr>
        <w:spacing w:after="20"/>
      </w:pPr>
    </w:p>
    <w:p>
      <w:pPr>
        <w:pStyle w:val="Heading2"/>
      </w:pPr>
      <w:r>
        <w:t>1.2 Strategic boundaries</w:t>
      </w:r>
    </w:p>
    <w:p>
      <w:pPr>
        <w:pStyle w:val="ListBullet"/>
        <w:spacing w:after="40"/>
      </w:pPr>
      <w:r>
        <w:rPr>
          <w:rFonts w:ascii="Liberation Sans" w:hAnsi="Liberation Sans"/>
          <w:sz w:val="18"/>
        </w:rPr>
        <w:t>Do not launch a generic regulatory-news or regulation-chatbot product; incumbent RegTech vendors already cover monitoring, change alerts, applicability, obligations and policy/control mapping.</w:t>
      </w:r>
    </w:p>
    <w:p>
      <w:pPr>
        <w:pStyle w:val="ListBullet"/>
        <w:spacing w:after="40"/>
      </w:pPr>
      <w:r>
        <w:rPr>
          <w:rFonts w:ascii="Liberation Sans" w:hAnsi="Liberation Sans"/>
          <w:sz w:val="18"/>
        </w:rPr>
        <w:t>Do not replace the Python platform with PySpark. Introduce Spark only as a distributed compute adapter after correctness and scale benchmarks justify it.</w:t>
      </w:r>
    </w:p>
    <w:p>
      <w:pPr>
        <w:pStyle w:val="ListBullet"/>
        <w:spacing w:after="40"/>
      </w:pPr>
      <w:r>
        <w:rPr>
          <w:rFonts w:ascii="Liberation Sans" w:hAnsi="Liberation Sans"/>
          <w:sz w:val="18"/>
        </w:rPr>
        <w:t>Do not fork a separate code base per country. Use the BCBS Basel Framework as the canonical baseline, with versioned jurisdiction-specific overlays.</w:t>
      </w:r>
    </w:p>
    <w:p>
      <w:pPr>
        <w:pStyle w:val="ListBullet"/>
        <w:spacing w:after="40"/>
      </w:pPr>
      <w:r>
        <w:rPr>
          <w:rFonts w:ascii="Liberation Sans" w:hAnsi="Liberation Sans"/>
          <w:sz w:val="18"/>
        </w:rPr>
        <w:t>Do not allow an LLM to calculate or modify regulatory capital. AI interprets, investigates, explains, proposes tests and orchestrates controlled workflows; deterministic services own calculations.</w:t>
      </w:r>
    </w:p>
    <w:p>
      <w:pPr>
        <w:pStyle w:val="ListBullet"/>
        <w:spacing w:after="40"/>
      </w:pPr>
      <w:r>
        <w:rPr>
          <w:rFonts w:ascii="Liberation Sans" w:hAnsi="Liberation Sans"/>
          <w:sz w:val="18"/>
        </w:rPr>
        <w:t>Do not start with every Basel risk type or jurisdiction. Credit risk / standardized / U.S. 2026 is the first implementation boundary.</w:t>
      </w:r>
    </w:p>
    <w:p>
      <w:pPr>
        <w:pStyle w:val="Heading2"/>
      </w:pPr>
      <w:r>
        <w:t>1.3 Why the timing is useful</w:t>
      </w:r>
    </w:p>
    <w:p>
      <w:r>
        <w:rPr>
          <w:rFonts w:ascii="Liberation Sans" w:hAnsi="Liberation Sans"/>
          <w:sz w:val="19"/>
        </w:rPr>
        <w:t>On 19 March 2026, the U.S. federal banking agencies proposed a new Expanded Risk-Based Approach (ERBA) for Category I and II banking organizations, while allowing other banking organizations to elect it; the agencies simultaneously proposed standardized-capital changes for other organizations. This creates a concrete regulatory-change use case for an executable impact analyzer. [R2]</w:t>
      </w:r>
    </w:p>
    <w:p>
      <w:r>
        <w:rPr>
          <w:rFonts w:ascii="Liberation Sans" w:hAnsi="Liberation Sans"/>
          <w:sz w:val="19"/>
        </w:rPr>
        <w:t>FFIEC 101 remains, as of June 2026, the current regulatory capital report for institutions subject to the Advanced Capital Adequacy Framework; FFIEC also shows a June 2026 extension without revision. Therefore the existing FFIEC 101 module should be preserved but isolated behind a versioned reporting-mapping layer because U.S. reporting will evolve with any final capital rules. [R3]</w:t>
      </w:r>
    </w:p>
    <w:p>
      <w:pPr>
        <w:jc w:val="center"/>
      </w:pPr>
      <w:r>
        <w:drawing>
          <wp:inline xmlns:a="http://schemas.openxmlformats.org/drawingml/2006/main" xmlns:pic="http://schemas.openxmlformats.org/drawingml/2006/picture">
            <wp:extent cx="6309360" cy="3660077"/>
            <wp:docPr id="1" name="Picture 1"/>
            <wp:cNvGraphicFramePr>
              <a:graphicFrameLocks noChangeAspect="1"/>
            </wp:cNvGraphicFramePr>
            <a:graphic>
              <a:graphicData uri="http://schemas.openxmlformats.org/drawingml/2006/picture">
                <pic:pic>
                  <pic:nvPicPr>
                    <pic:cNvPr id="0" name="architecture_overview.png"/>
                    <pic:cNvPicPr/>
                  </pic:nvPicPr>
                  <pic:blipFill>
                    <a:blip r:embed="rId11"/>
                    <a:stretch>
                      <a:fillRect/>
                    </a:stretch>
                  </pic:blipFill>
                  <pic:spPr>
                    <a:xfrm>
                      <a:off x="0" y="0"/>
                      <a:ext cx="6309360" cy="3660077"/>
                    </a:xfrm>
                    <a:prstGeom prst="rect"/>
                  </pic:spPr>
                </pic:pic>
              </a:graphicData>
            </a:graphic>
          </wp:inline>
        </w:drawing>
      </w:r>
    </w:p>
    <w:p>
      <w:pPr>
        <w:jc w:val="center"/>
      </w:pPr>
      <w:r>
        <w:rPr>
          <w:rFonts w:ascii="Liberation Sans" w:hAnsi="Liberation Sans"/>
          <w:b/>
          <w:color w:val="5B6573"/>
          <w:sz w:val="16"/>
        </w:rPr>
        <w:t>Figure 1 — Target platform architecture</w:t>
      </w:r>
    </w:p>
    <w:p>
      <w:r>
        <w:br w:type="page"/>
      </w:r>
    </w:p>
    <w:p>
      <w:pPr>
        <w:pStyle w:val="Heading1"/>
      </w:pPr>
      <w:r>
        <w:t>2. Market thesis and competitive position</w:t>
      </w:r>
    </w:p>
    <w:p>
      <w:pPr>
        <w:pStyle w:val="Heading2"/>
      </w:pPr>
      <w:r>
        <w:t>2.1 What incumbents already do well</w:t>
      </w:r>
    </w:p>
    <w:p>
      <w:r>
        <w:rPr>
          <w:rFonts w:ascii="Liberation Sans" w:hAnsi="Liberation Sans"/>
          <w:sz w:val="19"/>
        </w:rPr>
        <w:t>The competitive research shows that regulatory monitoring and change management are mature categories. CUBE describes regulatory change management as capturing changes, determining impact on obligations, updating policies/controls and implementing business changes; its platform markets end-to-end regulatory-change lifecycle automation. [R9][R10] FinregE markets machine-readable regulatory records and regulatory interpretations, including prudential-capital domains. [R11][R12]</w:t>
      </w:r>
    </w:p>
    <w:p>
      <w:r>
        <w:rPr>
          <w:rFonts w:ascii="Liberation Sans" w:hAnsi="Liberation Sans"/>
          <w:sz w:val="19"/>
        </w:rPr>
        <w:t>On the capital/reporting side, Nasdaq AxiomSL markets consolidated capital-risk calculations and reporting, with regulatory-change services that track mandates, assess impact, maintain logic, validate releases and promote updates; Nasdaq also states that AxiomSL is used by 90% of G-SIBs. [R13][R14] Oracle OFSAA markets Basel regulatory-capital applications and broader risk/finance analytical applications. [R15][R16] Suade markets standardized data, regulatory calculations and reporting across jurisdictions. [R17][R18]</w:t>
      </w:r>
    </w:p>
    <w:p>
      <w:pPr>
        <w:pStyle w:val="Heading2"/>
      </w:pPr>
      <w:r>
        <w:t>2.2 The defendable wedge</w:t>
      </w:r>
    </w:p>
    <w:tbl>
      <w:tblPr>
        <w:tblW w:type="auto" w:w="0"/>
        <w:jc w:val="center"/>
        <w:tblLayout w:type="fixed"/>
        <w:tblLook w:firstColumn="1" w:firstRow="1" w:lastColumn="0" w:lastRow="0" w:noHBand="0" w:noVBand="1" w:val="04A0"/>
      </w:tblPr>
      <w:tblGrid>
        <w:gridCol w:w="9792"/>
      </w:tblGrid>
      <w:tr>
        <w:tc>
          <w:tcPr>
            <w:tcW w:type="dxa" w:w="10080"/>
            <w:shd w:fill="EAF0F8"/>
            <w:tcMar>
              <w:top w:w="120" w:type="dxa"/>
              <w:start w:w="150" w:type="dxa"/>
              <w:bottom w:w="120" w:type="dxa"/>
              <w:end w:w="150" w:type="dxa"/>
            </w:tcMar>
          </w:tcPr>
          <w:p>
            <w:r>
              <w:rPr>
                <w:rFonts w:ascii="Liberation Sans" w:hAnsi="Liberation Sans"/>
                <w:b/>
                <w:color w:val="17365D"/>
                <w:sz w:val="20"/>
              </w:rPr>
              <w:t>White space to validate: vendor-neutral prudential change assurance — regulation → bank products/data → executable rule delta → old/new RWA → incumbent-engine reconciliation → test/evidence pack.</w:t>
            </w:r>
          </w:p>
        </w:tc>
      </w:tr>
    </w:tbl>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tblHeader w:val="true"/>
        </w:trPr>
        <w:tc>
          <w:tcPr>
            <w:tcW w:type="dxa" w:w="2520"/>
            <w:shd w:fill="17365D"/>
            <w:tcMar>
              <w:top w:w="70" w:type="dxa"/>
              <w:start w:w="90" w:type="dxa"/>
              <w:bottom w:w="70" w:type="dxa"/>
              <w:end w:w="90" w:type="dxa"/>
            </w:tcMar>
          </w:tcPr>
          <w:p>
            <w:r>
              <w:rPr>
                <w:b/>
                <w:color w:val="FFFFFF"/>
                <w:sz w:val="15"/>
              </w:rPr>
              <w:t>Capability</w:t>
            </w:r>
          </w:p>
        </w:tc>
        <w:tc>
          <w:tcPr>
            <w:tcW w:type="dxa" w:w="2520"/>
            <w:shd w:fill="17365D"/>
            <w:tcMar>
              <w:top w:w="70" w:type="dxa"/>
              <w:start w:w="90" w:type="dxa"/>
              <w:bottom w:w="70" w:type="dxa"/>
              <w:end w:w="90" w:type="dxa"/>
            </w:tcMar>
          </w:tcPr>
          <w:p>
            <w:r>
              <w:rPr>
                <w:b/>
                <w:color w:val="FFFFFF"/>
                <w:sz w:val="15"/>
              </w:rPr>
              <w:t>Generic RegTech vendors</w:t>
            </w:r>
          </w:p>
        </w:tc>
        <w:tc>
          <w:tcPr>
            <w:tcW w:type="dxa" w:w="2520"/>
            <w:shd w:fill="17365D"/>
            <w:tcMar>
              <w:top w:w="70" w:type="dxa"/>
              <w:start w:w="90" w:type="dxa"/>
              <w:bottom w:w="70" w:type="dxa"/>
              <w:end w:w="90" w:type="dxa"/>
            </w:tcMar>
          </w:tcPr>
          <w:p>
            <w:r>
              <w:rPr>
                <w:b/>
                <w:color w:val="FFFFFF"/>
                <w:sz w:val="15"/>
              </w:rPr>
              <w:t>Capital/reporting incumbents</w:t>
            </w:r>
          </w:p>
        </w:tc>
        <w:tc>
          <w:tcPr>
            <w:tcW w:type="dxa" w:w="2520"/>
            <w:shd w:fill="17365D"/>
            <w:tcMar>
              <w:top w:w="70" w:type="dxa"/>
              <w:start w:w="90" w:type="dxa"/>
              <w:bottom w:w="70" w:type="dxa"/>
              <w:end w:w="90" w:type="dxa"/>
            </w:tcMar>
          </w:tcPr>
          <w:p>
            <w:r>
              <w:rPr>
                <w:b/>
                <w:color w:val="FFFFFF"/>
                <w:sz w:val="15"/>
              </w:rPr>
              <w:t>Our intended strength</w:t>
            </w:r>
          </w:p>
        </w:tc>
      </w:tr>
      <w:tr>
        <w:tc>
          <w:tcPr>
            <w:tcW w:type="dxa" w:w="2520"/>
            <w:vAlign w:val="top"/>
            <w:tcMar>
              <w:top w:w="70" w:type="dxa"/>
              <w:start w:w="90" w:type="dxa"/>
              <w:bottom w:w="70" w:type="dxa"/>
              <w:end w:w="90" w:type="dxa"/>
            </w:tcMar>
          </w:tcPr>
          <w:p>
            <w:pPr>
              <w:spacing w:after="0"/>
            </w:pPr>
            <w:r>
              <w:rPr>
                <w:rFonts w:ascii="Liberation Sans" w:hAnsi="Liberation Sans"/>
                <w:sz w:val="15"/>
              </w:rPr>
              <w:t>Regulatory source monitoring</w:t>
            </w:r>
          </w:p>
        </w:tc>
        <w:tc>
          <w:tcPr>
            <w:tcW w:type="dxa" w:w="2520"/>
            <w:vAlign w:val="top"/>
            <w:tcMar>
              <w:top w:w="70" w:type="dxa"/>
              <w:start w:w="90" w:type="dxa"/>
              <w:bottom w:w="70" w:type="dxa"/>
              <w:end w:w="90" w:type="dxa"/>
            </w:tcMar>
          </w:tcPr>
          <w:p>
            <w:pPr>
              <w:spacing w:after="0"/>
            </w:pPr>
            <w:r>
              <w:rPr>
                <w:rFonts w:ascii="Liberation Sans" w:hAnsi="Liberation Sans"/>
                <w:sz w:val="15"/>
              </w:rPr>
              <w:t>Strong</w:t>
            </w:r>
          </w:p>
        </w:tc>
        <w:tc>
          <w:tcPr>
            <w:tcW w:type="dxa" w:w="2520"/>
            <w:vAlign w:val="top"/>
            <w:tcMar>
              <w:top w:w="70" w:type="dxa"/>
              <w:start w:w="90" w:type="dxa"/>
              <w:bottom w:w="70" w:type="dxa"/>
              <w:end w:w="90" w:type="dxa"/>
            </w:tcMar>
          </w:tcPr>
          <w:p>
            <w:pPr>
              <w:spacing w:after="0"/>
            </w:pPr>
            <w:r>
              <w:rPr>
                <w:rFonts w:ascii="Liberation Sans" w:hAnsi="Liberation Sans"/>
                <w:sz w:val="15"/>
              </w:rPr>
              <w:t>Moderate</w:t>
            </w:r>
          </w:p>
        </w:tc>
        <w:tc>
          <w:tcPr>
            <w:tcW w:type="dxa" w:w="2520"/>
            <w:vAlign w:val="top"/>
            <w:tcMar>
              <w:top w:w="70" w:type="dxa"/>
              <w:start w:w="90" w:type="dxa"/>
              <w:bottom w:w="70" w:type="dxa"/>
              <w:end w:w="90" w:type="dxa"/>
            </w:tcMar>
          </w:tcPr>
          <w:p>
            <w:pPr>
              <w:spacing w:after="0"/>
            </w:pPr>
            <w:r>
              <w:rPr>
                <w:rFonts w:ascii="Liberation Sans" w:hAnsi="Liberation Sans"/>
                <w:sz w:val="15"/>
              </w:rPr>
              <w:t>Basic initially; partner/license later</w:t>
            </w:r>
          </w:p>
        </w:tc>
      </w:tr>
      <w:tr>
        <w:tc>
          <w:tcPr>
            <w:tcW w:type="dxa" w:w="2520"/>
            <w:vAlign w:val="top"/>
            <w:tcMar>
              <w:top w:w="70" w:type="dxa"/>
              <w:start w:w="90" w:type="dxa"/>
              <w:bottom w:w="70" w:type="dxa"/>
              <w:end w:w="90" w:type="dxa"/>
            </w:tcMar>
            <w:shd w:fill="F7F9FB"/>
          </w:tcPr>
          <w:p>
            <w:pPr>
              <w:spacing w:after="0"/>
            </w:pPr>
            <w:r>
              <w:rPr>
                <w:rFonts w:ascii="Liberation Sans" w:hAnsi="Liberation Sans"/>
                <w:sz w:val="15"/>
              </w:rPr>
              <w:t>AI summary / obligation extraction</w:t>
            </w:r>
          </w:p>
        </w:tc>
        <w:tc>
          <w:tcPr>
            <w:tcW w:type="dxa" w:w="2520"/>
            <w:vAlign w:val="top"/>
            <w:tcMar>
              <w:top w:w="70" w:type="dxa"/>
              <w:start w:w="90" w:type="dxa"/>
              <w:bottom w:w="70" w:type="dxa"/>
              <w:end w:w="90" w:type="dxa"/>
            </w:tcMar>
            <w:shd w:fill="F7F9FB"/>
          </w:tcPr>
          <w:p>
            <w:pPr>
              <w:spacing w:after="0"/>
            </w:pPr>
            <w:r>
              <w:rPr>
                <w:rFonts w:ascii="Liberation Sans" w:hAnsi="Liberation Sans"/>
                <w:sz w:val="15"/>
              </w:rPr>
              <w:t>Strong</w:t>
            </w:r>
          </w:p>
        </w:tc>
        <w:tc>
          <w:tcPr>
            <w:tcW w:type="dxa" w:w="2520"/>
            <w:vAlign w:val="top"/>
            <w:tcMar>
              <w:top w:w="70" w:type="dxa"/>
              <w:start w:w="90" w:type="dxa"/>
              <w:bottom w:w="70" w:type="dxa"/>
              <w:end w:w="90" w:type="dxa"/>
            </w:tcMar>
            <w:shd w:fill="F7F9FB"/>
          </w:tcPr>
          <w:p>
            <w:pPr>
              <w:spacing w:after="0"/>
            </w:pPr>
            <w:r>
              <w:rPr>
                <w:rFonts w:ascii="Liberation Sans" w:hAnsi="Liberation Sans"/>
                <w:sz w:val="15"/>
              </w:rPr>
              <w:t>Increasing</w:t>
            </w:r>
          </w:p>
        </w:tc>
        <w:tc>
          <w:tcPr>
            <w:tcW w:type="dxa" w:w="2520"/>
            <w:vAlign w:val="top"/>
            <w:tcMar>
              <w:top w:w="70" w:type="dxa"/>
              <w:start w:w="90" w:type="dxa"/>
              <w:bottom w:w="70" w:type="dxa"/>
              <w:end w:w="90" w:type="dxa"/>
            </w:tcMar>
            <w:shd w:fill="F7F9FB"/>
          </w:tcPr>
          <w:p>
            <w:pPr>
              <w:spacing w:after="0"/>
            </w:pPr>
            <w:r>
              <w:rPr>
                <w:rFonts w:ascii="Liberation Sans" w:hAnsi="Liberation Sans"/>
                <w:sz w:val="15"/>
              </w:rPr>
              <w:t>Required, but not moat</w:t>
            </w:r>
          </w:p>
        </w:tc>
      </w:tr>
      <w:tr>
        <w:tc>
          <w:tcPr>
            <w:tcW w:type="dxa" w:w="2520"/>
            <w:vAlign w:val="top"/>
            <w:tcMar>
              <w:top w:w="70" w:type="dxa"/>
              <w:start w:w="90" w:type="dxa"/>
              <w:bottom w:w="70" w:type="dxa"/>
              <w:end w:w="90" w:type="dxa"/>
            </w:tcMar>
          </w:tcPr>
          <w:p>
            <w:pPr>
              <w:spacing w:after="0"/>
            </w:pPr>
            <w:r>
              <w:rPr>
                <w:rFonts w:ascii="Liberation Sans" w:hAnsi="Liberation Sans"/>
                <w:sz w:val="15"/>
              </w:rPr>
              <w:t>Policy/control mapping</w:t>
            </w:r>
          </w:p>
        </w:tc>
        <w:tc>
          <w:tcPr>
            <w:tcW w:type="dxa" w:w="2520"/>
            <w:vAlign w:val="top"/>
            <w:tcMar>
              <w:top w:w="70" w:type="dxa"/>
              <w:start w:w="90" w:type="dxa"/>
              <w:bottom w:w="70" w:type="dxa"/>
              <w:end w:w="90" w:type="dxa"/>
            </w:tcMar>
          </w:tcPr>
          <w:p>
            <w:pPr>
              <w:spacing w:after="0"/>
            </w:pPr>
            <w:r>
              <w:rPr>
                <w:rFonts w:ascii="Liberation Sans" w:hAnsi="Liberation Sans"/>
                <w:sz w:val="15"/>
              </w:rPr>
              <w:t>Strong</w:t>
            </w:r>
          </w:p>
        </w:tc>
        <w:tc>
          <w:tcPr>
            <w:tcW w:type="dxa" w:w="2520"/>
            <w:vAlign w:val="top"/>
            <w:tcMar>
              <w:top w:w="70" w:type="dxa"/>
              <w:start w:w="90" w:type="dxa"/>
              <w:bottom w:w="70" w:type="dxa"/>
              <w:end w:w="90" w:type="dxa"/>
            </w:tcMar>
          </w:tcPr>
          <w:p>
            <w:pPr>
              <w:spacing w:after="0"/>
            </w:pPr>
            <w:r>
              <w:rPr>
                <w:rFonts w:ascii="Liberation Sans" w:hAnsi="Liberation Sans"/>
                <w:sz w:val="15"/>
              </w:rPr>
              <w:t>Mixed</w:t>
            </w:r>
          </w:p>
        </w:tc>
        <w:tc>
          <w:tcPr>
            <w:tcW w:type="dxa" w:w="2520"/>
            <w:vAlign w:val="top"/>
            <w:tcMar>
              <w:top w:w="70" w:type="dxa"/>
              <w:start w:w="90" w:type="dxa"/>
              <w:bottom w:w="70" w:type="dxa"/>
              <w:end w:w="90" w:type="dxa"/>
            </w:tcMar>
          </w:tcPr>
          <w:p>
            <w:pPr>
              <w:spacing w:after="0"/>
            </w:pPr>
            <w:r>
              <w:rPr>
                <w:rFonts w:ascii="Liberation Sans" w:hAnsi="Liberation Sans"/>
                <w:sz w:val="15"/>
              </w:rPr>
              <w:t>Later module</w:t>
            </w:r>
          </w:p>
        </w:tc>
      </w:tr>
      <w:tr>
        <w:tc>
          <w:tcPr>
            <w:tcW w:type="dxa" w:w="2520"/>
            <w:vAlign w:val="top"/>
            <w:tcMar>
              <w:top w:w="70" w:type="dxa"/>
              <w:start w:w="90" w:type="dxa"/>
              <w:bottom w:w="70" w:type="dxa"/>
              <w:end w:w="90" w:type="dxa"/>
            </w:tcMar>
            <w:shd w:fill="F7F9FB"/>
          </w:tcPr>
          <w:p>
            <w:pPr>
              <w:spacing w:after="0"/>
            </w:pPr>
            <w:r>
              <w:rPr>
                <w:rFonts w:ascii="Liberation Sans" w:hAnsi="Liberation Sans"/>
                <w:sz w:val="15"/>
              </w:rPr>
              <w:t>Machine-readable regulation</w:t>
            </w:r>
          </w:p>
        </w:tc>
        <w:tc>
          <w:tcPr>
            <w:tcW w:type="dxa" w:w="2520"/>
            <w:vAlign w:val="top"/>
            <w:tcMar>
              <w:top w:w="70" w:type="dxa"/>
              <w:start w:w="90" w:type="dxa"/>
              <w:bottom w:w="70" w:type="dxa"/>
              <w:end w:w="90" w:type="dxa"/>
            </w:tcMar>
            <w:shd w:fill="F7F9FB"/>
          </w:tcPr>
          <w:p>
            <w:pPr>
              <w:spacing w:after="0"/>
            </w:pPr>
            <w:r>
              <w:rPr>
                <w:rFonts w:ascii="Liberation Sans" w:hAnsi="Liberation Sans"/>
                <w:sz w:val="15"/>
              </w:rPr>
              <w:t>Strong in some vendors</w:t>
            </w:r>
          </w:p>
        </w:tc>
        <w:tc>
          <w:tcPr>
            <w:tcW w:type="dxa" w:w="2520"/>
            <w:vAlign w:val="top"/>
            <w:tcMar>
              <w:top w:w="70" w:type="dxa"/>
              <w:start w:w="90" w:type="dxa"/>
              <w:bottom w:w="70" w:type="dxa"/>
              <w:end w:w="90" w:type="dxa"/>
            </w:tcMar>
            <w:shd w:fill="F7F9FB"/>
          </w:tcPr>
          <w:p>
            <w:pPr>
              <w:spacing w:after="0"/>
            </w:pPr>
            <w:r>
              <w:rPr>
                <w:rFonts w:ascii="Liberation Sans" w:hAnsi="Liberation Sans"/>
                <w:sz w:val="15"/>
              </w:rPr>
              <w:t>Strong in some platforms</w:t>
            </w:r>
          </w:p>
        </w:tc>
        <w:tc>
          <w:tcPr>
            <w:tcW w:type="dxa" w:w="2520"/>
            <w:vAlign w:val="top"/>
            <w:tcMar>
              <w:top w:w="70" w:type="dxa"/>
              <w:start w:w="90" w:type="dxa"/>
              <w:bottom w:w="70" w:type="dxa"/>
              <w:end w:w="90" w:type="dxa"/>
            </w:tcMar>
            <w:shd w:fill="F7F9FB"/>
          </w:tcPr>
          <w:p>
            <w:pPr>
              <w:spacing w:after="0"/>
            </w:pPr>
            <w:r>
              <w:rPr>
                <w:rFonts w:ascii="Liberation Sans" w:hAnsi="Liberation Sans"/>
                <w:sz w:val="15"/>
              </w:rPr>
              <w:t>Core regulatory graph input</w:t>
            </w:r>
          </w:p>
        </w:tc>
      </w:tr>
      <w:tr>
        <w:tc>
          <w:tcPr>
            <w:tcW w:type="dxa" w:w="2520"/>
            <w:vAlign w:val="top"/>
            <w:tcMar>
              <w:top w:w="70" w:type="dxa"/>
              <w:start w:w="90" w:type="dxa"/>
              <w:bottom w:w="70" w:type="dxa"/>
              <w:end w:w="90" w:type="dxa"/>
            </w:tcMar>
          </w:tcPr>
          <w:p>
            <w:pPr>
              <w:spacing w:after="0"/>
            </w:pPr>
            <w:r>
              <w:rPr>
                <w:rFonts w:ascii="Liberation Sans" w:hAnsi="Liberation Sans"/>
                <w:sz w:val="15"/>
              </w:rPr>
              <w:t>Capital calculation</w:t>
            </w:r>
          </w:p>
        </w:tc>
        <w:tc>
          <w:tcPr>
            <w:tcW w:type="dxa" w:w="2520"/>
            <w:vAlign w:val="top"/>
            <w:tcMar>
              <w:top w:w="70" w:type="dxa"/>
              <w:start w:w="90" w:type="dxa"/>
              <w:bottom w:w="70" w:type="dxa"/>
              <w:end w:w="90" w:type="dxa"/>
            </w:tcMar>
          </w:tcPr>
          <w:p>
            <w:pPr>
              <w:spacing w:after="0"/>
            </w:pPr>
            <w:r>
              <w:rPr>
                <w:rFonts w:ascii="Liberation Sans" w:hAnsi="Liberation Sans"/>
                <w:sz w:val="15"/>
              </w:rPr>
              <w:t>Usually weak/adjacent</w:t>
            </w:r>
          </w:p>
        </w:tc>
        <w:tc>
          <w:tcPr>
            <w:tcW w:type="dxa" w:w="2520"/>
            <w:vAlign w:val="top"/>
            <w:tcMar>
              <w:top w:w="70" w:type="dxa"/>
              <w:start w:w="90" w:type="dxa"/>
              <w:bottom w:w="70" w:type="dxa"/>
              <w:end w:w="90" w:type="dxa"/>
            </w:tcMar>
          </w:tcPr>
          <w:p>
            <w:pPr>
              <w:spacing w:after="0"/>
            </w:pPr>
            <w:r>
              <w:rPr>
                <w:rFonts w:ascii="Liberation Sans" w:hAnsi="Liberation Sans"/>
                <w:sz w:val="15"/>
              </w:rPr>
              <w:t>Strong</w:t>
            </w:r>
          </w:p>
        </w:tc>
        <w:tc>
          <w:tcPr>
            <w:tcW w:type="dxa" w:w="2520"/>
            <w:vAlign w:val="top"/>
            <w:tcMar>
              <w:top w:w="70" w:type="dxa"/>
              <w:start w:w="90" w:type="dxa"/>
              <w:bottom w:w="70" w:type="dxa"/>
              <w:end w:w="90" w:type="dxa"/>
            </w:tcMar>
          </w:tcPr>
          <w:p>
            <w:pPr>
              <w:spacing w:after="0"/>
            </w:pPr>
            <w:r>
              <w:rPr>
                <w:rFonts w:ascii="Liberation Sans" w:hAnsi="Liberation Sans"/>
                <w:sz w:val="15"/>
              </w:rPr>
              <w:t>Existing foundation</w:t>
            </w:r>
          </w:p>
        </w:tc>
      </w:tr>
      <w:tr>
        <w:tc>
          <w:tcPr>
            <w:tcW w:type="dxa" w:w="2520"/>
            <w:vAlign w:val="top"/>
            <w:tcMar>
              <w:top w:w="70" w:type="dxa"/>
              <w:start w:w="90" w:type="dxa"/>
              <w:bottom w:w="70" w:type="dxa"/>
              <w:end w:w="90" w:type="dxa"/>
            </w:tcMar>
            <w:shd w:fill="F7F9FB"/>
          </w:tcPr>
          <w:p>
            <w:pPr>
              <w:spacing w:after="0"/>
            </w:pPr>
            <w:r>
              <w:rPr>
                <w:rFonts w:ascii="Liberation Sans" w:hAnsi="Liberation Sans"/>
                <w:sz w:val="15"/>
              </w:rPr>
              <w:t>Portfolio-level old/new rule execution</w:t>
            </w:r>
          </w:p>
        </w:tc>
        <w:tc>
          <w:tcPr>
            <w:tcW w:type="dxa" w:w="2520"/>
            <w:vAlign w:val="top"/>
            <w:tcMar>
              <w:top w:w="70" w:type="dxa"/>
              <w:start w:w="90" w:type="dxa"/>
              <w:bottom w:w="70" w:type="dxa"/>
              <w:end w:w="90" w:type="dxa"/>
            </w:tcMar>
            <w:shd w:fill="F7F9FB"/>
          </w:tcPr>
          <w:p>
            <w:pPr>
              <w:spacing w:after="0"/>
            </w:pPr>
            <w:r>
              <w:rPr>
                <w:rFonts w:ascii="Liberation Sans" w:hAnsi="Liberation Sans"/>
                <w:sz w:val="15"/>
              </w:rPr>
              <w:t>Rare as primary proposition</w:t>
            </w:r>
          </w:p>
        </w:tc>
        <w:tc>
          <w:tcPr>
            <w:tcW w:type="dxa" w:w="2520"/>
            <w:vAlign w:val="top"/>
            <w:tcMar>
              <w:top w:w="70" w:type="dxa"/>
              <w:start w:w="90" w:type="dxa"/>
              <w:bottom w:w="70" w:type="dxa"/>
              <w:end w:w="90" w:type="dxa"/>
            </w:tcMar>
            <w:shd w:fill="F7F9FB"/>
          </w:tcPr>
          <w:p>
            <w:pPr>
              <w:spacing w:after="0"/>
            </w:pPr>
            <w:r>
              <w:rPr>
                <w:rFonts w:ascii="Liberation Sans" w:hAnsi="Liberation Sans"/>
                <w:sz w:val="15"/>
              </w:rPr>
              <w:t>Possible within own stack</w:t>
            </w:r>
          </w:p>
        </w:tc>
        <w:tc>
          <w:tcPr>
            <w:tcW w:type="dxa" w:w="2520"/>
            <w:vAlign w:val="top"/>
            <w:tcMar>
              <w:top w:w="70" w:type="dxa"/>
              <w:start w:w="90" w:type="dxa"/>
              <w:bottom w:w="70" w:type="dxa"/>
              <w:end w:w="90" w:type="dxa"/>
            </w:tcMar>
            <w:shd w:fill="F7F9FB"/>
          </w:tcPr>
          <w:p>
            <w:pPr>
              <w:spacing w:after="0"/>
            </w:pPr>
            <w:r>
              <w:rPr>
                <w:rFonts w:ascii="Liberation Sans" w:hAnsi="Liberation Sans"/>
                <w:sz w:val="15"/>
              </w:rPr>
              <w:t>Core product workflow</w:t>
            </w:r>
          </w:p>
        </w:tc>
      </w:tr>
      <w:tr>
        <w:tc>
          <w:tcPr>
            <w:tcW w:type="dxa" w:w="2520"/>
            <w:vAlign w:val="top"/>
            <w:tcMar>
              <w:top w:w="70" w:type="dxa"/>
              <w:start w:w="90" w:type="dxa"/>
              <w:bottom w:w="70" w:type="dxa"/>
              <w:end w:w="90" w:type="dxa"/>
            </w:tcMar>
          </w:tcPr>
          <w:p>
            <w:pPr>
              <w:spacing w:after="0"/>
            </w:pPr>
            <w:r>
              <w:rPr>
                <w:rFonts w:ascii="Liberation Sans" w:hAnsi="Liberation Sans"/>
                <w:sz w:val="15"/>
              </w:rPr>
              <w:t>Vendor-neutral engine reconciliation</w:t>
            </w:r>
          </w:p>
        </w:tc>
        <w:tc>
          <w:tcPr>
            <w:tcW w:type="dxa" w:w="2520"/>
            <w:vAlign w:val="top"/>
            <w:tcMar>
              <w:top w:w="70" w:type="dxa"/>
              <w:start w:w="90" w:type="dxa"/>
              <w:bottom w:w="70" w:type="dxa"/>
              <w:end w:w="90" w:type="dxa"/>
            </w:tcMar>
          </w:tcPr>
          <w:p>
            <w:pPr>
              <w:spacing w:after="0"/>
            </w:pPr>
            <w:r>
              <w:rPr>
                <w:rFonts w:ascii="Liberation Sans" w:hAnsi="Liberation Sans"/>
                <w:sz w:val="15"/>
              </w:rPr>
              <w:t>Not core</w:t>
            </w:r>
          </w:p>
        </w:tc>
        <w:tc>
          <w:tcPr>
            <w:tcW w:type="dxa" w:w="2520"/>
            <w:vAlign w:val="top"/>
            <w:tcMar>
              <w:top w:w="70" w:type="dxa"/>
              <w:start w:w="90" w:type="dxa"/>
              <w:bottom w:w="70" w:type="dxa"/>
              <w:end w:w="90" w:type="dxa"/>
            </w:tcMar>
          </w:tcPr>
          <w:p>
            <w:pPr>
              <w:spacing w:after="0"/>
            </w:pPr>
            <w:r>
              <w:rPr>
                <w:rFonts w:ascii="Liberation Sans" w:hAnsi="Liberation Sans"/>
                <w:sz w:val="15"/>
              </w:rPr>
              <w:t>Usually tied to own stack</w:t>
            </w:r>
          </w:p>
        </w:tc>
        <w:tc>
          <w:tcPr>
            <w:tcW w:type="dxa" w:w="2520"/>
            <w:vAlign w:val="top"/>
            <w:tcMar>
              <w:top w:w="70" w:type="dxa"/>
              <w:start w:w="90" w:type="dxa"/>
              <w:bottom w:w="70" w:type="dxa"/>
              <w:end w:w="90" w:type="dxa"/>
            </w:tcMar>
          </w:tcPr>
          <w:p>
            <w:pPr>
              <w:spacing w:after="0"/>
            </w:pPr>
            <w:r>
              <w:rPr>
                <w:rFonts w:ascii="Liberation Sans" w:hAnsi="Liberation Sans"/>
                <w:sz w:val="15"/>
              </w:rPr>
              <w:t>Primary differentiator</w:t>
            </w:r>
          </w:p>
        </w:tc>
      </w:tr>
      <w:tr>
        <w:tc>
          <w:tcPr>
            <w:tcW w:type="dxa" w:w="2520"/>
            <w:vAlign w:val="top"/>
            <w:tcMar>
              <w:top w:w="70" w:type="dxa"/>
              <w:start w:w="90" w:type="dxa"/>
              <w:bottom w:w="70" w:type="dxa"/>
              <w:end w:w="90" w:type="dxa"/>
            </w:tcMar>
            <w:shd w:fill="F7F9FB"/>
          </w:tcPr>
          <w:p>
            <w:pPr>
              <w:spacing w:after="0"/>
            </w:pPr>
            <w:r>
              <w:rPr>
                <w:rFonts w:ascii="Liberation Sans" w:hAnsi="Liberation Sans"/>
                <w:sz w:val="15"/>
              </w:rPr>
              <w:t>ΔRWA driver investigation</w:t>
            </w:r>
          </w:p>
        </w:tc>
        <w:tc>
          <w:tcPr>
            <w:tcW w:type="dxa" w:w="2520"/>
            <w:vAlign w:val="top"/>
            <w:tcMar>
              <w:top w:w="70" w:type="dxa"/>
              <w:start w:w="90" w:type="dxa"/>
              <w:bottom w:w="70" w:type="dxa"/>
              <w:end w:w="90" w:type="dxa"/>
            </w:tcMar>
            <w:shd w:fill="F7F9FB"/>
          </w:tcPr>
          <w:p>
            <w:pPr>
              <w:spacing w:after="0"/>
            </w:pPr>
            <w:r>
              <w:rPr>
                <w:rFonts w:ascii="Liberation Sans" w:hAnsi="Liberation Sans"/>
                <w:sz w:val="15"/>
              </w:rPr>
              <w:t>Not core</w:t>
            </w:r>
          </w:p>
        </w:tc>
        <w:tc>
          <w:tcPr>
            <w:tcW w:type="dxa" w:w="2520"/>
            <w:vAlign w:val="top"/>
            <w:tcMar>
              <w:top w:w="70" w:type="dxa"/>
              <w:start w:w="90" w:type="dxa"/>
              <w:bottom w:w="70" w:type="dxa"/>
              <w:end w:w="90" w:type="dxa"/>
            </w:tcMar>
            <w:shd w:fill="F7F9FB"/>
          </w:tcPr>
          <w:p>
            <w:pPr>
              <w:spacing w:after="0"/>
            </w:pPr>
            <w:r>
              <w:rPr>
                <w:rFonts w:ascii="Liberation Sans" w:hAnsi="Liberation Sans"/>
                <w:sz w:val="15"/>
              </w:rPr>
              <w:t>Increasingly available internally</w:t>
            </w:r>
          </w:p>
        </w:tc>
        <w:tc>
          <w:tcPr>
            <w:tcW w:type="dxa" w:w="2520"/>
            <w:vAlign w:val="top"/>
            <w:tcMar>
              <w:top w:w="70" w:type="dxa"/>
              <w:start w:w="90" w:type="dxa"/>
              <w:bottom w:w="70" w:type="dxa"/>
              <w:end w:w="90" w:type="dxa"/>
            </w:tcMar>
            <w:shd w:fill="F7F9FB"/>
          </w:tcPr>
          <w:p>
            <w:pPr>
              <w:spacing w:after="0"/>
            </w:pPr>
            <w:r>
              <w:rPr>
                <w:rFonts w:ascii="Liberation Sans" w:hAnsi="Liberation Sans"/>
                <w:sz w:val="15"/>
              </w:rPr>
              <w:t>Deep, vendor-neutral, evidence-linked</w:t>
            </w:r>
          </w:p>
        </w:tc>
      </w:tr>
      <w:tr>
        <w:tc>
          <w:tcPr>
            <w:tcW w:type="dxa" w:w="2520"/>
            <w:vAlign w:val="top"/>
            <w:tcMar>
              <w:top w:w="70" w:type="dxa"/>
              <w:start w:w="90" w:type="dxa"/>
              <w:bottom w:w="70" w:type="dxa"/>
              <w:end w:w="90" w:type="dxa"/>
            </w:tcMar>
          </w:tcPr>
          <w:p>
            <w:pPr>
              <w:spacing w:after="0"/>
            </w:pPr>
            <w:r>
              <w:rPr>
                <w:rFonts w:ascii="Liberation Sans" w:hAnsi="Liberation Sans"/>
                <w:sz w:val="15"/>
              </w:rPr>
              <w:t>Auto-generated regulatory regression pack</w:t>
            </w:r>
          </w:p>
        </w:tc>
        <w:tc>
          <w:tcPr>
            <w:tcW w:type="dxa" w:w="2520"/>
            <w:vAlign w:val="top"/>
            <w:tcMar>
              <w:top w:w="70" w:type="dxa"/>
              <w:start w:w="90" w:type="dxa"/>
              <w:bottom w:w="70" w:type="dxa"/>
              <w:end w:w="90" w:type="dxa"/>
            </w:tcMar>
          </w:tcPr>
          <w:p>
            <w:pPr>
              <w:spacing w:after="0"/>
            </w:pPr>
            <w:r>
              <w:rPr>
                <w:rFonts w:ascii="Liberation Sans" w:hAnsi="Liberation Sans"/>
                <w:sz w:val="15"/>
              </w:rPr>
              <w:t>Not core</w:t>
            </w:r>
          </w:p>
        </w:tc>
        <w:tc>
          <w:tcPr>
            <w:tcW w:type="dxa" w:w="2520"/>
            <w:vAlign w:val="top"/>
            <w:tcMar>
              <w:top w:w="70" w:type="dxa"/>
              <w:start w:w="90" w:type="dxa"/>
              <w:bottom w:w="70" w:type="dxa"/>
              <w:end w:w="90" w:type="dxa"/>
            </w:tcMar>
          </w:tcPr>
          <w:p>
            <w:pPr>
              <w:spacing w:after="0"/>
            </w:pPr>
            <w:r>
              <w:rPr>
                <w:rFonts w:ascii="Liberation Sans" w:hAnsi="Liberation Sans"/>
                <w:sz w:val="15"/>
              </w:rPr>
              <w:t>Some vendor-managed testing</w:t>
            </w:r>
          </w:p>
        </w:tc>
        <w:tc>
          <w:tcPr>
            <w:tcW w:type="dxa" w:w="2520"/>
            <w:vAlign w:val="top"/>
            <w:tcMar>
              <w:top w:w="70" w:type="dxa"/>
              <w:start w:w="90" w:type="dxa"/>
              <w:bottom w:w="70" w:type="dxa"/>
              <w:end w:w="90" w:type="dxa"/>
            </w:tcMar>
          </w:tcPr>
          <w:p>
            <w:pPr>
              <w:spacing w:after="0"/>
            </w:pPr>
            <w:r>
              <w:rPr>
                <w:rFonts w:ascii="Liberation Sans" w:hAnsi="Liberation Sans"/>
                <w:sz w:val="15"/>
              </w:rPr>
              <w:t>Core product feature</w:t>
            </w:r>
          </w:p>
        </w:tc>
      </w:tr>
      <w:tr>
        <w:tc>
          <w:tcPr>
            <w:tcW w:type="dxa" w:w="2520"/>
            <w:vAlign w:val="top"/>
            <w:tcMar>
              <w:top w:w="70" w:type="dxa"/>
              <w:start w:w="90" w:type="dxa"/>
              <w:bottom w:w="70" w:type="dxa"/>
              <w:end w:w="90" w:type="dxa"/>
            </w:tcMar>
            <w:shd w:fill="F7F9FB"/>
          </w:tcPr>
          <w:p>
            <w:pPr>
              <w:spacing w:after="0"/>
            </w:pPr>
            <w:r>
              <w:rPr>
                <w:rFonts w:ascii="Liberation Sans" w:hAnsi="Liberation Sans"/>
                <w:sz w:val="15"/>
              </w:rPr>
              <w:t>Independent evidence trail</w:t>
            </w:r>
          </w:p>
        </w:tc>
        <w:tc>
          <w:tcPr>
            <w:tcW w:type="dxa" w:w="2520"/>
            <w:vAlign w:val="top"/>
            <w:tcMar>
              <w:top w:w="70" w:type="dxa"/>
              <w:start w:w="90" w:type="dxa"/>
              <w:bottom w:w="70" w:type="dxa"/>
              <w:end w:w="90" w:type="dxa"/>
            </w:tcMar>
            <w:shd w:fill="F7F9FB"/>
          </w:tcPr>
          <w:p>
            <w:pPr>
              <w:spacing w:after="0"/>
            </w:pPr>
            <w:r>
              <w:rPr>
                <w:rFonts w:ascii="Liberation Sans" w:hAnsi="Liberation Sans"/>
                <w:sz w:val="15"/>
              </w:rPr>
              <w:t>Compliance-centric</w:t>
            </w:r>
          </w:p>
        </w:tc>
        <w:tc>
          <w:tcPr>
            <w:tcW w:type="dxa" w:w="2520"/>
            <w:vAlign w:val="top"/>
            <w:tcMar>
              <w:top w:w="70" w:type="dxa"/>
              <w:start w:w="90" w:type="dxa"/>
              <w:bottom w:w="70" w:type="dxa"/>
              <w:end w:w="90" w:type="dxa"/>
            </w:tcMar>
            <w:shd w:fill="F7F9FB"/>
          </w:tcPr>
          <w:p>
            <w:pPr>
              <w:spacing w:after="0"/>
            </w:pPr>
            <w:r>
              <w:rPr>
                <w:rFonts w:ascii="Liberation Sans" w:hAnsi="Liberation Sans"/>
                <w:sz w:val="15"/>
              </w:rPr>
              <w:t>Platform-centric</w:t>
            </w:r>
          </w:p>
        </w:tc>
        <w:tc>
          <w:tcPr>
            <w:tcW w:type="dxa" w:w="2520"/>
            <w:vAlign w:val="top"/>
            <w:tcMar>
              <w:top w:w="70" w:type="dxa"/>
              <w:start w:w="90" w:type="dxa"/>
              <w:bottom w:w="70" w:type="dxa"/>
              <w:end w:w="90" w:type="dxa"/>
            </w:tcMar>
            <w:shd w:fill="F7F9FB"/>
          </w:tcPr>
          <w:p>
            <w:pPr>
              <w:spacing w:after="0"/>
            </w:pPr>
            <w:r>
              <w:rPr>
                <w:rFonts w:ascii="Liberation Sans" w:hAnsi="Liberation Sans"/>
                <w:sz w:val="15"/>
              </w:rPr>
              <w:t>Cross-engine / cross-version assurance</w:t>
            </w:r>
          </w:p>
        </w:tc>
      </w:tr>
    </w:tbl>
    <w:p>
      <w:pPr>
        <w:spacing w:after="20"/>
      </w:pPr>
    </w:p>
    <w:p>
      <w:pPr>
        <w:pStyle w:val="Heading2"/>
      </w:pPr>
      <w:r>
        <w:t>2.3 Commercial positioning</w:t>
      </w:r>
    </w:p>
    <w:p>
      <w:r>
        <w:rPr>
          <w:rFonts w:ascii="Liberation Sans" w:hAnsi="Liberation Sans"/>
          <w:sz w:val="19"/>
        </w:rPr>
        <w:t>The sales message should be “keep your existing production platform.” A large bank using OFSAA/AxiomSL/Regnology can consume the product as an independent assurance layer. A smaller institution or implementation consultancy can optionally use the embedded capital engine as the calculation backend. This reduces replacement risk and moves the product into control, validation and change-assurance budgets.</w:t>
      </w:r>
    </w:p>
    <w:p>
      <w:pPr>
        <w:pStyle w:val="Heading2"/>
      </w:pPr>
      <w:r>
        <w:t>2.4 Initial market sequence</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tblHeader w:val="true"/>
        </w:trPr>
        <w:tc>
          <w:tcPr>
            <w:tcW w:type="dxa" w:w="2520"/>
            <w:shd w:fill="17365D"/>
            <w:tcMar>
              <w:top w:w="70" w:type="dxa"/>
              <w:start w:w="90" w:type="dxa"/>
              <w:bottom w:w="70" w:type="dxa"/>
              <w:end w:w="90" w:type="dxa"/>
            </w:tcMar>
          </w:tcPr>
          <w:p>
            <w:r>
              <w:rPr>
                <w:b/>
                <w:color w:val="FFFFFF"/>
                <w:sz w:val="16"/>
              </w:rPr>
              <w:t>Priority</w:t>
            </w:r>
          </w:p>
        </w:tc>
        <w:tc>
          <w:tcPr>
            <w:tcW w:type="dxa" w:w="2520"/>
            <w:shd w:fill="17365D"/>
            <w:tcMar>
              <w:top w:w="70" w:type="dxa"/>
              <w:start w:w="90" w:type="dxa"/>
              <w:bottom w:w="70" w:type="dxa"/>
              <w:end w:w="90" w:type="dxa"/>
            </w:tcMar>
          </w:tcPr>
          <w:p>
            <w:r>
              <w:rPr>
                <w:b/>
                <w:color w:val="FFFFFF"/>
                <w:sz w:val="16"/>
              </w:rPr>
              <w:t>Market</w:t>
            </w:r>
          </w:p>
        </w:tc>
        <w:tc>
          <w:tcPr>
            <w:tcW w:type="dxa" w:w="2520"/>
            <w:shd w:fill="17365D"/>
            <w:tcMar>
              <w:top w:w="70" w:type="dxa"/>
              <w:start w:w="90" w:type="dxa"/>
              <w:bottom w:w="70" w:type="dxa"/>
              <w:end w:w="90" w:type="dxa"/>
            </w:tcMar>
          </w:tcPr>
          <w:p>
            <w:r>
              <w:rPr>
                <w:b/>
                <w:color w:val="FFFFFF"/>
                <w:sz w:val="16"/>
              </w:rPr>
              <w:t>Why</w:t>
            </w:r>
          </w:p>
        </w:tc>
        <w:tc>
          <w:tcPr>
            <w:tcW w:type="dxa" w:w="2520"/>
            <w:shd w:fill="17365D"/>
            <w:tcMar>
              <w:top w:w="70" w:type="dxa"/>
              <w:start w:w="90" w:type="dxa"/>
              <w:bottom w:w="70" w:type="dxa"/>
              <w:end w:w="90" w:type="dxa"/>
            </w:tcMar>
          </w:tcPr>
          <w:p>
            <w:r>
              <w:rPr>
                <w:b/>
                <w:color w:val="FFFFFF"/>
                <w:sz w:val="16"/>
              </w:rPr>
              <w:t>Initial offer</w:t>
            </w:r>
          </w:p>
        </w:tc>
      </w:tr>
      <w:tr>
        <w:tc>
          <w:tcPr>
            <w:tcW w:type="dxa" w:w="2520"/>
            <w:vAlign w:val="top"/>
            <w:tcMar>
              <w:top w:w="70" w:type="dxa"/>
              <w:start w:w="90" w:type="dxa"/>
              <w:bottom w:w="70" w:type="dxa"/>
              <w:end w:w="90" w:type="dxa"/>
            </w:tcMar>
          </w:tcPr>
          <w:p>
            <w:pPr>
              <w:spacing w:after="0"/>
            </w:pPr>
            <w:r>
              <w:rPr>
                <w:rFonts w:ascii="Liberation Sans" w:hAnsi="Liberation Sans"/>
                <w:sz w:val="16"/>
              </w:rPr>
              <w:t>1</w:t>
            </w:r>
          </w:p>
        </w:tc>
        <w:tc>
          <w:tcPr>
            <w:tcW w:type="dxa" w:w="2520"/>
            <w:vAlign w:val="top"/>
            <w:tcMar>
              <w:top w:w="70" w:type="dxa"/>
              <w:start w:w="90" w:type="dxa"/>
              <w:bottom w:w="70" w:type="dxa"/>
              <w:end w:w="90" w:type="dxa"/>
            </w:tcMar>
          </w:tcPr>
          <w:p>
            <w:pPr>
              <w:spacing w:after="0"/>
            </w:pPr>
            <w:r>
              <w:rPr>
                <w:rFonts w:ascii="Liberation Sans" w:hAnsi="Liberation Sans"/>
                <w:sz w:val="16"/>
              </w:rPr>
              <w:t>United States — large/regional implementation teams</w:t>
            </w:r>
          </w:p>
        </w:tc>
        <w:tc>
          <w:tcPr>
            <w:tcW w:type="dxa" w:w="2520"/>
            <w:vAlign w:val="top"/>
            <w:tcMar>
              <w:top w:w="70" w:type="dxa"/>
              <w:start w:w="90" w:type="dxa"/>
              <w:bottom w:w="70" w:type="dxa"/>
              <w:end w:w="90" w:type="dxa"/>
            </w:tcMar>
          </w:tcPr>
          <w:p>
            <w:pPr>
              <w:spacing w:after="0"/>
            </w:pPr>
            <w:r>
              <w:rPr>
                <w:rFonts w:ascii="Liberation Sans" w:hAnsi="Liberation Sans"/>
                <w:sz w:val="16"/>
              </w:rPr>
              <w:t>Immediate 2026 proposal; existing U.S. engine and FFIEC knowledge</w:t>
            </w:r>
          </w:p>
        </w:tc>
        <w:tc>
          <w:tcPr>
            <w:tcW w:type="dxa" w:w="2520"/>
            <w:vAlign w:val="top"/>
            <w:tcMar>
              <w:top w:w="70" w:type="dxa"/>
              <w:start w:w="90" w:type="dxa"/>
              <w:bottom w:w="70" w:type="dxa"/>
              <w:end w:w="90" w:type="dxa"/>
            </w:tcMar>
          </w:tcPr>
          <w:p>
            <w:pPr>
              <w:spacing w:after="0"/>
            </w:pPr>
            <w:r>
              <w:rPr>
                <w:rFonts w:ascii="Liberation Sans" w:hAnsi="Liberation Sans"/>
                <w:sz w:val="16"/>
              </w:rPr>
              <w:t>Capital Change Analyzer + portfolio impact engagement</w:t>
            </w:r>
          </w:p>
        </w:tc>
      </w:tr>
      <w:tr>
        <w:tc>
          <w:tcPr>
            <w:tcW w:type="dxa" w:w="2520"/>
            <w:vAlign w:val="top"/>
            <w:tcMar>
              <w:top w:w="70" w:type="dxa"/>
              <w:start w:w="90" w:type="dxa"/>
              <w:bottom w:w="70" w:type="dxa"/>
              <w:end w:w="90" w:type="dxa"/>
            </w:tcMar>
            <w:shd w:fill="F7F9FB"/>
          </w:tcPr>
          <w:p>
            <w:pPr>
              <w:spacing w:after="0"/>
            </w:pPr>
            <w:r>
              <w:rPr>
                <w:rFonts w:ascii="Liberation Sans" w:hAnsi="Liberation Sans"/>
                <w:sz w:val="16"/>
              </w:rPr>
              <w:t>2</w:t>
            </w:r>
          </w:p>
        </w:tc>
        <w:tc>
          <w:tcPr>
            <w:tcW w:type="dxa" w:w="2520"/>
            <w:vAlign w:val="top"/>
            <w:tcMar>
              <w:top w:w="70" w:type="dxa"/>
              <w:start w:w="90" w:type="dxa"/>
              <w:bottom w:w="70" w:type="dxa"/>
              <w:end w:w="90" w:type="dxa"/>
            </w:tcMar>
            <w:shd w:fill="F7F9FB"/>
          </w:tcPr>
          <w:p>
            <w:pPr>
              <w:spacing w:after="0"/>
            </w:pPr>
            <w:r>
              <w:rPr>
                <w:rFonts w:ascii="Liberation Sans" w:hAnsi="Liberation Sans"/>
                <w:sz w:val="16"/>
              </w:rPr>
              <w:t>Saudi Arabia</w:t>
            </w:r>
          </w:p>
        </w:tc>
        <w:tc>
          <w:tcPr>
            <w:tcW w:type="dxa" w:w="2520"/>
            <w:vAlign w:val="top"/>
            <w:tcMar>
              <w:top w:w="70" w:type="dxa"/>
              <w:start w:w="90" w:type="dxa"/>
              <w:bottom w:w="70" w:type="dxa"/>
              <w:end w:w="90" w:type="dxa"/>
            </w:tcMar>
            <w:shd w:fill="F7F9FB"/>
          </w:tcPr>
          <w:p>
            <w:pPr>
              <w:spacing w:after="0"/>
            </w:pPr>
            <w:r>
              <w:rPr>
                <w:rFonts w:ascii="Liberation Sans" w:hAnsi="Liberation Sans"/>
                <w:sz w:val="16"/>
              </w:rPr>
              <w:t>SAMA has Basel III post-crisis credit-risk rules and quarterly Q17 RWA/capital reporting. [R6]</w:t>
            </w:r>
          </w:p>
        </w:tc>
        <w:tc>
          <w:tcPr>
            <w:tcW w:type="dxa" w:w="2520"/>
            <w:vAlign w:val="top"/>
            <w:tcMar>
              <w:top w:w="70" w:type="dxa"/>
              <w:start w:w="90" w:type="dxa"/>
              <w:bottom w:w="70" w:type="dxa"/>
              <w:end w:w="90" w:type="dxa"/>
            </w:tcMar>
            <w:shd w:fill="F7F9FB"/>
          </w:tcPr>
          <w:p>
            <w:pPr>
              <w:spacing w:after="0"/>
            </w:pPr>
            <w:r>
              <w:rPr>
                <w:rFonts w:ascii="Liberation Sans" w:hAnsi="Liberation Sans"/>
                <w:sz w:val="16"/>
              </w:rPr>
              <w:t>Saudi rule pack + change assurance + Q17 mapping</w:t>
            </w:r>
          </w:p>
        </w:tc>
      </w:tr>
      <w:tr>
        <w:tc>
          <w:tcPr>
            <w:tcW w:type="dxa" w:w="2520"/>
            <w:vAlign w:val="top"/>
            <w:tcMar>
              <w:top w:w="70" w:type="dxa"/>
              <w:start w:w="90" w:type="dxa"/>
              <w:bottom w:w="70" w:type="dxa"/>
              <w:end w:w="90" w:type="dxa"/>
            </w:tcMar>
          </w:tcPr>
          <w:p>
            <w:pPr>
              <w:spacing w:after="0"/>
            </w:pPr>
            <w:r>
              <w:rPr>
                <w:rFonts w:ascii="Liberation Sans" w:hAnsi="Liberation Sans"/>
                <w:sz w:val="16"/>
              </w:rPr>
              <w:t>3</w:t>
            </w:r>
          </w:p>
        </w:tc>
        <w:tc>
          <w:tcPr>
            <w:tcW w:type="dxa" w:w="2520"/>
            <w:vAlign w:val="top"/>
            <w:tcMar>
              <w:top w:w="70" w:type="dxa"/>
              <w:start w:w="90" w:type="dxa"/>
              <w:bottom w:w="70" w:type="dxa"/>
              <w:end w:w="90" w:type="dxa"/>
            </w:tcMar>
          </w:tcPr>
          <w:p>
            <w:pPr>
              <w:spacing w:after="0"/>
            </w:pPr>
            <w:r>
              <w:rPr>
                <w:rFonts w:ascii="Liberation Sans" w:hAnsi="Liberation Sans"/>
                <w:sz w:val="16"/>
              </w:rPr>
              <w:t>UAE</w:t>
            </w:r>
          </w:p>
        </w:tc>
        <w:tc>
          <w:tcPr>
            <w:tcW w:type="dxa" w:w="2520"/>
            <w:vAlign w:val="top"/>
            <w:tcMar>
              <w:top w:w="70" w:type="dxa"/>
              <w:start w:w="90" w:type="dxa"/>
              <w:bottom w:w="70" w:type="dxa"/>
              <w:end w:w="90" w:type="dxa"/>
            </w:tcMar>
          </w:tcPr>
          <w:p>
            <w:pPr>
              <w:spacing w:after="0"/>
            </w:pPr>
            <w:r>
              <w:rPr>
                <w:rFonts w:ascii="Liberation Sans" w:hAnsi="Liberation Sans"/>
                <w:sz w:val="16"/>
              </w:rPr>
              <w:t>CBUAE capital standards/guidance are closely based on Basel while applying UAE-specific requirements. [R7][R8]</w:t>
            </w:r>
          </w:p>
        </w:tc>
        <w:tc>
          <w:tcPr>
            <w:tcW w:type="dxa" w:w="2520"/>
            <w:vAlign w:val="top"/>
            <w:tcMar>
              <w:top w:w="70" w:type="dxa"/>
              <w:start w:w="90" w:type="dxa"/>
              <w:bottom w:w="70" w:type="dxa"/>
              <w:end w:w="90" w:type="dxa"/>
            </w:tcMar>
          </w:tcPr>
          <w:p>
            <w:pPr>
              <w:spacing w:after="0"/>
            </w:pPr>
            <w:r>
              <w:rPr>
                <w:rFonts w:ascii="Liberation Sans" w:hAnsi="Liberation Sans"/>
                <w:sz w:val="16"/>
              </w:rPr>
              <w:t>UAE rule pack + calculation/reconciliation</w:t>
            </w:r>
          </w:p>
        </w:tc>
      </w:tr>
      <w:tr>
        <w:tc>
          <w:tcPr>
            <w:tcW w:type="dxa" w:w="2520"/>
            <w:vAlign w:val="top"/>
            <w:tcMar>
              <w:top w:w="70" w:type="dxa"/>
              <w:start w:w="90" w:type="dxa"/>
              <w:bottom w:w="70" w:type="dxa"/>
              <w:end w:w="90" w:type="dxa"/>
            </w:tcMar>
            <w:shd w:fill="F7F9FB"/>
          </w:tcPr>
          <w:p>
            <w:pPr>
              <w:spacing w:after="0"/>
            </w:pPr>
            <w:r>
              <w:rPr>
                <w:rFonts w:ascii="Liberation Sans" w:hAnsi="Liberation Sans"/>
                <w:sz w:val="16"/>
              </w:rPr>
              <w:t>4</w:t>
            </w:r>
          </w:p>
        </w:tc>
        <w:tc>
          <w:tcPr>
            <w:tcW w:type="dxa" w:w="2520"/>
            <w:vAlign w:val="top"/>
            <w:tcMar>
              <w:top w:w="70" w:type="dxa"/>
              <w:start w:w="90" w:type="dxa"/>
              <w:bottom w:w="70" w:type="dxa"/>
              <w:end w:w="90" w:type="dxa"/>
            </w:tcMar>
            <w:shd w:fill="F7F9FB"/>
          </w:tcPr>
          <w:p>
            <w:pPr>
              <w:spacing w:after="0"/>
            </w:pPr>
            <w:r>
              <w:rPr>
                <w:rFonts w:ascii="Liberation Sans" w:hAnsi="Liberation Sans"/>
                <w:sz w:val="16"/>
              </w:rPr>
              <w:t>United Kingdom</w:t>
            </w:r>
          </w:p>
        </w:tc>
        <w:tc>
          <w:tcPr>
            <w:tcW w:type="dxa" w:w="2520"/>
            <w:vAlign w:val="top"/>
            <w:tcMar>
              <w:top w:w="70" w:type="dxa"/>
              <w:start w:w="90" w:type="dxa"/>
              <w:bottom w:w="70" w:type="dxa"/>
              <w:end w:w="90" w:type="dxa"/>
            </w:tcMar>
            <w:shd w:fill="F7F9FB"/>
          </w:tcPr>
          <w:p>
            <w:pPr>
              <w:spacing w:after="0"/>
            </w:pPr>
            <w:r>
              <w:rPr>
                <w:rFonts w:ascii="Liberation Sans" w:hAnsi="Liberation Sans"/>
                <w:sz w:val="16"/>
              </w:rPr>
              <w:t>PRA Basel 3.1 reporting requirements take effect 1 Jan 2027. [R4]</w:t>
            </w:r>
          </w:p>
        </w:tc>
        <w:tc>
          <w:tcPr>
            <w:tcW w:type="dxa" w:w="2520"/>
            <w:vAlign w:val="top"/>
            <w:tcMar>
              <w:top w:w="70" w:type="dxa"/>
              <w:start w:w="90" w:type="dxa"/>
              <w:bottom w:w="70" w:type="dxa"/>
              <w:end w:w="90" w:type="dxa"/>
            </w:tcMar>
            <w:shd w:fill="F7F9FB"/>
          </w:tcPr>
          <w:p>
            <w:pPr>
              <w:spacing w:after="0"/>
            </w:pPr>
            <w:r>
              <w:rPr>
                <w:rFonts w:ascii="Liberation Sans" w:hAnsi="Liberation Sans"/>
                <w:sz w:val="16"/>
              </w:rPr>
              <w:t>Readiness/change analyzer + validation</w:t>
            </w:r>
          </w:p>
        </w:tc>
      </w:tr>
      <w:tr>
        <w:tc>
          <w:tcPr>
            <w:tcW w:type="dxa" w:w="2520"/>
            <w:vAlign w:val="top"/>
            <w:tcMar>
              <w:top w:w="70" w:type="dxa"/>
              <w:start w:w="90" w:type="dxa"/>
              <w:bottom w:w="70" w:type="dxa"/>
              <w:end w:w="90" w:type="dxa"/>
            </w:tcMar>
          </w:tcPr>
          <w:p>
            <w:pPr>
              <w:spacing w:after="0"/>
            </w:pPr>
            <w:r>
              <w:rPr>
                <w:rFonts w:ascii="Liberation Sans" w:hAnsi="Liberation Sans"/>
                <w:sz w:val="16"/>
              </w:rPr>
              <w:t>5</w:t>
            </w:r>
          </w:p>
        </w:tc>
        <w:tc>
          <w:tcPr>
            <w:tcW w:type="dxa" w:w="2520"/>
            <w:vAlign w:val="top"/>
            <w:tcMar>
              <w:top w:w="70" w:type="dxa"/>
              <w:start w:w="90" w:type="dxa"/>
              <w:bottom w:w="70" w:type="dxa"/>
              <w:end w:w="90" w:type="dxa"/>
            </w:tcMar>
          </w:tcPr>
          <w:p>
            <w:pPr>
              <w:spacing w:after="0"/>
            </w:pPr>
            <w:r>
              <w:rPr>
                <w:rFonts w:ascii="Liberation Sans" w:hAnsi="Liberation Sans"/>
                <w:sz w:val="16"/>
              </w:rPr>
              <w:t>European Union</w:t>
            </w:r>
          </w:p>
        </w:tc>
        <w:tc>
          <w:tcPr>
            <w:tcW w:type="dxa" w:w="2520"/>
            <w:vAlign w:val="top"/>
            <w:tcMar>
              <w:top w:w="70" w:type="dxa"/>
              <w:start w:w="90" w:type="dxa"/>
              <w:bottom w:w="70" w:type="dxa"/>
              <w:end w:w="90" w:type="dxa"/>
            </w:tcMar>
          </w:tcPr>
          <w:p>
            <w:pPr>
              <w:spacing w:after="0"/>
            </w:pPr>
            <w:r>
              <w:rPr>
                <w:rFonts w:ascii="Liberation Sans" w:hAnsi="Liberation Sans"/>
                <w:sz w:val="16"/>
              </w:rPr>
              <w:t>CRR3/CRD6 changes already feed supervisory reporting; EBA reporting framework has been updated. [R5]</w:t>
            </w:r>
          </w:p>
        </w:tc>
        <w:tc>
          <w:tcPr>
            <w:tcW w:type="dxa" w:w="2520"/>
            <w:vAlign w:val="top"/>
            <w:tcMar>
              <w:top w:w="70" w:type="dxa"/>
              <w:start w:w="90" w:type="dxa"/>
              <w:bottom w:w="70" w:type="dxa"/>
              <w:end w:w="90" w:type="dxa"/>
            </w:tcMar>
          </w:tcPr>
          <w:p>
            <w:pPr>
              <w:spacing w:after="0"/>
            </w:pPr>
            <w:r>
              <w:rPr>
                <w:rFonts w:ascii="Liberation Sans" w:hAnsi="Liberation Sans"/>
                <w:sz w:val="16"/>
              </w:rPr>
              <w:t>CRR3 crosswalk + COREP impact</w:t>
            </w:r>
          </w:p>
        </w:tc>
      </w:tr>
    </w:tbl>
    <w:p>
      <w:pPr>
        <w:spacing w:after="20"/>
      </w:pPr>
    </w:p>
    <w:p>
      <w:r>
        <w:br w:type="page"/>
      </w:r>
    </w:p>
    <w:p>
      <w:pPr>
        <w:pStyle w:val="Heading1"/>
      </w:pPr>
      <w:r>
        <w:t>3. Product scope: what to build now vs later</w:t>
      </w:r>
    </w:p>
    <w:p>
      <w:pPr>
        <w:pStyle w:val="Heading2"/>
      </w:pPr>
      <w:r>
        <w:t>3.1 MVP: U.S. 2026 Capital Change Analyzer</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shd w:fill="17365D"/>
            <w:tcMar>
              <w:top w:w="70" w:type="dxa"/>
              <w:start w:w="90" w:type="dxa"/>
              <w:bottom w:w="70" w:type="dxa"/>
              <w:end w:w="90" w:type="dxa"/>
            </w:tcMar>
          </w:tcPr>
          <w:p>
            <w:r>
              <w:rPr>
                <w:b/>
                <w:color w:val="FFFFFF"/>
                <w:sz w:val="16"/>
              </w:rPr>
              <w:t>MVP capability</w:t>
            </w:r>
          </w:p>
        </w:tc>
        <w:tc>
          <w:tcPr>
            <w:tcW w:type="dxa" w:w="3360"/>
            <w:shd w:fill="17365D"/>
            <w:tcMar>
              <w:top w:w="70" w:type="dxa"/>
              <w:start w:w="90" w:type="dxa"/>
              <w:bottom w:w="70" w:type="dxa"/>
              <w:end w:w="90" w:type="dxa"/>
            </w:tcMar>
          </w:tcPr>
          <w:p>
            <w:r>
              <w:rPr>
                <w:b/>
                <w:color w:val="FFFFFF"/>
                <w:sz w:val="16"/>
              </w:rPr>
              <w:t>Definition</w:t>
            </w:r>
          </w:p>
        </w:tc>
        <w:tc>
          <w:tcPr>
            <w:tcW w:type="dxa" w:w="3360"/>
            <w:shd w:fill="17365D"/>
            <w:tcMar>
              <w:top w:w="70" w:type="dxa"/>
              <w:start w:w="90" w:type="dxa"/>
              <w:bottom w:w="70" w:type="dxa"/>
              <w:end w:w="90" w:type="dxa"/>
            </w:tcMar>
          </w:tcPr>
          <w:p>
            <w:r>
              <w:rPr>
                <w:b/>
                <w:color w:val="FFFFFF"/>
                <w:sz w:val="16"/>
              </w:rPr>
              <w:t>Exit criterion</w:t>
            </w:r>
          </w:p>
        </w:tc>
      </w:tr>
      <w:tr>
        <w:tc>
          <w:tcPr>
            <w:tcW w:type="dxa" w:w="3360"/>
            <w:vAlign w:val="top"/>
            <w:tcMar>
              <w:top w:w="70" w:type="dxa"/>
              <w:start w:w="90" w:type="dxa"/>
              <w:bottom w:w="70" w:type="dxa"/>
              <w:end w:w="90" w:type="dxa"/>
            </w:tcMar>
          </w:tcPr>
          <w:p>
            <w:pPr>
              <w:spacing w:after="0"/>
            </w:pPr>
            <w:r>
              <w:rPr>
                <w:rFonts w:ascii="Liberation Sans" w:hAnsi="Liberation Sans"/>
                <w:sz w:val="16"/>
              </w:rPr>
              <w:t>Rule corpus</w:t>
            </w:r>
          </w:p>
        </w:tc>
        <w:tc>
          <w:tcPr>
            <w:tcW w:type="dxa" w:w="3360"/>
            <w:vAlign w:val="top"/>
            <w:tcMar>
              <w:top w:w="70" w:type="dxa"/>
              <w:start w:w="90" w:type="dxa"/>
              <w:bottom w:w="70" w:type="dxa"/>
              <w:end w:w="90" w:type="dxa"/>
            </w:tcMar>
          </w:tcPr>
          <w:p>
            <w:pPr>
              <w:spacing w:after="0"/>
            </w:pPr>
            <w:r>
              <w:rPr>
                <w:rFonts w:ascii="Liberation Sans" w:hAnsi="Liberation Sans"/>
                <w:sz w:val="16"/>
              </w:rPr>
              <w:t>Current U.S. treatment + March 2026 NPR + BCBS crosswalk</w:t>
            </w:r>
          </w:p>
        </w:tc>
        <w:tc>
          <w:tcPr>
            <w:tcW w:type="dxa" w:w="3360"/>
            <w:vAlign w:val="top"/>
            <w:tcMar>
              <w:top w:w="70" w:type="dxa"/>
              <w:start w:w="90" w:type="dxa"/>
              <w:bottom w:w="70" w:type="dxa"/>
              <w:end w:w="90" w:type="dxa"/>
            </w:tcMar>
          </w:tcPr>
          <w:p>
            <w:pPr>
              <w:spacing w:after="0"/>
            </w:pPr>
            <w:r>
              <w:rPr>
                <w:rFonts w:ascii="Liberation Sans" w:hAnsi="Liberation Sans"/>
                <w:sz w:val="16"/>
              </w:rPr>
              <w:t>Each implemented rule has source, version, status and BCBS mapping</w:t>
            </w:r>
          </w:p>
        </w:tc>
      </w:tr>
      <w:tr>
        <w:tc>
          <w:tcPr>
            <w:tcW w:type="dxa" w:w="3360"/>
            <w:vAlign w:val="top"/>
            <w:tcMar>
              <w:top w:w="70" w:type="dxa"/>
              <w:start w:w="90" w:type="dxa"/>
              <w:bottom w:w="70" w:type="dxa"/>
              <w:end w:w="90" w:type="dxa"/>
            </w:tcMar>
            <w:shd w:fill="F7F9FB"/>
          </w:tcPr>
          <w:p>
            <w:pPr>
              <w:spacing w:after="0"/>
            </w:pPr>
            <w:r>
              <w:rPr>
                <w:rFonts w:ascii="Liberation Sans" w:hAnsi="Liberation Sans"/>
                <w:sz w:val="16"/>
              </w:rPr>
              <w:t>Regulatory diff</w:t>
            </w:r>
          </w:p>
        </w:tc>
        <w:tc>
          <w:tcPr>
            <w:tcW w:type="dxa" w:w="3360"/>
            <w:vAlign w:val="top"/>
            <w:tcMar>
              <w:top w:w="70" w:type="dxa"/>
              <w:start w:w="90" w:type="dxa"/>
              <w:bottom w:w="70" w:type="dxa"/>
              <w:end w:w="90" w:type="dxa"/>
            </w:tcMar>
            <w:shd w:fill="F7F9FB"/>
          </w:tcPr>
          <w:p>
            <w:pPr>
              <w:spacing w:after="0"/>
            </w:pPr>
            <w:r>
              <w:rPr>
                <w:rFonts w:ascii="Liberation Sans" w:hAnsi="Liberation Sans"/>
                <w:sz w:val="16"/>
              </w:rPr>
              <w:t>Added/removed/modified/moved/effective-date/data/calculation change</w:t>
            </w:r>
          </w:p>
        </w:tc>
        <w:tc>
          <w:tcPr>
            <w:tcW w:type="dxa" w:w="3360"/>
            <w:vAlign w:val="top"/>
            <w:tcMar>
              <w:top w:w="70" w:type="dxa"/>
              <w:start w:w="90" w:type="dxa"/>
              <w:bottom w:w="70" w:type="dxa"/>
              <w:end w:w="90" w:type="dxa"/>
            </w:tcMar>
            <w:shd w:fill="F7F9FB"/>
          </w:tcPr>
          <w:p>
            <w:pPr>
              <w:spacing w:after="0"/>
            </w:pPr>
            <w:r>
              <w:rPr>
                <w:rFonts w:ascii="Liberation Sans" w:hAnsi="Liberation Sans"/>
                <w:sz w:val="16"/>
              </w:rPr>
              <w:t>Human-reviewed diff for all in-scope credit-risk rules</w:t>
            </w:r>
          </w:p>
        </w:tc>
      </w:tr>
      <w:tr>
        <w:tc>
          <w:tcPr>
            <w:tcW w:type="dxa" w:w="3360"/>
            <w:vAlign w:val="top"/>
            <w:tcMar>
              <w:top w:w="70" w:type="dxa"/>
              <w:start w:w="90" w:type="dxa"/>
              <w:bottom w:w="70" w:type="dxa"/>
              <w:end w:w="90" w:type="dxa"/>
            </w:tcMar>
          </w:tcPr>
          <w:p>
            <w:pPr>
              <w:spacing w:after="0"/>
            </w:pPr>
            <w:r>
              <w:rPr>
                <w:rFonts w:ascii="Liberation Sans" w:hAnsi="Liberation Sans"/>
                <w:sz w:val="16"/>
              </w:rPr>
              <w:t>Applicability</w:t>
            </w:r>
          </w:p>
        </w:tc>
        <w:tc>
          <w:tcPr>
            <w:tcW w:type="dxa" w:w="3360"/>
            <w:vAlign w:val="top"/>
            <w:tcMar>
              <w:top w:w="70" w:type="dxa"/>
              <w:start w:w="90" w:type="dxa"/>
              <w:bottom w:w="70" w:type="dxa"/>
              <w:end w:w="90" w:type="dxa"/>
            </w:tcMar>
          </w:tcPr>
          <w:p>
            <w:pPr>
              <w:spacing w:after="0"/>
            </w:pPr>
            <w:r>
              <w:rPr>
                <w:rFonts w:ascii="Liberation Sans" w:hAnsi="Liberation Sans"/>
                <w:sz w:val="16"/>
              </w:rPr>
              <w:t>Entity category, exposure class, product and rule applicability</w:t>
            </w:r>
          </w:p>
        </w:tc>
        <w:tc>
          <w:tcPr>
            <w:tcW w:type="dxa" w:w="3360"/>
            <w:vAlign w:val="top"/>
            <w:tcMar>
              <w:top w:w="70" w:type="dxa"/>
              <w:start w:w="90" w:type="dxa"/>
              <w:bottom w:w="70" w:type="dxa"/>
              <w:end w:w="90" w:type="dxa"/>
            </w:tcMar>
          </w:tcPr>
          <w:p>
            <w:pPr>
              <w:spacing w:after="0"/>
            </w:pPr>
            <w:r>
              <w:rPr>
                <w:rFonts w:ascii="Liberation Sans" w:hAnsi="Liberation Sans"/>
                <w:sz w:val="16"/>
              </w:rPr>
              <w:t>Explainable applicability outcome with source citations</w:t>
            </w:r>
          </w:p>
        </w:tc>
      </w:tr>
      <w:tr>
        <w:tc>
          <w:tcPr>
            <w:tcW w:type="dxa" w:w="3360"/>
            <w:vAlign w:val="top"/>
            <w:tcMar>
              <w:top w:w="70" w:type="dxa"/>
              <w:start w:w="90" w:type="dxa"/>
              <w:bottom w:w="70" w:type="dxa"/>
              <w:end w:w="90" w:type="dxa"/>
            </w:tcMar>
            <w:shd w:fill="F7F9FB"/>
          </w:tcPr>
          <w:p>
            <w:pPr>
              <w:spacing w:after="0"/>
            </w:pPr>
            <w:r>
              <w:rPr>
                <w:rFonts w:ascii="Liberation Sans" w:hAnsi="Liberation Sans"/>
                <w:sz w:val="16"/>
              </w:rPr>
              <w:t>UDM impact</w:t>
            </w:r>
          </w:p>
        </w:tc>
        <w:tc>
          <w:tcPr>
            <w:tcW w:type="dxa" w:w="3360"/>
            <w:vAlign w:val="top"/>
            <w:tcMar>
              <w:top w:w="70" w:type="dxa"/>
              <w:start w:w="90" w:type="dxa"/>
              <w:bottom w:w="70" w:type="dxa"/>
              <w:end w:w="90" w:type="dxa"/>
            </w:tcMar>
            <w:shd w:fill="F7F9FB"/>
          </w:tcPr>
          <w:p>
            <w:pPr>
              <w:spacing w:after="0"/>
            </w:pPr>
            <w:r>
              <w:rPr>
                <w:rFonts w:ascii="Liberation Sans" w:hAnsi="Liberation Sans"/>
                <w:sz w:val="16"/>
              </w:rPr>
              <w:t>Map changed rules to required UDM fields</w:t>
            </w:r>
          </w:p>
        </w:tc>
        <w:tc>
          <w:tcPr>
            <w:tcW w:type="dxa" w:w="3360"/>
            <w:vAlign w:val="top"/>
            <w:tcMar>
              <w:top w:w="70" w:type="dxa"/>
              <w:start w:w="90" w:type="dxa"/>
              <w:bottom w:w="70" w:type="dxa"/>
              <w:end w:w="90" w:type="dxa"/>
            </w:tcMar>
            <w:shd w:fill="F7F9FB"/>
          </w:tcPr>
          <w:p>
            <w:pPr>
              <w:spacing w:after="0"/>
            </w:pPr>
            <w:r>
              <w:rPr>
                <w:rFonts w:ascii="Liberation Sans" w:hAnsi="Liberation Sans"/>
                <w:sz w:val="16"/>
              </w:rPr>
              <w:t>Affected/missing fields visible by portfolio</w:t>
            </w:r>
          </w:p>
        </w:tc>
      </w:tr>
      <w:tr>
        <w:tc>
          <w:tcPr>
            <w:tcW w:type="dxa" w:w="3360"/>
            <w:vAlign w:val="top"/>
            <w:tcMar>
              <w:top w:w="70" w:type="dxa"/>
              <w:start w:w="90" w:type="dxa"/>
              <w:bottom w:w="70" w:type="dxa"/>
              <w:end w:w="90" w:type="dxa"/>
            </w:tcMar>
          </w:tcPr>
          <w:p>
            <w:pPr>
              <w:spacing w:after="0"/>
            </w:pPr>
            <w:r>
              <w:rPr>
                <w:rFonts w:ascii="Liberation Sans" w:hAnsi="Liberation Sans"/>
                <w:sz w:val="16"/>
              </w:rPr>
              <w:t>Dual execution</w:t>
            </w:r>
          </w:p>
        </w:tc>
        <w:tc>
          <w:tcPr>
            <w:tcW w:type="dxa" w:w="3360"/>
            <w:vAlign w:val="top"/>
            <w:tcMar>
              <w:top w:w="70" w:type="dxa"/>
              <w:start w:w="90" w:type="dxa"/>
              <w:bottom w:w="70" w:type="dxa"/>
              <w:end w:w="90" w:type="dxa"/>
            </w:tcMar>
          </w:tcPr>
          <w:p>
            <w:pPr>
              <w:spacing w:after="0"/>
            </w:pPr>
            <w:r>
              <w:rPr>
                <w:rFonts w:ascii="Liberation Sans" w:hAnsi="Liberation Sans"/>
                <w:sz w:val="16"/>
              </w:rPr>
              <w:t>Run current and proposed rule sets on same input snapshot</w:t>
            </w:r>
          </w:p>
        </w:tc>
        <w:tc>
          <w:tcPr>
            <w:tcW w:type="dxa" w:w="3360"/>
            <w:vAlign w:val="top"/>
            <w:tcMar>
              <w:top w:w="70" w:type="dxa"/>
              <w:start w:w="90" w:type="dxa"/>
              <w:bottom w:w="70" w:type="dxa"/>
              <w:end w:w="90" w:type="dxa"/>
            </w:tcMar>
          </w:tcPr>
          <w:p>
            <w:pPr>
              <w:spacing w:after="0"/>
            </w:pPr>
            <w:r>
              <w:rPr>
                <w:rFonts w:ascii="Liberation Sans" w:hAnsi="Liberation Sans"/>
                <w:sz w:val="16"/>
              </w:rPr>
              <w:t>Reproducible old/new RWA outputs</w:t>
            </w:r>
          </w:p>
        </w:tc>
      </w:tr>
      <w:tr>
        <w:tc>
          <w:tcPr>
            <w:tcW w:type="dxa" w:w="3360"/>
            <w:vAlign w:val="top"/>
            <w:tcMar>
              <w:top w:w="70" w:type="dxa"/>
              <w:start w:w="90" w:type="dxa"/>
              <w:bottom w:w="70" w:type="dxa"/>
              <w:end w:w="90" w:type="dxa"/>
            </w:tcMar>
            <w:shd w:fill="F7F9FB"/>
          </w:tcPr>
          <w:p>
            <w:pPr>
              <w:spacing w:after="0"/>
            </w:pPr>
            <w:r>
              <w:rPr>
                <w:rFonts w:ascii="Liberation Sans" w:hAnsi="Liberation Sans"/>
                <w:sz w:val="16"/>
              </w:rPr>
              <w:t>Delta engine</w:t>
            </w:r>
          </w:p>
        </w:tc>
        <w:tc>
          <w:tcPr>
            <w:tcW w:type="dxa" w:w="3360"/>
            <w:vAlign w:val="top"/>
            <w:tcMar>
              <w:top w:w="70" w:type="dxa"/>
              <w:start w:w="90" w:type="dxa"/>
              <w:bottom w:w="70" w:type="dxa"/>
              <w:end w:w="90" w:type="dxa"/>
            </w:tcMar>
            <w:shd w:fill="F7F9FB"/>
          </w:tcPr>
          <w:p>
            <w:pPr>
              <w:spacing w:after="0"/>
            </w:pPr>
            <w:r>
              <w:rPr>
                <w:rFonts w:ascii="Liberation Sans" w:hAnsi="Liberation Sans"/>
                <w:sz w:val="16"/>
              </w:rPr>
              <w:t>Exposure/product/portfolio ΔRWA and capital</w:t>
            </w:r>
          </w:p>
        </w:tc>
        <w:tc>
          <w:tcPr>
            <w:tcW w:type="dxa" w:w="3360"/>
            <w:vAlign w:val="top"/>
            <w:tcMar>
              <w:top w:w="70" w:type="dxa"/>
              <w:start w:w="90" w:type="dxa"/>
              <w:bottom w:w="70" w:type="dxa"/>
              <w:end w:w="90" w:type="dxa"/>
            </w:tcMar>
            <w:shd w:fill="F7F9FB"/>
          </w:tcPr>
          <w:p>
            <w:pPr>
              <w:spacing w:after="0"/>
            </w:pPr>
            <w:r>
              <w:rPr>
                <w:rFonts w:ascii="Liberation Sans" w:hAnsi="Liberation Sans"/>
                <w:sz w:val="16"/>
              </w:rPr>
              <w:t>Materiality-ranked driver decomposition</w:t>
            </w:r>
          </w:p>
        </w:tc>
      </w:tr>
      <w:tr>
        <w:tc>
          <w:tcPr>
            <w:tcW w:type="dxa" w:w="3360"/>
            <w:vAlign w:val="top"/>
            <w:tcMar>
              <w:top w:w="70" w:type="dxa"/>
              <w:start w:w="90" w:type="dxa"/>
              <w:bottom w:w="70" w:type="dxa"/>
              <w:end w:w="90" w:type="dxa"/>
            </w:tcMar>
          </w:tcPr>
          <w:p>
            <w:pPr>
              <w:spacing w:after="0"/>
            </w:pPr>
            <w:r>
              <w:rPr>
                <w:rFonts w:ascii="Liberation Sans" w:hAnsi="Liberation Sans"/>
                <w:sz w:val="16"/>
              </w:rPr>
              <w:t>AI explanation</w:t>
            </w:r>
          </w:p>
        </w:tc>
        <w:tc>
          <w:tcPr>
            <w:tcW w:type="dxa" w:w="3360"/>
            <w:vAlign w:val="top"/>
            <w:tcMar>
              <w:top w:w="70" w:type="dxa"/>
              <w:start w:w="90" w:type="dxa"/>
              <w:bottom w:w="70" w:type="dxa"/>
              <w:end w:w="90" w:type="dxa"/>
            </w:tcMar>
          </w:tcPr>
          <w:p>
            <w:pPr>
              <w:spacing w:after="0"/>
            </w:pPr>
            <w:r>
              <w:rPr>
                <w:rFonts w:ascii="Liberation Sans" w:hAnsi="Liberation Sans"/>
                <w:sz w:val="16"/>
              </w:rPr>
              <w:t>Explain why change occurred using structured evidence</w:t>
            </w:r>
          </w:p>
        </w:tc>
        <w:tc>
          <w:tcPr>
            <w:tcW w:type="dxa" w:w="3360"/>
            <w:vAlign w:val="top"/>
            <w:tcMar>
              <w:top w:w="70" w:type="dxa"/>
              <w:start w:w="90" w:type="dxa"/>
              <w:bottom w:w="70" w:type="dxa"/>
              <w:end w:w="90" w:type="dxa"/>
            </w:tcMar>
          </w:tcPr>
          <w:p>
            <w:pPr>
              <w:spacing w:after="0"/>
            </w:pPr>
            <w:r>
              <w:rPr>
                <w:rFonts w:ascii="Liberation Sans" w:hAnsi="Liberation Sans"/>
                <w:sz w:val="16"/>
              </w:rPr>
              <w:t>No unsupported calculations; citations to rules/results</w:t>
            </w:r>
          </w:p>
        </w:tc>
      </w:tr>
      <w:tr>
        <w:tc>
          <w:tcPr>
            <w:tcW w:type="dxa" w:w="3360"/>
            <w:vAlign w:val="top"/>
            <w:tcMar>
              <w:top w:w="70" w:type="dxa"/>
              <w:start w:w="90" w:type="dxa"/>
              <w:bottom w:w="70" w:type="dxa"/>
              <w:end w:w="90" w:type="dxa"/>
            </w:tcMar>
            <w:shd w:fill="F7F9FB"/>
          </w:tcPr>
          <w:p>
            <w:pPr>
              <w:spacing w:after="0"/>
            </w:pPr>
            <w:r>
              <w:rPr>
                <w:rFonts w:ascii="Liberation Sans" w:hAnsi="Liberation Sans"/>
                <w:sz w:val="16"/>
              </w:rPr>
              <w:t>Test/evidence pack</w:t>
            </w:r>
          </w:p>
        </w:tc>
        <w:tc>
          <w:tcPr>
            <w:tcW w:type="dxa" w:w="3360"/>
            <w:vAlign w:val="top"/>
            <w:tcMar>
              <w:top w:w="70" w:type="dxa"/>
              <w:start w:w="90" w:type="dxa"/>
              <w:bottom w:w="70" w:type="dxa"/>
              <w:end w:w="90" w:type="dxa"/>
            </w:tcMar>
            <w:shd w:fill="F7F9FB"/>
          </w:tcPr>
          <w:p>
            <w:pPr>
              <w:spacing w:after="0"/>
            </w:pPr>
            <w:r>
              <w:rPr>
                <w:rFonts w:ascii="Liberation Sans" w:hAnsi="Liberation Sans"/>
                <w:sz w:val="16"/>
              </w:rPr>
              <w:t>Auto-link changed rules to tests and evidence</w:t>
            </w:r>
          </w:p>
        </w:tc>
        <w:tc>
          <w:tcPr>
            <w:tcW w:type="dxa" w:w="3360"/>
            <w:vAlign w:val="top"/>
            <w:tcMar>
              <w:top w:w="70" w:type="dxa"/>
              <w:start w:w="90" w:type="dxa"/>
              <w:bottom w:w="70" w:type="dxa"/>
              <w:end w:w="90" w:type="dxa"/>
            </w:tcMar>
            <w:shd w:fill="F7F9FB"/>
          </w:tcPr>
          <w:p>
            <w:pPr>
              <w:spacing w:after="0"/>
            </w:pPr>
            <w:r>
              <w:rPr>
                <w:rFonts w:ascii="Liberation Sans" w:hAnsi="Liberation Sans"/>
                <w:sz w:val="16"/>
              </w:rPr>
              <w:t>Exportable implementation/regression pack</w:t>
            </w:r>
          </w:p>
        </w:tc>
      </w:tr>
    </w:tbl>
    <w:p>
      <w:pPr>
        <w:spacing w:after="20"/>
      </w:pPr>
    </w:p>
    <w:p>
      <w:pPr>
        <w:pStyle w:val="Heading2"/>
      </w:pPr>
      <w:r>
        <w:t>3.2 Product B: Capital Assurance / reconciliation</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shd w:fill="17365D"/>
            <w:tcMar>
              <w:top w:w="70" w:type="dxa"/>
              <w:start w:w="90" w:type="dxa"/>
              <w:bottom w:w="70" w:type="dxa"/>
              <w:end w:w="90" w:type="dxa"/>
            </w:tcMar>
          </w:tcPr>
          <w:p>
            <w:r>
              <w:rPr>
                <w:b/>
                <w:color w:val="FFFFFF"/>
                <w:sz w:val="16"/>
              </w:rPr>
              <w:t>Capability</w:t>
            </w:r>
          </w:p>
        </w:tc>
        <w:tc>
          <w:tcPr>
            <w:tcW w:type="dxa" w:w="5040"/>
            <w:shd w:fill="17365D"/>
            <w:tcMar>
              <w:top w:w="70" w:type="dxa"/>
              <w:start w:w="90" w:type="dxa"/>
              <w:bottom w:w="70" w:type="dxa"/>
              <w:end w:w="90" w:type="dxa"/>
            </w:tcMar>
          </w:tcPr>
          <w:p>
            <w:r>
              <w:rPr>
                <w:b/>
                <w:color w:val="FFFFFF"/>
                <w:sz w:val="16"/>
              </w:rPr>
              <w:t>Description</w:t>
            </w:r>
          </w:p>
        </w:tc>
      </w:tr>
      <w:tr>
        <w:tc>
          <w:tcPr>
            <w:tcW w:type="dxa" w:w="5040"/>
            <w:vAlign w:val="top"/>
            <w:tcMar>
              <w:top w:w="70" w:type="dxa"/>
              <w:start w:w="90" w:type="dxa"/>
              <w:bottom w:w="70" w:type="dxa"/>
              <w:end w:w="90" w:type="dxa"/>
            </w:tcMar>
          </w:tcPr>
          <w:p>
            <w:pPr>
              <w:spacing w:after="0"/>
            </w:pPr>
            <w:r>
              <w:rPr>
                <w:rFonts w:ascii="Liberation Sans" w:hAnsi="Liberation Sans"/>
                <w:sz w:val="16"/>
              </w:rPr>
              <w:t>Bank result ingestion</w:t>
            </w:r>
          </w:p>
        </w:tc>
        <w:tc>
          <w:tcPr>
            <w:tcW w:type="dxa" w:w="5040"/>
            <w:vAlign w:val="top"/>
            <w:tcMar>
              <w:top w:w="70" w:type="dxa"/>
              <w:start w:w="90" w:type="dxa"/>
              <w:bottom w:w="70" w:type="dxa"/>
              <w:end w:w="90" w:type="dxa"/>
            </w:tcMar>
          </w:tcPr>
          <w:p>
            <w:pPr>
              <w:spacing w:after="0"/>
            </w:pPr>
            <w:r>
              <w:rPr>
                <w:rFonts w:ascii="Liberation Sans" w:hAnsi="Liberation Sans"/>
                <w:sz w:val="16"/>
              </w:rPr>
              <w:t>Load exposure-level or aggregate outputs from OFSAA/AxiomSL/Regnology/internal engines.</w:t>
            </w:r>
          </w:p>
        </w:tc>
      </w:tr>
      <w:tr>
        <w:tc>
          <w:tcPr>
            <w:tcW w:type="dxa" w:w="5040"/>
            <w:vAlign w:val="top"/>
            <w:tcMar>
              <w:top w:w="70" w:type="dxa"/>
              <w:start w:w="90" w:type="dxa"/>
              <w:bottom w:w="70" w:type="dxa"/>
              <w:end w:w="90" w:type="dxa"/>
            </w:tcMar>
            <w:shd w:fill="F7F9FB"/>
          </w:tcPr>
          <w:p>
            <w:pPr>
              <w:spacing w:after="0"/>
            </w:pPr>
            <w:r>
              <w:rPr>
                <w:rFonts w:ascii="Liberation Sans" w:hAnsi="Liberation Sans"/>
                <w:sz w:val="16"/>
              </w:rPr>
              <w:t>Independent execution</w:t>
            </w:r>
          </w:p>
        </w:tc>
        <w:tc>
          <w:tcPr>
            <w:tcW w:type="dxa" w:w="5040"/>
            <w:vAlign w:val="top"/>
            <w:tcMar>
              <w:top w:w="70" w:type="dxa"/>
              <w:start w:w="90" w:type="dxa"/>
              <w:bottom w:w="70" w:type="dxa"/>
              <w:end w:w="90" w:type="dxa"/>
            </w:tcMar>
            <w:shd w:fill="F7F9FB"/>
          </w:tcPr>
          <w:p>
            <w:pPr>
              <w:spacing w:after="0"/>
            </w:pPr>
            <w:r>
              <w:rPr>
                <w:rFonts w:ascii="Liberation Sans" w:hAnsi="Liberation Sans"/>
                <w:sz w:val="16"/>
              </w:rPr>
              <w:t>Run the same portfolio through the platform’s versioned rule set.</w:t>
            </w:r>
          </w:p>
        </w:tc>
      </w:tr>
      <w:tr>
        <w:tc>
          <w:tcPr>
            <w:tcW w:type="dxa" w:w="5040"/>
            <w:vAlign w:val="top"/>
            <w:tcMar>
              <w:top w:w="70" w:type="dxa"/>
              <w:start w:w="90" w:type="dxa"/>
              <w:bottom w:w="70" w:type="dxa"/>
              <w:end w:w="90" w:type="dxa"/>
            </w:tcMar>
          </w:tcPr>
          <w:p>
            <w:pPr>
              <w:spacing w:after="0"/>
            </w:pPr>
            <w:r>
              <w:rPr>
                <w:rFonts w:ascii="Liberation Sans" w:hAnsi="Liberation Sans"/>
                <w:sz w:val="16"/>
              </w:rPr>
              <w:t>Reconciliation</w:t>
            </w:r>
          </w:p>
        </w:tc>
        <w:tc>
          <w:tcPr>
            <w:tcW w:type="dxa" w:w="5040"/>
            <w:vAlign w:val="top"/>
            <w:tcMar>
              <w:top w:w="70" w:type="dxa"/>
              <w:start w:w="90" w:type="dxa"/>
              <w:bottom w:w="70" w:type="dxa"/>
              <w:end w:w="90" w:type="dxa"/>
            </w:tcMar>
          </w:tcPr>
          <w:p>
            <w:pPr>
              <w:spacing w:after="0"/>
            </w:pPr>
            <w:r>
              <w:rPr>
                <w:rFonts w:ascii="Liberation Sans" w:hAnsi="Liberation Sans"/>
                <w:sz w:val="16"/>
              </w:rPr>
              <w:t>Match by exposure / legal entity / portfolio and compare classification, EAD, CCF, RW, RWA and capital.</w:t>
            </w:r>
          </w:p>
        </w:tc>
      </w:tr>
      <w:tr>
        <w:tc>
          <w:tcPr>
            <w:tcW w:type="dxa" w:w="5040"/>
            <w:vAlign w:val="top"/>
            <w:tcMar>
              <w:top w:w="70" w:type="dxa"/>
              <w:start w:w="90" w:type="dxa"/>
              <w:bottom w:w="70" w:type="dxa"/>
              <w:end w:w="90" w:type="dxa"/>
            </w:tcMar>
            <w:shd w:fill="F7F9FB"/>
          </w:tcPr>
          <w:p>
            <w:pPr>
              <w:spacing w:after="0"/>
            </w:pPr>
            <w:r>
              <w:rPr>
                <w:rFonts w:ascii="Liberation Sans" w:hAnsi="Liberation Sans"/>
                <w:sz w:val="16"/>
              </w:rPr>
              <w:t>Difference taxonomy</w:t>
            </w:r>
          </w:p>
        </w:tc>
        <w:tc>
          <w:tcPr>
            <w:tcW w:type="dxa" w:w="5040"/>
            <w:vAlign w:val="top"/>
            <w:tcMar>
              <w:top w:w="70" w:type="dxa"/>
              <w:start w:w="90" w:type="dxa"/>
              <w:bottom w:w="70" w:type="dxa"/>
              <w:end w:w="90" w:type="dxa"/>
            </w:tcMar>
            <w:shd w:fill="F7F9FB"/>
          </w:tcPr>
          <w:p>
            <w:pPr>
              <w:spacing w:after="0"/>
            </w:pPr>
            <w:r>
              <w:rPr>
                <w:rFonts w:ascii="Liberation Sans" w:hAnsi="Liberation Sans"/>
                <w:sz w:val="16"/>
              </w:rPr>
              <w:t>Classify exposure-class, rating, CCF, CRM, collateral, data, rule-version, rounding and mapping differences.</w:t>
            </w:r>
          </w:p>
        </w:tc>
      </w:tr>
      <w:tr>
        <w:tc>
          <w:tcPr>
            <w:tcW w:type="dxa" w:w="5040"/>
            <w:vAlign w:val="top"/>
            <w:tcMar>
              <w:top w:w="70" w:type="dxa"/>
              <w:start w:w="90" w:type="dxa"/>
              <w:bottom w:w="70" w:type="dxa"/>
              <w:end w:w="90" w:type="dxa"/>
            </w:tcMar>
          </w:tcPr>
          <w:p>
            <w:pPr>
              <w:spacing w:after="0"/>
            </w:pPr>
            <w:r>
              <w:rPr>
                <w:rFonts w:ascii="Liberation Sans" w:hAnsi="Liberation Sans"/>
                <w:sz w:val="16"/>
              </w:rPr>
              <w:t>AI investigation</w:t>
            </w:r>
          </w:p>
        </w:tc>
        <w:tc>
          <w:tcPr>
            <w:tcW w:type="dxa" w:w="5040"/>
            <w:vAlign w:val="top"/>
            <w:tcMar>
              <w:top w:w="70" w:type="dxa"/>
              <w:start w:w="90" w:type="dxa"/>
              <w:bottom w:w="70" w:type="dxa"/>
              <w:end w:w="90" w:type="dxa"/>
            </w:tcMar>
          </w:tcPr>
          <w:p>
            <w:pPr>
              <w:spacing w:after="0"/>
            </w:pPr>
            <w:r>
              <w:rPr>
                <w:rFonts w:ascii="Liberation Sans" w:hAnsi="Liberation Sans"/>
                <w:sz w:val="16"/>
              </w:rPr>
              <w:t>Rank material differences and produce evidence-linked explanations.</w:t>
            </w:r>
          </w:p>
        </w:tc>
      </w:tr>
      <w:tr>
        <w:tc>
          <w:tcPr>
            <w:tcW w:type="dxa" w:w="5040"/>
            <w:vAlign w:val="top"/>
            <w:tcMar>
              <w:top w:w="70" w:type="dxa"/>
              <w:start w:w="90" w:type="dxa"/>
              <w:bottom w:w="70" w:type="dxa"/>
              <w:end w:w="90" w:type="dxa"/>
            </w:tcMar>
            <w:shd w:fill="F7F9FB"/>
          </w:tcPr>
          <w:p>
            <w:pPr>
              <w:spacing w:after="0"/>
            </w:pPr>
            <w:r>
              <w:rPr>
                <w:rFonts w:ascii="Liberation Sans" w:hAnsi="Liberation Sans"/>
                <w:sz w:val="16"/>
              </w:rPr>
              <w:t>Control evidence</w:t>
            </w:r>
          </w:p>
        </w:tc>
        <w:tc>
          <w:tcPr>
            <w:tcW w:type="dxa" w:w="5040"/>
            <w:vAlign w:val="top"/>
            <w:tcMar>
              <w:top w:w="70" w:type="dxa"/>
              <w:start w:w="90" w:type="dxa"/>
              <w:bottom w:w="70" w:type="dxa"/>
              <w:end w:w="90" w:type="dxa"/>
            </w:tcMar>
            <w:shd w:fill="F7F9FB"/>
          </w:tcPr>
          <w:p>
            <w:pPr>
              <w:spacing w:after="0"/>
            </w:pPr>
            <w:r>
              <w:rPr>
                <w:rFonts w:ascii="Liberation Sans" w:hAnsi="Liberation Sans"/>
                <w:sz w:val="16"/>
              </w:rPr>
              <w:t>Store inputs, versions, approvals, rules, tests, actual/expected results and remediation status.</w:t>
            </w:r>
          </w:p>
        </w:tc>
      </w:tr>
    </w:tbl>
    <w:p>
      <w:pPr>
        <w:spacing w:after="20"/>
      </w:pPr>
    </w:p>
    <w:p>
      <w:pPr>
        <w:pStyle w:val="Heading2"/>
      </w:pPr>
      <w:r>
        <w:t>3.3 Later modules</w:t>
      </w:r>
    </w:p>
    <w:p>
      <w:r>
        <w:rPr>
          <w:rFonts w:ascii="Liberation Sans" w:hAnsi="Liberation Sans"/>
          <w:sz w:val="19"/>
        </w:rPr>
        <w:t>After the two core products prove demand, add commodity and adjacent features around them rather than before them: regulatory radar/horizon scanning, alerts, obligations, policy/control mapping, change-project workflow, broader reporting, market/CVA/operational risk, liquidity, stress testing, IFRS 9, and additional jurisdictions.</w:t>
      </w:r>
    </w:p>
    <w:p>
      <w:r>
        <w:br w:type="page"/>
      </w:r>
    </w:p>
    <w:p>
      <w:pPr>
        <w:pStyle w:val="Heading1"/>
      </w:pPr>
      <w:r>
        <w:t>4. Regulatory knowledge graph and guideline strategy</w:t>
      </w:r>
    </w:p>
    <w:p>
      <w:pPr>
        <w:pStyle w:val="Heading2"/>
      </w:pPr>
      <w:r>
        <w:t>4.1 Canonical guideline: BCBS Basel Framework</w:t>
      </w:r>
    </w:p>
    <w:p>
      <w:r>
        <w:rPr>
          <w:rFonts w:ascii="Liberation Sans" w:hAnsi="Liberation Sans"/>
          <w:sz w:val="19"/>
        </w:rPr>
        <w:t>Use the consolidated BCBS Basel Framework as the canonical regulatory ontology. For the first release, model only the domains required for credit-risk and capital traceability: SCO (scope), CAP (capital), RBC (risk-based capital), CRE (credit risk) and DIS (disclosures/reporting references where relevant). CRE20 defines the standardized approach for individual exposures; CRE22 covers standardized credit-risk mitigation. [R1][R19]</w:t>
      </w:r>
    </w:p>
    <w:p>
      <w:pPr>
        <w:jc w:val="center"/>
      </w:pPr>
      <w:r>
        <w:drawing>
          <wp:inline xmlns:a="http://schemas.openxmlformats.org/drawingml/2006/main" xmlns:pic="http://schemas.openxmlformats.org/drawingml/2006/picture">
            <wp:extent cx="6309360" cy="3685901"/>
            <wp:docPr id="2" name="Picture 2"/>
            <wp:cNvGraphicFramePr>
              <a:graphicFrameLocks noChangeAspect="1"/>
            </wp:cNvGraphicFramePr>
            <a:graphic>
              <a:graphicData uri="http://schemas.openxmlformats.org/drawingml/2006/picture">
                <pic:pic>
                  <pic:nvPicPr>
                    <pic:cNvPr id="0" name="knowledge_graph.png"/>
                    <pic:cNvPicPr/>
                  </pic:nvPicPr>
                  <pic:blipFill>
                    <a:blip r:embed="rId12"/>
                    <a:stretch>
                      <a:fillRect/>
                    </a:stretch>
                  </pic:blipFill>
                  <pic:spPr>
                    <a:xfrm>
                      <a:off x="0" y="0"/>
                      <a:ext cx="6309360" cy="3685901"/>
                    </a:xfrm>
                    <a:prstGeom prst="rect"/>
                  </pic:spPr>
                </pic:pic>
              </a:graphicData>
            </a:graphic>
          </wp:inline>
        </w:drawing>
      </w:r>
    </w:p>
    <w:p>
      <w:pPr>
        <w:jc w:val="center"/>
      </w:pPr>
      <w:r>
        <w:rPr>
          <w:rFonts w:ascii="Liberation Sans" w:hAnsi="Liberation Sans"/>
          <w:b/>
          <w:color w:val="5B6573"/>
          <w:sz w:val="16"/>
        </w:rPr>
        <w:t>Figure 2 — Canonical BCBS graph with jurisdiction overlays and execution links</w:t>
      </w:r>
    </w:p>
    <w:p>
      <w:pPr>
        <w:pStyle w:val="Heading2"/>
      </w:pPr>
      <w:r>
        <w:t>4.2 Why a canonical graph instead of country forks</w:t>
      </w:r>
    </w:p>
    <w:p>
      <w:r>
        <w:rPr>
          <w:rFonts w:ascii="Liberation Sans" w:hAnsi="Liberation Sans"/>
          <w:sz w:val="19"/>
        </w:rPr>
        <w:t>Jurisdictions implement Basel differently and on different timelines. The architecture must represent “BCBS concept” separately from “jurisdiction implementation.” This makes cross-country comparison, rule reuse, change tracking and testing tractable. It also avoids maintaining independent U.S., UK, EU, Saudi and UAE calculation products.</w:t>
      </w:r>
    </w:p>
    <w:p>
      <w:pPr>
        <w:pStyle w:val="Heading2"/>
      </w:pPr>
      <w:r>
        <w:t>4.3 Core graph entities</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shd w:fill="17365D"/>
            <w:tcMar>
              <w:top w:w="70" w:type="dxa"/>
              <w:start w:w="90" w:type="dxa"/>
              <w:bottom w:w="70" w:type="dxa"/>
              <w:end w:w="90" w:type="dxa"/>
            </w:tcMar>
          </w:tcPr>
          <w:p>
            <w:r>
              <w:rPr>
                <w:b/>
                <w:color w:val="FFFFFF"/>
                <w:sz w:val="15"/>
              </w:rPr>
              <w:t>Entity</w:t>
            </w:r>
          </w:p>
        </w:tc>
        <w:tc>
          <w:tcPr>
            <w:tcW w:type="dxa" w:w="3360"/>
            <w:shd w:fill="17365D"/>
            <w:tcMar>
              <w:top w:w="70" w:type="dxa"/>
              <w:start w:w="90" w:type="dxa"/>
              <w:bottom w:w="70" w:type="dxa"/>
              <w:end w:w="90" w:type="dxa"/>
            </w:tcMar>
          </w:tcPr>
          <w:p>
            <w:r>
              <w:rPr>
                <w:b/>
                <w:color w:val="FFFFFF"/>
                <w:sz w:val="15"/>
              </w:rPr>
              <w:t>Purpose</w:t>
            </w:r>
          </w:p>
        </w:tc>
        <w:tc>
          <w:tcPr>
            <w:tcW w:type="dxa" w:w="3360"/>
            <w:shd w:fill="17365D"/>
            <w:tcMar>
              <w:top w:w="70" w:type="dxa"/>
              <w:start w:w="90" w:type="dxa"/>
              <w:bottom w:w="70" w:type="dxa"/>
              <w:end w:w="90" w:type="dxa"/>
            </w:tcMar>
          </w:tcPr>
          <w:p>
            <w:r>
              <w:rPr>
                <w:b/>
                <w:color w:val="FFFFFF"/>
                <w:sz w:val="15"/>
              </w:rPr>
              <w:t>Critical fields</w:t>
            </w:r>
          </w:p>
        </w:tc>
      </w:tr>
      <w:tr>
        <w:tc>
          <w:tcPr>
            <w:tcW w:type="dxa" w:w="3360"/>
            <w:vAlign w:val="top"/>
            <w:tcMar>
              <w:top w:w="70" w:type="dxa"/>
              <w:start w:w="90" w:type="dxa"/>
              <w:bottom w:w="70" w:type="dxa"/>
              <w:end w:w="90" w:type="dxa"/>
            </w:tcMar>
          </w:tcPr>
          <w:p>
            <w:pPr>
              <w:spacing w:after="0"/>
            </w:pPr>
            <w:r>
              <w:rPr>
                <w:rFonts w:ascii="Liberation Sans" w:hAnsi="Liberation Sans"/>
                <w:sz w:val="15"/>
              </w:rPr>
              <w:t>regulatory_document</w:t>
            </w:r>
          </w:p>
        </w:tc>
        <w:tc>
          <w:tcPr>
            <w:tcW w:type="dxa" w:w="3360"/>
            <w:vAlign w:val="top"/>
            <w:tcMar>
              <w:top w:w="70" w:type="dxa"/>
              <w:start w:w="90" w:type="dxa"/>
              <w:bottom w:w="70" w:type="dxa"/>
              <w:end w:w="90" w:type="dxa"/>
            </w:tcMar>
          </w:tcPr>
          <w:p>
            <w:pPr>
              <w:spacing w:after="0"/>
            </w:pPr>
            <w:r>
              <w:rPr>
                <w:rFonts w:ascii="Liberation Sans" w:hAnsi="Liberation Sans"/>
                <w:sz w:val="15"/>
              </w:rPr>
              <w:t>Official publication container</w:t>
            </w:r>
          </w:p>
        </w:tc>
        <w:tc>
          <w:tcPr>
            <w:tcW w:type="dxa" w:w="3360"/>
            <w:vAlign w:val="top"/>
            <w:tcMar>
              <w:top w:w="70" w:type="dxa"/>
              <w:start w:w="90" w:type="dxa"/>
              <w:bottom w:w="70" w:type="dxa"/>
              <w:end w:w="90" w:type="dxa"/>
            </w:tcMar>
          </w:tcPr>
          <w:p>
            <w:pPr>
              <w:spacing w:after="0"/>
            </w:pPr>
            <w:r>
              <w:rPr>
                <w:rFonts w:ascii="Liberation Sans" w:hAnsi="Liberation Sans"/>
                <w:sz w:val="15"/>
              </w:rPr>
              <w:t>issuer, jurisdiction, publication date, status, URL/hash</w:t>
            </w:r>
          </w:p>
        </w:tc>
      </w:tr>
      <w:tr>
        <w:tc>
          <w:tcPr>
            <w:tcW w:type="dxa" w:w="3360"/>
            <w:vAlign w:val="top"/>
            <w:tcMar>
              <w:top w:w="70" w:type="dxa"/>
              <w:start w:w="90" w:type="dxa"/>
              <w:bottom w:w="70" w:type="dxa"/>
              <w:end w:w="90" w:type="dxa"/>
            </w:tcMar>
            <w:shd w:fill="F7F9FB"/>
          </w:tcPr>
          <w:p>
            <w:pPr>
              <w:spacing w:after="0"/>
            </w:pPr>
            <w:r>
              <w:rPr>
                <w:rFonts w:ascii="Liberation Sans" w:hAnsi="Liberation Sans"/>
                <w:sz w:val="15"/>
              </w:rPr>
              <w:t>canonical_rule</w:t>
            </w:r>
          </w:p>
        </w:tc>
        <w:tc>
          <w:tcPr>
            <w:tcW w:type="dxa" w:w="3360"/>
            <w:vAlign w:val="top"/>
            <w:tcMar>
              <w:top w:w="70" w:type="dxa"/>
              <w:start w:w="90" w:type="dxa"/>
              <w:bottom w:w="70" w:type="dxa"/>
              <w:end w:w="90" w:type="dxa"/>
            </w:tcMar>
            <w:shd w:fill="F7F9FB"/>
          </w:tcPr>
          <w:p>
            <w:pPr>
              <w:spacing w:after="0"/>
            </w:pPr>
            <w:r>
              <w:rPr>
                <w:rFonts w:ascii="Liberation Sans" w:hAnsi="Liberation Sans"/>
                <w:sz w:val="15"/>
              </w:rPr>
              <w:t>BCBS source rule/concept</w:t>
            </w:r>
          </w:p>
        </w:tc>
        <w:tc>
          <w:tcPr>
            <w:tcW w:type="dxa" w:w="3360"/>
            <w:vAlign w:val="top"/>
            <w:tcMar>
              <w:top w:w="70" w:type="dxa"/>
              <w:start w:w="90" w:type="dxa"/>
              <w:bottom w:w="70" w:type="dxa"/>
              <w:end w:w="90" w:type="dxa"/>
            </w:tcMar>
            <w:shd w:fill="F7F9FB"/>
          </w:tcPr>
          <w:p>
            <w:pPr>
              <w:spacing w:after="0"/>
            </w:pPr>
            <w:r>
              <w:rPr>
                <w:rFonts w:ascii="Liberation Sans" w:hAnsi="Liberation Sans"/>
                <w:sz w:val="15"/>
              </w:rPr>
              <w:t>BCBS module, paragraph, concept tags</w:t>
            </w:r>
          </w:p>
        </w:tc>
      </w:tr>
      <w:tr>
        <w:tc>
          <w:tcPr>
            <w:tcW w:type="dxa" w:w="3360"/>
            <w:vAlign w:val="top"/>
            <w:tcMar>
              <w:top w:w="70" w:type="dxa"/>
              <w:start w:w="90" w:type="dxa"/>
              <w:bottom w:w="70" w:type="dxa"/>
              <w:end w:w="90" w:type="dxa"/>
            </w:tcMar>
          </w:tcPr>
          <w:p>
            <w:pPr>
              <w:spacing w:after="0"/>
            </w:pPr>
            <w:r>
              <w:rPr>
                <w:rFonts w:ascii="Liberation Sans" w:hAnsi="Liberation Sans"/>
                <w:sz w:val="15"/>
              </w:rPr>
              <w:t>jurisdiction_rule</w:t>
            </w:r>
          </w:p>
        </w:tc>
        <w:tc>
          <w:tcPr>
            <w:tcW w:type="dxa" w:w="3360"/>
            <w:vAlign w:val="top"/>
            <w:tcMar>
              <w:top w:w="70" w:type="dxa"/>
              <w:start w:w="90" w:type="dxa"/>
              <w:bottom w:w="70" w:type="dxa"/>
              <w:end w:w="90" w:type="dxa"/>
            </w:tcMar>
          </w:tcPr>
          <w:p>
            <w:pPr>
              <w:spacing w:after="0"/>
            </w:pPr>
            <w:r>
              <w:rPr>
                <w:rFonts w:ascii="Liberation Sans" w:hAnsi="Liberation Sans"/>
                <w:sz w:val="15"/>
              </w:rPr>
              <w:t>Executable/local implementation</w:t>
            </w:r>
          </w:p>
        </w:tc>
        <w:tc>
          <w:tcPr>
            <w:tcW w:type="dxa" w:w="3360"/>
            <w:vAlign w:val="top"/>
            <w:tcMar>
              <w:top w:w="70" w:type="dxa"/>
              <w:start w:w="90" w:type="dxa"/>
              <w:bottom w:w="70" w:type="dxa"/>
              <w:end w:w="90" w:type="dxa"/>
            </w:tcMar>
          </w:tcPr>
          <w:p>
            <w:pPr>
              <w:spacing w:after="0"/>
            </w:pPr>
            <w:r>
              <w:rPr>
                <w:rFonts w:ascii="Liberation Sans" w:hAnsi="Liberation Sans"/>
                <w:sz w:val="15"/>
              </w:rPr>
              <w:t>jurisdiction, source paragraph, status, effective dates</w:t>
            </w:r>
          </w:p>
        </w:tc>
      </w:tr>
      <w:tr>
        <w:tc>
          <w:tcPr>
            <w:tcW w:type="dxa" w:w="3360"/>
            <w:vAlign w:val="top"/>
            <w:tcMar>
              <w:top w:w="70" w:type="dxa"/>
              <w:start w:w="90" w:type="dxa"/>
              <w:bottom w:w="70" w:type="dxa"/>
              <w:end w:w="90" w:type="dxa"/>
            </w:tcMar>
            <w:shd w:fill="F7F9FB"/>
          </w:tcPr>
          <w:p>
            <w:pPr>
              <w:spacing w:after="0"/>
            </w:pPr>
            <w:r>
              <w:rPr>
                <w:rFonts w:ascii="Liberation Sans" w:hAnsi="Liberation Sans"/>
                <w:sz w:val="15"/>
              </w:rPr>
              <w:t>rule_version</w:t>
            </w:r>
          </w:p>
        </w:tc>
        <w:tc>
          <w:tcPr>
            <w:tcW w:type="dxa" w:w="3360"/>
            <w:vAlign w:val="top"/>
            <w:tcMar>
              <w:top w:w="70" w:type="dxa"/>
              <w:start w:w="90" w:type="dxa"/>
              <w:bottom w:w="70" w:type="dxa"/>
              <w:end w:w="90" w:type="dxa"/>
            </w:tcMar>
            <w:shd w:fill="F7F9FB"/>
          </w:tcPr>
          <w:p>
            <w:pPr>
              <w:spacing w:after="0"/>
            </w:pPr>
            <w:r>
              <w:rPr>
                <w:rFonts w:ascii="Liberation Sans" w:hAnsi="Liberation Sans"/>
                <w:sz w:val="15"/>
              </w:rPr>
              <w:t>Immutable change state</w:t>
            </w:r>
          </w:p>
        </w:tc>
        <w:tc>
          <w:tcPr>
            <w:tcW w:type="dxa" w:w="3360"/>
            <w:vAlign w:val="top"/>
            <w:tcMar>
              <w:top w:w="70" w:type="dxa"/>
              <w:start w:w="90" w:type="dxa"/>
              <w:bottom w:w="70" w:type="dxa"/>
              <w:end w:w="90" w:type="dxa"/>
            </w:tcMar>
            <w:shd w:fill="F7F9FB"/>
          </w:tcPr>
          <w:p>
            <w:pPr>
              <w:spacing w:after="0"/>
            </w:pPr>
            <w:r>
              <w:rPr>
                <w:rFonts w:ascii="Liberation Sans" w:hAnsi="Liberation Sans"/>
                <w:sz w:val="15"/>
              </w:rPr>
              <w:t>version, predecessor, supersedes, effective dates</w:t>
            </w:r>
          </w:p>
        </w:tc>
      </w:tr>
      <w:tr>
        <w:tc>
          <w:tcPr>
            <w:tcW w:type="dxa" w:w="3360"/>
            <w:vAlign w:val="top"/>
            <w:tcMar>
              <w:top w:w="70" w:type="dxa"/>
              <w:start w:w="90" w:type="dxa"/>
              <w:bottom w:w="70" w:type="dxa"/>
              <w:end w:w="90" w:type="dxa"/>
            </w:tcMar>
          </w:tcPr>
          <w:p>
            <w:pPr>
              <w:spacing w:after="0"/>
            </w:pPr>
            <w:r>
              <w:rPr>
                <w:rFonts w:ascii="Liberation Sans" w:hAnsi="Liberation Sans"/>
                <w:sz w:val="15"/>
              </w:rPr>
              <w:t>rule_crosswalk</w:t>
            </w:r>
          </w:p>
        </w:tc>
        <w:tc>
          <w:tcPr>
            <w:tcW w:type="dxa" w:w="3360"/>
            <w:vAlign w:val="top"/>
            <w:tcMar>
              <w:top w:w="70" w:type="dxa"/>
              <w:start w:w="90" w:type="dxa"/>
              <w:bottom w:w="70" w:type="dxa"/>
              <w:end w:w="90" w:type="dxa"/>
            </w:tcMar>
          </w:tcPr>
          <w:p>
            <w:pPr>
              <w:spacing w:after="0"/>
            </w:pPr>
            <w:r>
              <w:rPr>
                <w:rFonts w:ascii="Liberation Sans" w:hAnsi="Liberation Sans"/>
                <w:sz w:val="15"/>
              </w:rPr>
              <w:t>Maps BCBS ↔ jurisdiction / old ↔ new</w:t>
            </w:r>
          </w:p>
        </w:tc>
        <w:tc>
          <w:tcPr>
            <w:tcW w:type="dxa" w:w="3360"/>
            <w:vAlign w:val="top"/>
            <w:tcMar>
              <w:top w:w="70" w:type="dxa"/>
              <w:start w:w="90" w:type="dxa"/>
              <w:bottom w:w="70" w:type="dxa"/>
              <w:end w:w="90" w:type="dxa"/>
            </w:tcMar>
          </w:tcPr>
          <w:p>
            <w:pPr>
              <w:spacing w:after="0"/>
            </w:pPr>
            <w:r>
              <w:rPr>
                <w:rFonts w:ascii="Liberation Sans" w:hAnsi="Liberation Sans"/>
                <w:sz w:val="15"/>
              </w:rPr>
              <w:t>relationship type, confidence, reviewer</w:t>
            </w:r>
          </w:p>
        </w:tc>
      </w:tr>
      <w:tr>
        <w:tc>
          <w:tcPr>
            <w:tcW w:type="dxa" w:w="3360"/>
            <w:vAlign w:val="top"/>
            <w:tcMar>
              <w:top w:w="70" w:type="dxa"/>
              <w:start w:w="90" w:type="dxa"/>
              <w:bottom w:w="70" w:type="dxa"/>
              <w:end w:w="90" w:type="dxa"/>
            </w:tcMar>
            <w:shd w:fill="F7F9FB"/>
          </w:tcPr>
          <w:p>
            <w:pPr>
              <w:spacing w:after="0"/>
            </w:pPr>
            <w:r>
              <w:rPr>
                <w:rFonts w:ascii="Liberation Sans" w:hAnsi="Liberation Sans"/>
                <w:sz w:val="15"/>
              </w:rPr>
              <w:t>change_event</w:t>
            </w:r>
          </w:p>
        </w:tc>
        <w:tc>
          <w:tcPr>
            <w:tcW w:type="dxa" w:w="3360"/>
            <w:vAlign w:val="top"/>
            <w:tcMar>
              <w:top w:w="70" w:type="dxa"/>
              <w:start w:w="90" w:type="dxa"/>
              <w:bottom w:w="70" w:type="dxa"/>
              <w:end w:w="90" w:type="dxa"/>
            </w:tcMar>
            <w:shd w:fill="F7F9FB"/>
          </w:tcPr>
          <w:p>
            <w:pPr>
              <w:spacing w:after="0"/>
            </w:pPr>
            <w:r>
              <w:rPr>
                <w:rFonts w:ascii="Liberation Sans" w:hAnsi="Liberation Sans"/>
                <w:sz w:val="15"/>
              </w:rPr>
              <w:t>Captures added/removed/modified/moved</w:t>
            </w:r>
          </w:p>
        </w:tc>
        <w:tc>
          <w:tcPr>
            <w:tcW w:type="dxa" w:w="3360"/>
            <w:vAlign w:val="top"/>
            <w:tcMar>
              <w:top w:w="70" w:type="dxa"/>
              <w:start w:w="90" w:type="dxa"/>
              <w:bottom w:w="70" w:type="dxa"/>
              <w:end w:w="90" w:type="dxa"/>
            </w:tcMar>
            <w:shd w:fill="F7F9FB"/>
          </w:tcPr>
          <w:p>
            <w:pPr>
              <w:spacing w:after="0"/>
            </w:pPr>
            <w:r>
              <w:rPr>
                <w:rFonts w:ascii="Liberation Sans" w:hAnsi="Liberation Sans"/>
                <w:sz w:val="15"/>
              </w:rPr>
              <w:t>change type, materiality, narrative</w:t>
            </w:r>
          </w:p>
        </w:tc>
      </w:tr>
      <w:tr>
        <w:tc>
          <w:tcPr>
            <w:tcW w:type="dxa" w:w="3360"/>
            <w:vAlign w:val="top"/>
            <w:tcMar>
              <w:top w:w="70" w:type="dxa"/>
              <w:start w:w="90" w:type="dxa"/>
              <w:bottom w:w="70" w:type="dxa"/>
              <w:end w:w="90" w:type="dxa"/>
            </w:tcMar>
          </w:tcPr>
          <w:p>
            <w:pPr>
              <w:spacing w:after="0"/>
            </w:pPr>
            <w:r>
              <w:rPr>
                <w:rFonts w:ascii="Liberation Sans" w:hAnsi="Liberation Sans"/>
                <w:sz w:val="15"/>
              </w:rPr>
              <w:t>applicability</w:t>
            </w:r>
          </w:p>
        </w:tc>
        <w:tc>
          <w:tcPr>
            <w:tcW w:type="dxa" w:w="3360"/>
            <w:vAlign w:val="top"/>
            <w:tcMar>
              <w:top w:w="70" w:type="dxa"/>
              <w:start w:w="90" w:type="dxa"/>
              <w:bottom w:w="70" w:type="dxa"/>
              <w:end w:w="90" w:type="dxa"/>
            </w:tcMar>
          </w:tcPr>
          <w:p>
            <w:pPr>
              <w:spacing w:after="0"/>
            </w:pPr>
            <w:r>
              <w:rPr>
                <w:rFonts w:ascii="Liberation Sans" w:hAnsi="Liberation Sans"/>
                <w:sz w:val="15"/>
              </w:rPr>
              <w:t>Who/what the rule applies to</w:t>
            </w:r>
          </w:p>
        </w:tc>
        <w:tc>
          <w:tcPr>
            <w:tcW w:type="dxa" w:w="3360"/>
            <w:vAlign w:val="top"/>
            <w:tcMar>
              <w:top w:w="70" w:type="dxa"/>
              <w:start w:w="90" w:type="dxa"/>
              <w:bottom w:w="70" w:type="dxa"/>
              <w:end w:w="90" w:type="dxa"/>
            </w:tcMar>
          </w:tcPr>
          <w:p>
            <w:pPr>
              <w:spacing w:after="0"/>
            </w:pPr>
            <w:r>
              <w:rPr>
                <w:rFonts w:ascii="Liberation Sans" w:hAnsi="Liberation Sans"/>
                <w:sz w:val="15"/>
              </w:rPr>
              <w:t>entity category, exposure, product, thresholds</w:t>
            </w:r>
          </w:p>
        </w:tc>
      </w:tr>
      <w:tr>
        <w:tc>
          <w:tcPr>
            <w:tcW w:type="dxa" w:w="3360"/>
            <w:vAlign w:val="top"/>
            <w:tcMar>
              <w:top w:w="70" w:type="dxa"/>
              <w:start w:w="90" w:type="dxa"/>
              <w:bottom w:w="70" w:type="dxa"/>
              <w:end w:w="90" w:type="dxa"/>
            </w:tcMar>
            <w:shd w:fill="F7F9FB"/>
          </w:tcPr>
          <w:p>
            <w:pPr>
              <w:spacing w:after="0"/>
            </w:pPr>
            <w:r>
              <w:rPr>
                <w:rFonts w:ascii="Liberation Sans" w:hAnsi="Liberation Sans"/>
                <w:sz w:val="15"/>
              </w:rPr>
              <w:t>bank_product</w:t>
            </w:r>
          </w:p>
        </w:tc>
        <w:tc>
          <w:tcPr>
            <w:tcW w:type="dxa" w:w="3360"/>
            <w:vAlign w:val="top"/>
            <w:tcMar>
              <w:top w:w="70" w:type="dxa"/>
              <w:start w:w="90" w:type="dxa"/>
              <w:bottom w:w="70" w:type="dxa"/>
              <w:end w:w="90" w:type="dxa"/>
            </w:tcMar>
            <w:shd w:fill="F7F9FB"/>
          </w:tcPr>
          <w:p>
            <w:pPr>
              <w:spacing w:after="0"/>
            </w:pPr>
            <w:r>
              <w:rPr>
                <w:rFonts w:ascii="Liberation Sans" w:hAnsi="Liberation Sans"/>
                <w:sz w:val="15"/>
              </w:rPr>
              <w:t>Business product ontology</w:t>
            </w:r>
          </w:p>
        </w:tc>
        <w:tc>
          <w:tcPr>
            <w:tcW w:type="dxa" w:w="3360"/>
            <w:vAlign w:val="top"/>
            <w:tcMar>
              <w:top w:w="70" w:type="dxa"/>
              <w:start w:w="90" w:type="dxa"/>
              <w:bottom w:w="70" w:type="dxa"/>
              <w:end w:w="90" w:type="dxa"/>
            </w:tcMar>
            <w:shd w:fill="F7F9FB"/>
          </w:tcPr>
          <w:p>
            <w:pPr>
              <w:spacing w:after="0"/>
            </w:pPr>
            <w:r>
              <w:rPr>
                <w:rFonts w:ascii="Liberation Sans" w:hAnsi="Liberation Sans"/>
                <w:sz w:val="15"/>
              </w:rPr>
              <w:t>product type, subtype, jurisdictional mapping</w:t>
            </w:r>
          </w:p>
        </w:tc>
      </w:tr>
      <w:tr>
        <w:tc>
          <w:tcPr>
            <w:tcW w:type="dxa" w:w="3360"/>
            <w:vAlign w:val="top"/>
            <w:tcMar>
              <w:top w:w="70" w:type="dxa"/>
              <w:start w:w="90" w:type="dxa"/>
              <w:bottom w:w="70" w:type="dxa"/>
              <w:end w:w="90" w:type="dxa"/>
            </w:tcMar>
          </w:tcPr>
          <w:p>
            <w:pPr>
              <w:spacing w:after="0"/>
            </w:pPr>
            <w:r>
              <w:rPr>
                <w:rFonts w:ascii="Liberation Sans" w:hAnsi="Liberation Sans"/>
                <w:sz w:val="15"/>
              </w:rPr>
              <w:t>data_element</w:t>
            </w:r>
          </w:p>
        </w:tc>
        <w:tc>
          <w:tcPr>
            <w:tcW w:type="dxa" w:w="3360"/>
            <w:vAlign w:val="top"/>
            <w:tcMar>
              <w:top w:w="70" w:type="dxa"/>
              <w:start w:w="90" w:type="dxa"/>
              <w:bottom w:w="70" w:type="dxa"/>
              <w:end w:w="90" w:type="dxa"/>
            </w:tcMar>
          </w:tcPr>
          <w:p>
            <w:pPr>
              <w:spacing w:after="0"/>
            </w:pPr>
            <w:r>
              <w:rPr>
                <w:rFonts w:ascii="Liberation Sans" w:hAnsi="Liberation Sans"/>
                <w:sz w:val="15"/>
              </w:rPr>
              <w:t>UDM field referenced by rules</w:t>
            </w:r>
          </w:p>
        </w:tc>
        <w:tc>
          <w:tcPr>
            <w:tcW w:type="dxa" w:w="3360"/>
            <w:vAlign w:val="top"/>
            <w:tcMar>
              <w:top w:w="70" w:type="dxa"/>
              <w:start w:w="90" w:type="dxa"/>
              <w:bottom w:w="70" w:type="dxa"/>
              <w:end w:w="90" w:type="dxa"/>
            </w:tcMar>
          </w:tcPr>
          <w:p>
            <w:pPr>
              <w:spacing w:after="0"/>
            </w:pPr>
            <w:r>
              <w:rPr>
                <w:rFonts w:ascii="Liberation Sans" w:hAnsi="Liberation Sans"/>
                <w:sz w:val="15"/>
              </w:rPr>
              <w:t>datatype, provenance, quality rules</w:t>
            </w:r>
          </w:p>
        </w:tc>
      </w:tr>
      <w:tr>
        <w:tc>
          <w:tcPr>
            <w:tcW w:type="dxa" w:w="3360"/>
            <w:vAlign w:val="top"/>
            <w:tcMar>
              <w:top w:w="70" w:type="dxa"/>
              <w:start w:w="90" w:type="dxa"/>
              <w:bottom w:w="70" w:type="dxa"/>
              <w:end w:w="90" w:type="dxa"/>
            </w:tcMar>
            <w:shd w:fill="F7F9FB"/>
          </w:tcPr>
          <w:p>
            <w:pPr>
              <w:spacing w:after="0"/>
            </w:pPr>
            <w:r>
              <w:rPr>
                <w:rFonts w:ascii="Liberation Sans" w:hAnsi="Liberation Sans"/>
                <w:sz w:val="15"/>
              </w:rPr>
              <w:t>calculation_component</w:t>
            </w:r>
          </w:p>
        </w:tc>
        <w:tc>
          <w:tcPr>
            <w:tcW w:type="dxa" w:w="3360"/>
            <w:vAlign w:val="top"/>
            <w:tcMar>
              <w:top w:w="70" w:type="dxa"/>
              <w:start w:w="90" w:type="dxa"/>
              <w:bottom w:w="70" w:type="dxa"/>
              <w:end w:w="90" w:type="dxa"/>
            </w:tcMar>
            <w:shd w:fill="F7F9FB"/>
          </w:tcPr>
          <w:p>
            <w:pPr>
              <w:spacing w:after="0"/>
            </w:pPr>
            <w:r>
              <w:rPr>
                <w:rFonts w:ascii="Liberation Sans" w:hAnsi="Liberation Sans"/>
                <w:sz w:val="15"/>
              </w:rPr>
              <w:t>Executable step</w:t>
            </w:r>
          </w:p>
        </w:tc>
        <w:tc>
          <w:tcPr>
            <w:tcW w:type="dxa" w:w="3360"/>
            <w:vAlign w:val="top"/>
            <w:tcMar>
              <w:top w:w="70" w:type="dxa"/>
              <w:start w:w="90" w:type="dxa"/>
              <w:bottom w:w="70" w:type="dxa"/>
              <w:end w:w="90" w:type="dxa"/>
            </w:tcMar>
            <w:shd w:fill="F7F9FB"/>
          </w:tcPr>
          <w:p>
            <w:pPr>
              <w:spacing w:after="0"/>
            </w:pPr>
            <w:r>
              <w:rPr>
                <w:rFonts w:ascii="Liberation Sans" w:hAnsi="Liberation Sans"/>
                <w:sz w:val="15"/>
              </w:rPr>
              <w:t>classification/EAD/CCF/CRM/RW/RWA/capital</w:t>
            </w:r>
          </w:p>
        </w:tc>
      </w:tr>
      <w:tr>
        <w:tc>
          <w:tcPr>
            <w:tcW w:type="dxa" w:w="3360"/>
            <w:vAlign w:val="top"/>
            <w:tcMar>
              <w:top w:w="70" w:type="dxa"/>
              <w:start w:w="90" w:type="dxa"/>
              <w:bottom w:w="70" w:type="dxa"/>
              <w:end w:w="90" w:type="dxa"/>
            </w:tcMar>
          </w:tcPr>
          <w:p>
            <w:pPr>
              <w:spacing w:after="0"/>
            </w:pPr>
            <w:r>
              <w:rPr>
                <w:rFonts w:ascii="Liberation Sans" w:hAnsi="Liberation Sans"/>
                <w:sz w:val="15"/>
              </w:rPr>
              <w:t>report_mapping</w:t>
            </w:r>
          </w:p>
        </w:tc>
        <w:tc>
          <w:tcPr>
            <w:tcW w:type="dxa" w:w="3360"/>
            <w:vAlign w:val="top"/>
            <w:tcMar>
              <w:top w:w="70" w:type="dxa"/>
              <w:start w:w="90" w:type="dxa"/>
              <w:bottom w:w="70" w:type="dxa"/>
              <w:end w:w="90" w:type="dxa"/>
            </w:tcMar>
          </w:tcPr>
          <w:p>
            <w:pPr>
              <w:spacing w:after="0"/>
            </w:pPr>
            <w:r>
              <w:rPr>
                <w:rFonts w:ascii="Liberation Sans" w:hAnsi="Liberation Sans"/>
                <w:sz w:val="15"/>
              </w:rPr>
              <w:t>Rule/result to regulatory form</w:t>
            </w:r>
          </w:p>
        </w:tc>
        <w:tc>
          <w:tcPr>
            <w:tcW w:type="dxa" w:w="3360"/>
            <w:vAlign w:val="top"/>
            <w:tcMar>
              <w:top w:w="70" w:type="dxa"/>
              <w:start w:w="90" w:type="dxa"/>
              <w:bottom w:w="70" w:type="dxa"/>
              <w:end w:w="90" w:type="dxa"/>
            </w:tcMar>
          </w:tcPr>
          <w:p>
            <w:pPr>
              <w:spacing w:after="0"/>
            </w:pPr>
            <w:r>
              <w:rPr>
                <w:rFonts w:ascii="Liberation Sans" w:hAnsi="Liberation Sans"/>
                <w:sz w:val="15"/>
              </w:rPr>
              <w:t>form, schedule, row/cell, version</w:t>
            </w:r>
          </w:p>
        </w:tc>
      </w:tr>
      <w:tr>
        <w:tc>
          <w:tcPr>
            <w:tcW w:type="dxa" w:w="3360"/>
            <w:vAlign w:val="top"/>
            <w:tcMar>
              <w:top w:w="70" w:type="dxa"/>
              <w:start w:w="90" w:type="dxa"/>
              <w:bottom w:w="70" w:type="dxa"/>
              <w:end w:w="90" w:type="dxa"/>
            </w:tcMar>
            <w:shd w:fill="F7F9FB"/>
          </w:tcPr>
          <w:p>
            <w:pPr>
              <w:spacing w:after="0"/>
            </w:pPr>
            <w:r>
              <w:rPr>
                <w:rFonts w:ascii="Liberation Sans" w:hAnsi="Liberation Sans"/>
                <w:sz w:val="15"/>
              </w:rPr>
              <w:t>test_case</w:t>
            </w:r>
          </w:p>
        </w:tc>
        <w:tc>
          <w:tcPr>
            <w:tcW w:type="dxa" w:w="3360"/>
            <w:vAlign w:val="top"/>
            <w:tcMar>
              <w:top w:w="70" w:type="dxa"/>
              <w:start w:w="90" w:type="dxa"/>
              <w:bottom w:w="70" w:type="dxa"/>
              <w:end w:w="90" w:type="dxa"/>
            </w:tcMar>
            <w:shd w:fill="F7F9FB"/>
          </w:tcPr>
          <w:p>
            <w:pPr>
              <w:spacing w:after="0"/>
            </w:pPr>
            <w:r>
              <w:rPr>
                <w:rFonts w:ascii="Liberation Sans" w:hAnsi="Liberation Sans"/>
                <w:sz w:val="15"/>
              </w:rPr>
              <w:t>Rule assurance case</w:t>
            </w:r>
          </w:p>
        </w:tc>
        <w:tc>
          <w:tcPr>
            <w:tcW w:type="dxa" w:w="3360"/>
            <w:vAlign w:val="top"/>
            <w:tcMar>
              <w:top w:w="70" w:type="dxa"/>
              <w:start w:w="90" w:type="dxa"/>
              <w:bottom w:w="70" w:type="dxa"/>
              <w:end w:w="90" w:type="dxa"/>
            </w:tcMar>
            <w:shd w:fill="F7F9FB"/>
          </w:tcPr>
          <w:p>
            <w:pPr>
              <w:spacing w:after="0"/>
            </w:pPr>
            <w:r>
              <w:rPr>
                <w:rFonts w:ascii="Liberation Sans" w:hAnsi="Liberation Sans"/>
                <w:sz w:val="15"/>
              </w:rPr>
              <w:t>scenario, inputs, expected result, evidence</w:t>
            </w:r>
          </w:p>
        </w:tc>
      </w:tr>
      <w:tr>
        <w:tc>
          <w:tcPr>
            <w:tcW w:type="dxa" w:w="3360"/>
            <w:vAlign w:val="top"/>
            <w:tcMar>
              <w:top w:w="70" w:type="dxa"/>
              <w:start w:w="90" w:type="dxa"/>
              <w:bottom w:w="70" w:type="dxa"/>
              <w:end w:w="90" w:type="dxa"/>
            </w:tcMar>
          </w:tcPr>
          <w:p>
            <w:pPr>
              <w:spacing w:after="0"/>
            </w:pPr>
            <w:r>
              <w:rPr>
                <w:rFonts w:ascii="Liberation Sans" w:hAnsi="Liberation Sans"/>
                <w:sz w:val="15"/>
              </w:rPr>
              <w:t>evidence_reference</w:t>
            </w:r>
          </w:p>
        </w:tc>
        <w:tc>
          <w:tcPr>
            <w:tcW w:type="dxa" w:w="3360"/>
            <w:vAlign w:val="top"/>
            <w:tcMar>
              <w:top w:w="70" w:type="dxa"/>
              <w:start w:w="90" w:type="dxa"/>
              <w:bottom w:w="70" w:type="dxa"/>
              <w:end w:w="90" w:type="dxa"/>
            </w:tcMar>
          </w:tcPr>
          <w:p>
            <w:pPr>
              <w:spacing w:after="0"/>
            </w:pPr>
            <w:r>
              <w:rPr>
                <w:rFonts w:ascii="Liberation Sans" w:hAnsi="Liberation Sans"/>
                <w:sz w:val="15"/>
              </w:rPr>
              <w:t>Traceability object</w:t>
            </w:r>
          </w:p>
        </w:tc>
        <w:tc>
          <w:tcPr>
            <w:tcW w:type="dxa" w:w="3360"/>
            <w:vAlign w:val="top"/>
            <w:tcMar>
              <w:top w:w="70" w:type="dxa"/>
              <w:start w:w="90" w:type="dxa"/>
              <w:bottom w:w="70" w:type="dxa"/>
              <w:end w:w="90" w:type="dxa"/>
            </w:tcMar>
          </w:tcPr>
          <w:p>
            <w:pPr>
              <w:spacing w:after="0"/>
            </w:pPr>
            <w:r>
              <w:rPr>
                <w:rFonts w:ascii="Liberation Sans" w:hAnsi="Liberation Sans"/>
                <w:sz w:val="15"/>
              </w:rPr>
              <w:t>source, hash, run ID, reviewer, timestamp</w:t>
            </w:r>
          </w:p>
        </w:tc>
      </w:tr>
    </w:tbl>
    <w:p>
      <w:pPr>
        <w:spacing w:after="20"/>
      </w:pPr>
    </w:p>
    <w:p>
      <w:pPr>
        <w:pStyle w:val="Heading2"/>
      </w:pPr>
      <w:r>
        <w:t>4.4 Change lineage</w:t>
      </w:r>
    </w:p>
    <w:p>
      <w:r>
        <w:rPr>
          <w:rFonts w:ascii="Liberation Sans" w:hAnsi="Liberation Sans"/>
          <w:sz w:val="19"/>
        </w:rPr>
        <w:t>Every rule should retain an explicit version chain (for example: prior rule → 2023 proposal → March 2026 NPR → final rule → technical amendment). The system must never overwrite old logic; a calculation run resolves a specific ruleset as of a specific date/status. Proposed and final rules are separate executable versions.</w:t>
      </w:r>
    </w:p>
    <w:p>
      <w:r>
        <w:br w:type="page"/>
      </w:r>
    </w:p>
    <w:p>
      <w:pPr>
        <w:pStyle w:val="Heading1"/>
      </w:pPr>
      <w:r>
        <w:t>5. Unified data model and capital data architecture</w:t>
      </w:r>
    </w:p>
    <w:p>
      <w:pPr>
        <w:pStyle w:val="Heading2"/>
      </w:pPr>
      <w:r>
        <w:t>5.1 Preserve the UDM, but make it jurisdiction-neutral</w:t>
      </w:r>
    </w:p>
    <w:p>
      <w:r>
        <w:rPr>
          <w:rFonts w:ascii="Liberation Sans" w:hAnsi="Liberation Sans"/>
          <w:sz w:val="19"/>
        </w:rPr>
        <w:t>The existing UDM should become the canonical bank-data contract. Jurisdiction packs must map regulatory concepts to the UDM rather than adding country-specific columns directly into calculation tables. Country-specific fields may exist as extensions, but the core entities should remain reusable.</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shd w:fill="17365D"/>
            <w:tcMar>
              <w:top w:w="70" w:type="dxa"/>
              <w:start w:w="90" w:type="dxa"/>
              <w:bottom w:w="70" w:type="dxa"/>
              <w:end w:w="90" w:type="dxa"/>
            </w:tcMar>
          </w:tcPr>
          <w:p>
            <w:r>
              <w:rPr>
                <w:b/>
                <w:color w:val="FFFFFF"/>
                <w:sz w:val="15"/>
              </w:rPr>
              <w:t>Domain</w:t>
            </w:r>
          </w:p>
        </w:tc>
        <w:tc>
          <w:tcPr>
            <w:tcW w:type="dxa" w:w="5040"/>
            <w:shd w:fill="17365D"/>
            <w:tcMar>
              <w:top w:w="70" w:type="dxa"/>
              <w:start w:w="90" w:type="dxa"/>
              <w:bottom w:w="70" w:type="dxa"/>
              <w:end w:w="90" w:type="dxa"/>
            </w:tcMar>
          </w:tcPr>
          <w:p>
            <w:r>
              <w:rPr>
                <w:b/>
                <w:color w:val="FFFFFF"/>
                <w:sz w:val="15"/>
              </w:rPr>
              <w:t>Recommended entities / attributes</w:t>
            </w:r>
          </w:p>
        </w:tc>
      </w:tr>
      <w:tr>
        <w:tc>
          <w:tcPr>
            <w:tcW w:type="dxa" w:w="5040"/>
            <w:vAlign w:val="top"/>
            <w:tcMar>
              <w:top w:w="70" w:type="dxa"/>
              <w:start w:w="90" w:type="dxa"/>
              <w:bottom w:w="70" w:type="dxa"/>
              <w:end w:w="90" w:type="dxa"/>
            </w:tcMar>
          </w:tcPr>
          <w:p>
            <w:pPr>
              <w:spacing w:after="0"/>
            </w:pPr>
            <w:r>
              <w:rPr>
                <w:rFonts w:ascii="Liberation Sans" w:hAnsi="Liberation Sans"/>
                <w:sz w:val="15"/>
              </w:rPr>
              <w:t>Counterparty</w:t>
            </w:r>
          </w:p>
        </w:tc>
        <w:tc>
          <w:tcPr>
            <w:tcW w:type="dxa" w:w="5040"/>
            <w:vAlign w:val="top"/>
            <w:tcMar>
              <w:top w:w="70" w:type="dxa"/>
              <w:start w:w="90" w:type="dxa"/>
              <w:bottom w:w="70" w:type="dxa"/>
              <w:end w:w="90" w:type="dxa"/>
            </w:tcMar>
          </w:tcPr>
          <w:p>
            <w:pPr>
              <w:spacing w:after="0"/>
            </w:pPr>
            <w:r>
              <w:rPr>
                <w:rFonts w:ascii="Liberation Sans" w:hAnsi="Liberation Sans"/>
                <w:sz w:val="15"/>
              </w:rPr>
              <w:t>counterparty_id, type, legal form, jurisdiction, size indicators, credit quality, default status</w:t>
            </w:r>
          </w:p>
        </w:tc>
      </w:tr>
      <w:tr>
        <w:tc>
          <w:tcPr>
            <w:tcW w:type="dxa" w:w="5040"/>
            <w:vAlign w:val="top"/>
            <w:tcMar>
              <w:top w:w="70" w:type="dxa"/>
              <w:start w:w="90" w:type="dxa"/>
              <w:bottom w:w="70" w:type="dxa"/>
              <w:end w:w="90" w:type="dxa"/>
            </w:tcMar>
            <w:shd w:fill="F7F9FB"/>
          </w:tcPr>
          <w:p>
            <w:pPr>
              <w:spacing w:after="0"/>
            </w:pPr>
            <w:r>
              <w:rPr>
                <w:rFonts w:ascii="Liberation Sans" w:hAnsi="Liberation Sans"/>
                <w:sz w:val="15"/>
              </w:rPr>
              <w:t>Exposure</w:t>
            </w:r>
          </w:p>
        </w:tc>
        <w:tc>
          <w:tcPr>
            <w:tcW w:type="dxa" w:w="5040"/>
            <w:vAlign w:val="top"/>
            <w:tcMar>
              <w:top w:w="70" w:type="dxa"/>
              <w:start w:w="90" w:type="dxa"/>
              <w:bottom w:w="70" w:type="dxa"/>
              <w:end w:w="90" w:type="dxa"/>
            </w:tcMar>
            <w:shd w:fill="F7F9FB"/>
          </w:tcPr>
          <w:p>
            <w:pPr>
              <w:spacing w:after="0"/>
            </w:pPr>
            <w:r>
              <w:rPr>
                <w:rFonts w:ascii="Liberation Sans" w:hAnsi="Liberation Sans"/>
                <w:sz w:val="15"/>
              </w:rPr>
              <w:t>exposure_id, product_id, book, amount, currency, maturity, commitment, drawn/undrawn amounts</w:t>
            </w:r>
          </w:p>
        </w:tc>
      </w:tr>
      <w:tr>
        <w:tc>
          <w:tcPr>
            <w:tcW w:type="dxa" w:w="5040"/>
            <w:vAlign w:val="top"/>
            <w:tcMar>
              <w:top w:w="70" w:type="dxa"/>
              <w:start w:w="90" w:type="dxa"/>
              <w:bottom w:w="70" w:type="dxa"/>
              <w:end w:w="90" w:type="dxa"/>
            </w:tcMar>
          </w:tcPr>
          <w:p>
            <w:pPr>
              <w:spacing w:after="0"/>
            </w:pPr>
            <w:r>
              <w:rPr>
                <w:rFonts w:ascii="Liberation Sans" w:hAnsi="Liberation Sans"/>
                <w:sz w:val="15"/>
              </w:rPr>
              <w:t>Product</w:t>
            </w:r>
          </w:p>
        </w:tc>
        <w:tc>
          <w:tcPr>
            <w:tcW w:type="dxa" w:w="5040"/>
            <w:vAlign w:val="top"/>
            <w:tcMar>
              <w:top w:w="70" w:type="dxa"/>
              <w:start w:w="90" w:type="dxa"/>
              <w:bottom w:w="70" w:type="dxa"/>
              <w:end w:w="90" w:type="dxa"/>
            </w:tcMar>
          </w:tcPr>
          <w:p>
            <w:pPr>
              <w:spacing w:after="0"/>
            </w:pPr>
            <w:r>
              <w:rPr>
                <w:rFonts w:ascii="Liberation Sans" w:hAnsi="Liberation Sans"/>
                <w:sz w:val="15"/>
              </w:rPr>
              <w:t>product taxonomy, regulatory exposure candidates, secured/unsecured attributes</w:t>
            </w:r>
          </w:p>
        </w:tc>
      </w:tr>
      <w:tr>
        <w:tc>
          <w:tcPr>
            <w:tcW w:type="dxa" w:w="5040"/>
            <w:vAlign w:val="top"/>
            <w:tcMar>
              <w:top w:w="70" w:type="dxa"/>
              <w:start w:w="90" w:type="dxa"/>
              <w:bottom w:w="70" w:type="dxa"/>
              <w:end w:w="90" w:type="dxa"/>
            </w:tcMar>
            <w:shd w:fill="F7F9FB"/>
          </w:tcPr>
          <w:p>
            <w:pPr>
              <w:spacing w:after="0"/>
            </w:pPr>
            <w:r>
              <w:rPr>
                <w:rFonts w:ascii="Liberation Sans" w:hAnsi="Liberation Sans"/>
                <w:sz w:val="15"/>
              </w:rPr>
              <w:t>Rating / credit quality</w:t>
            </w:r>
          </w:p>
        </w:tc>
        <w:tc>
          <w:tcPr>
            <w:tcW w:type="dxa" w:w="5040"/>
            <w:vAlign w:val="top"/>
            <w:tcMar>
              <w:top w:w="70" w:type="dxa"/>
              <w:start w:w="90" w:type="dxa"/>
              <w:bottom w:w="70" w:type="dxa"/>
              <w:end w:w="90" w:type="dxa"/>
            </w:tcMar>
            <w:shd w:fill="F7F9FB"/>
          </w:tcPr>
          <w:p>
            <w:pPr>
              <w:spacing w:after="0"/>
            </w:pPr>
            <w:r>
              <w:rPr>
                <w:rFonts w:ascii="Liberation Sans" w:hAnsi="Liberation Sans"/>
                <w:sz w:val="15"/>
              </w:rPr>
              <w:t>agency, rating, mapping, date, internal grade, external eligibility</w:t>
            </w:r>
          </w:p>
        </w:tc>
      </w:tr>
      <w:tr>
        <w:tc>
          <w:tcPr>
            <w:tcW w:type="dxa" w:w="5040"/>
            <w:vAlign w:val="top"/>
            <w:tcMar>
              <w:top w:w="70" w:type="dxa"/>
              <w:start w:w="90" w:type="dxa"/>
              <w:bottom w:w="70" w:type="dxa"/>
              <w:end w:w="90" w:type="dxa"/>
            </w:tcMar>
          </w:tcPr>
          <w:p>
            <w:pPr>
              <w:spacing w:after="0"/>
            </w:pPr>
            <w:r>
              <w:rPr>
                <w:rFonts w:ascii="Liberation Sans" w:hAnsi="Liberation Sans"/>
                <w:sz w:val="15"/>
              </w:rPr>
              <w:t>Collateral / guarantee</w:t>
            </w:r>
          </w:p>
        </w:tc>
        <w:tc>
          <w:tcPr>
            <w:tcW w:type="dxa" w:w="5040"/>
            <w:vAlign w:val="top"/>
            <w:tcMar>
              <w:top w:w="70" w:type="dxa"/>
              <w:start w:w="90" w:type="dxa"/>
              <w:bottom w:w="70" w:type="dxa"/>
              <w:end w:w="90" w:type="dxa"/>
            </w:tcMar>
          </w:tcPr>
          <w:p>
            <w:pPr>
              <w:spacing w:after="0"/>
            </w:pPr>
            <w:r>
              <w:rPr>
                <w:rFonts w:ascii="Liberation Sans" w:hAnsi="Liberation Sans"/>
                <w:sz w:val="15"/>
              </w:rPr>
              <w:t>type, value, currency, haircut inputs, eligibility, guarantor, maturity</w:t>
            </w:r>
          </w:p>
        </w:tc>
      </w:tr>
      <w:tr>
        <w:tc>
          <w:tcPr>
            <w:tcW w:type="dxa" w:w="5040"/>
            <w:vAlign w:val="top"/>
            <w:tcMar>
              <w:top w:w="70" w:type="dxa"/>
              <w:start w:w="90" w:type="dxa"/>
              <w:bottom w:w="70" w:type="dxa"/>
              <w:end w:w="90" w:type="dxa"/>
            </w:tcMar>
            <w:shd w:fill="F7F9FB"/>
          </w:tcPr>
          <w:p>
            <w:pPr>
              <w:spacing w:after="0"/>
            </w:pPr>
            <w:r>
              <w:rPr>
                <w:rFonts w:ascii="Liberation Sans" w:hAnsi="Liberation Sans"/>
                <w:sz w:val="15"/>
              </w:rPr>
              <w:t>Real estate</w:t>
            </w:r>
          </w:p>
        </w:tc>
        <w:tc>
          <w:tcPr>
            <w:tcW w:type="dxa" w:w="5040"/>
            <w:vAlign w:val="top"/>
            <w:tcMar>
              <w:top w:w="70" w:type="dxa"/>
              <w:start w:w="90" w:type="dxa"/>
              <w:bottom w:w="70" w:type="dxa"/>
              <w:end w:w="90" w:type="dxa"/>
            </w:tcMar>
            <w:shd w:fill="F7F9FB"/>
          </w:tcPr>
          <w:p>
            <w:pPr>
              <w:spacing w:after="0"/>
            </w:pPr>
            <w:r>
              <w:rPr>
                <w:rFonts w:ascii="Liberation Sans" w:hAnsi="Liberation Sans"/>
                <w:sz w:val="15"/>
              </w:rPr>
              <w:t>property type, valuation, LTV inputs, occupancy, income dependency, lien position</w:t>
            </w:r>
          </w:p>
        </w:tc>
      </w:tr>
      <w:tr>
        <w:tc>
          <w:tcPr>
            <w:tcW w:type="dxa" w:w="5040"/>
            <w:vAlign w:val="top"/>
            <w:tcMar>
              <w:top w:w="70" w:type="dxa"/>
              <w:start w:w="90" w:type="dxa"/>
              <w:bottom w:w="70" w:type="dxa"/>
              <w:end w:w="90" w:type="dxa"/>
            </w:tcMar>
          </w:tcPr>
          <w:p>
            <w:pPr>
              <w:spacing w:after="0"/>
            </w:pPr>
            <w:r>
              <w:rPr>
                <w:rFonts w:ascii="Liberation Sans" w:hAnsi="Liberation Sans"/>
                <w:sz w:val="15"/>
              </w:rPr>
              <w:t>CRM / netting</w:t>
            </w:r>
          </w:p>
        </w:tc>
        <w:tc>
          <w:tcPr>
            <w:tcW w:type="dxa" w:w="5040"/>
            <w:vAlign w:val="top"/>
            <w:tcMar>
              <w:top w:w="70" w:type="dxa"/>
              <w:start w:w="90" w:type="dxa"/>
              <w:bottom w:w="70" w:type="dxa"/>
              <w:end w:w="90" w:type="dxa"/>
            </w:tcMar>
          </w:tcPr>
          <w:p>
            <w:pPr>
              <w:spacing w:after="0"/>
            </w:pPr>
            <w:r>
              <w:rPr>
                <w:rFonts w:ascii="Liberation Sans" w:hAnsi="Liberation Sans"/>
                <w:sz w:val="15"/>
              </w:rPr>
              <w:t>agreement, eligible collateral, guarantee, protection provider, maturity mismatch</w:t>
            </w:r>
          </w:p>
        </w:tc>
      </w:tr>
      <w:tr>
        <w:tc>
          <w:tcPr>
            <w:tcW w:type="dxa" w:w="5040"/>
            <w:vAlign w:val="top"/>
            <w:tcMar>
              <w:top w:w="70" w:type="dxa"/>
              <w:start w:w="90" w:type="dxa"/>
              <w:bottom w:w="70" w:type="dxa"/>
              <w:end w:w="90" w:type="dxa"/>
            </w:tcMar>
            <w:shd w:fill="F7F9FB"/>
          </w:tcPr>
          <w:p>
            <w:pPr>
              <w:spacing w:after="0"/>
            </w:pPr>
            <w:r>
              <w:rPr>
                <w:rFonts w:ascii="Liberation Sans" w:hAnsi="Liberation Sans"/>
                <w:sz w:val="15"/>
              </w:rPr>
              <w:t>Legal entity / consolidation</w:t>
            </w:r>
          </w:p>
        </w:tc>
        <w:tc>
          <w:tcPr>
            <w:tcW w:type="dxa" w:w="5040"/>
            <w:vAlign w:val="top"/>
            <w:tcMar>
              <w:top w:w="70" w:type="dxa"/>
              <w:start w:w="90" w:type="dxa"/>
              <w:bottom w:w="70" w:type="dxa"/>
              <w:end w:w="90" w:type="dxa"/>
            </w:tcMar>
            <w:shd w:fill="F7F9FB"/>
          </w:tcPr>
          <w:p>
            <w:pPr>
              <w:spacing w:after="0"/>
            </w:pPr>
            <w:r>
              <w:rPr>
                <w:rFonts w:ascii="Liberation Sans" w:hAnsi="Liberation Sans"/>
                <w:sz w:val="15"/>
              </w:rPr>
              <w:t>entity, parent, regulatory perimeter, country, reporting entity</w:t>
            </w:r>
          </w:p>
        </w:tc>
      </w:tr>
      <w:tr>
        <w:tc>
          <w:tcPr>
            <w:tcW w:type="dxa" w:w="5040"/>
            <w:vAlign w:val="top"/>
            <w:tcMar>
              <w:top w:w="70" w:type="dxa"/>
              <w:start w:w="90" w:type="dxa"/>
              <w:bottom w:w="70" w:type="dxa"/>
              <w:end w:w="90" w:type="dxa"/>
            </w:tcMar>
          </w:tcPr>
          <w:p>
            <w:pPr>
              <w:spacing w:after="0"/>
            </w:pPr>
            <w:r>
              <w:rPr>
                <w:rFonts w:ascii="Liberation Sans" w:hAnsi="Liberation Sans"/>
                <w:sz w:val="15"/>
              </w:rPr>
              <w:t>Calculation context</w:t>
            </w:r>
          </w:p>
        </w:tc>
        <w:tc>
          <w:tcPr>
            <w:tcW w:type="dxa" w:w="5040"/>
            <w:vAlign w:val="top"/>
            <w:tcMar>
              <w:top w:w="70" w:type="dxa"/>
              <w:start w:w="90" w:type="dxa"/>
              <w:bottom w:w="70" w:type="dxa"/>
              <w:end w:w="90" w:type="dxa"/>
            </w:tcMar>
          </w:tcPr>
          <w:p>
            <w:pPr>
              <w:spacing w:after="0"/>
            </w:pPr>
            <w:r>
              <w:rPr>
                <w:rFonts w:ascii="Liberation Sans" w:hAnsi="Liberation Sans"/>
                <w:sz w:val="15"/>
              </w:rPr>
              <w:t>run_id, as_of_date, ruleset_id, jurisdiction, input snapshot hash</w:t>
            </w:r>
          </w:p>
        </w:tc>
      </w:tr>
      <w:tr>
        <w:tc>
          <w:tcPr>
            <w:tcW w:type="dxa" w:w="5040"/>
            <w:vAlign w:val="top"/>
            <w:tcMar>
              <w:top w:w="70" w:type="dxa"/>
              <w:start w:w="90" w:type="dxa"/>
              <w:bottom w:w="70" w:type="dxa"/>
              <w:end w:w="90" w:type="dxa"/>
            </w:tcMar>
            <w:shd w:fill="F7F9FB"/>
          </w:tcPr>
          <w:p>
            <w:pPr>
              <w:spacing w:after="0"/>
            </w:pPr>
            <w:r>
              <w:rPr>
                <w:rFonts w:ascii="Liberation Sans" w:hAnsi="Liberation Sans"/>
                <w:sz w:val="15"/>
              </w:rPr>
              <w:t>Result</w:t>
            </w:r>
          </w:p>
        </w:tc>
        <w:tc>
          <w:tcPr>
            <w:tcW w:type="dxa" w:w="5040"/>
            <w:vAlign w:val="top"/>
            <w:tcMar>
              <w:top w:w="70" w:type="dxa"/>
              <w:start w:w="90" w:type="dxa"/>
              <w:bottom w:w="70" w:type="dxa"/>
              <w:end w:w="90" w:type="dxa"/>
            </w:tcMar>
            <w:shd w:fill="F7F9FB"/>
          </w:tcPr>
          <w:p>
            <w:pPr>
              <w:spacing w:after="0"/>
            </w:pPr>
            <w:r>
              <w:rPr>
                <w:rFonts w:ascii="Liberation Sans" w:hAnsi="Liberation Sans"/>
                <w:sz w:val="15"/>
              </w:rPr>
              <w:t>classification, EAD, CCF, RW, RWA, capital, intermediate steps, reason codes</w:t>
            </w:r>
          </w:p>
        </w:tc>
      </w:tr>
      <w:tr>
        <w:tc>
          <w:tcPr>
            <w:tcW w:type="dxa" w:w="5040"/>
            <w:vAlign w:val="top"/>
            <w:tcMar>
              <w:top w:w="70" w:type="dxa"/>
              <w:start w:w="90" w:type="dxa"/>
              <w:bottom w:w="70" w:type="dxa"/>
              <w:end w:w="90" w:type="dxa"/>
            </w:tcMar>
          </w:tcPr>
          <w:p>
            <w:pPr>
              <w:spacing w:after="0"/>
            </w:pPr>
            <w:r>
              <w:rPr>
                <w:rFonts w:ascii="Liberation Sans" w:hAnsi="Liberation Sans"/>
                <w:sz w:val="15"/>
              </w:rPr>
              <w:t>Reporting</w:t>
            </w:r>
          </w:p>
        </w:tc>
        <w:tc>
          <w:tcPr>
            <w:tcW w:type="dxa" w:w="5040"/>
            <w:vAlign w:val="top"/>
            <w:tcMar>
              <w:top w:w="70" w:type="dxa"/>
              <w:start w:w="90" w:type="dxa"/>
              <w:bottom w:w="70" w:type="dxa"/>
              <w:end w:w="90" w:type="dxa"/>
            </w:tcMar>
          </w:tcPr>
          <w:p>
            <w:pPr>
              <w:spacing w:after="0"/>
            </w:pPr>
            <w:r>
              <w:rPr>
                <w:rFonts w:ascii="Liberation Sans" w:hAnsi="Liberation Sans"/>
                <w:sz w:val="15"/>
              </w:rPr>
              <w:t>report version, schedule/cell mapping, source calculation IDs</w:t>
            </w:r>
          </w:p>
        </w:tc>
      </w:tr>
      <w:tr>
        <w:tc>
          <w:tcPr>
            <w:tcW w:type="dxa" w:w="5040"/>
            <w:vAlign w:val="top"/>
            <w:tcMar>
              <w:top w:w="70" w:type="dxa"/>
              <w:start w:w="90" w:type="dxa"/>
              <w:bottom w:w="70" w:type="dxa"/>
              <w:end w:w="90" w:type="dxa"/>
            </w:tcMar>
            <w:shd w:fill="F7F9FB"/>
          </w:tcPr>
          <w:p>
            <w:pPr>
              <w:spacing w:after="0"/>
            </w:pPr>
            <w:r>
              <w:rPr>
                <w:rFonts w:ascii="Liberation Sans" w:hAnsi="Liberation Sans"/>
                <w:sz w:val="15"/>
              </w:rPr>
              <w:t>Overrides / exceptions</w:t>
            </w:r>
          </w:p>
        </w:tc>
        <w:tc>
          <w:tcPr>
            <w:tcW w:type="dxa" w:w="5040"/>
            <w:vAlign w:val="top"/>
            <w:tcMar>
              <w:top w:w="70" w:type="dxa"/>
              <w:start w:w="90" w:type="dxa"/>
              <w:bottom w:w="70" w:type="dxa"/>
              <w:end w:w="90" w:type="dxa"/>
            </w:tcMar>
            <w:shd w:fill="F7F9FB"/>
          </w:tcPr>
          <w:p>
            <w:pPr>
              <w:spacing w:after="0"/>
            </w:pPr>
            <w:r>
              <w:rPr>
                <w:rFonts w:ascii="Liberation Sans" w:hAnsi="Liberation Sans"/>
                <w:sz w:val="15"/>
              </w:rPr>
              <w:t>original value, proposed value, reason, approver, expiry, evidence</w:t>
            </w:r>
          </w:p>
        </w:tc>
      </w:tr>
    </w:tbl>
    <w:p>
      <w:pPr>
        <w:spacing w:after="20"/>
      </w:pPr>
    </w:p>
    <w:p>
      <w:pPr>
        <w:pStyle w:val="Heading2"/>
      </w:pPr>
      <w:r>
        <w:t>5.2 Mandatory metadata to add</w:t>
      </w:r>
    </w:p>
    <w:p>
      <w:pPr>
        <w:pStyle w:val="ListBullet"/>
        <w:spacing w:after="40"/>
      </w:pPr>
      <w:r>
        <w:rPr>
          <w:rFonts w:ascii="Liberation Sans" w:hAnsi="Liberation Sans"/>
          <w:sz w:val="18"/>
        </w:rPr>
        <w:t>`calculation_run`: immutable run identity, as-of date, bank/legal entity, ruleset, engine version and input snapshot hash.</w:t>
      </w:r>
    </w:p>
    <w:p>
      <w:pPr>
        <w:pStyle w:val="ListBullet"/>
        <w:spacing w:after="40"/>
      </w:pPr>
      <w:r>
        <w:rPr>
          <w:rFonts w:ascii="Liberation Sans" w:hAnsi="Liberation Sans"/>
          <w:sz w:val="18"/>
        </w:rPr>
        <w:t>`calculation_step`: intermediate deterministic values; do not store only final RWA.</w:t>
      </w:r>
    </w:p>
    <w:p>
      <w:pPr>
        <w:pStyle w:val="ListBullet"/>
        <w:spacing w:after="40"/>
      </w:pPr>
      <w:r>
        <w:rPr>
          <w:rFonts w:ascii="Liberation Sans" w:hAnsi="Liberation Sans"/>
          <w:sz w:val="18"/>
        </w:rPr>
        <w:t>`data_lineage`: source field → UDM field → regulatory classification → rule → calculation → report cell.</w:t>
      </w:r>
    </w:p>
    <w:p>
      <w:pPr>
        <w:pStyle w:val="ListBullet"/>
        <w:spacing w:after="40"/>
      </w:pPr>
      <w:r>
        <w:rPr>
          <w:rFonts w:ascii="Liberation Sans" w:hAnsi="Liberation Sans"/>
          <w:sz w:val="18"/>
        </w:rPr>
        <w:t>`regulatory_override`: controlled ledger; never overwrite the original value.</w:t>
      </w:r>
    </w:p>
    <w:p>
      <w:pPr>
        <w:pStyle w:val="ListBullet"/>
        <w:spacing w:after="40"/>
      </w:pPr>
      <w:r>
        <w:rPr>
          <w:rFonts w:ascii="Liberation Sans" w:hAnsi="Liberation Sans"/>
          <w:sz w:val="18"/>
        </w:rPr>
        <w:t>`data_quality_exception`: severity, owner, reason, rule, remediation and sign-off.</w:t>
      </w:r>
    </w:p>
    <w:p>
      <w:pPr>
        <w:pStyle w:val="ListBullet"/>
        <w:spacing w:after="40"/>
      </w:pPr>
      <w:r>
        <w:rPr>
          <w:rFonts w:ascii="Liberation Sans" w:hAnsi="Liberation Sans"/>
          <w:sz w:val="18"/>
        </w:rPr>
        <w:t>`agent_action_log`: every AI prompt/tool/result/recommendation plus human approval state.</w:t>
      </w:r>
    </w:p>
    <w:p>
      <w:pPr>
        <w:pStyle w:val="Heading2"/>
      </w:pPr>
      <w:r>
        <w:t>5.3 Storage recommendation</w:t>
      </w:r>
    </w:p>
    <w:p>
      <w:r>
        <w:rPr>
          <w:rFonts w:ascii="Liberation Sans" w:hAnsi="Liberation Sans"/>
          <w:sz w:val="19"/>
        </w:rPr>
        <w:t>For MVP, keep transactional metadata in a relational store (PostgreSQL), regulatory relationships in a graph-capable layer (Neo4j or a graph abstraction over relational storage), and bulk portfolio/result data in Parquet/object storage. The architecture should not require Neo4j to calculate RWA; the graph answers relationships and provenance while rule/execution services calculate values.</w:t>
      </w:r>
    </w:p>
    <w:p>
      <w:r>
        <w:br w:type="page"/>
      </w:r>
    </w:p>
    <w:p>
      <w:pPr>
        <w:pStyle w:val="Heading1"/>
      </w:pPr>
      <w:r>
        <w:t>6. Versioned rule engine and execution model</w:t>
      </w:r>
    </w:p>
    <w:p>
      <w:pPr>
        <w:pStyle w:val="Heading2"/>
      </w:pPr>
      <w:r>
        <w:t>6.1 Refactor toward declarative rules</w:t>
      </w:r>
    </w:p>
    <w:tbl>
      <w:tblPr>
        <w:tblW w:type="auto" w:w="0"/>
        <w:jc w:val="center"/>
        <w:tblLayout w:type="fixed"/>
        <w:tblLook w:firstColumn="1" w:firstRow="1" w:lastColumn="0" w:lastRow="0" w:noHBand="0" w:noVBand="1" w:val="04A0"/>
      </w:tblPr>
      <w:tblGrid>
        <w:gridCol w:w="9792"/>
      </w:tblGrid>
      <w:tr>
        <w:tc>
          <w:tcPr>
            <w:tcW w:type="dxa" w:w="10080"/>
            <w:shd w:fill="EAF0F8"/>
            <w:tcMar>
              <w:top w:w="120" w:type="dxa"/>
              <w:start w:w="150" w:type="dxa"/>
              <w:bottom w:w="120" w:type="dxa"/>
              <w:end w:w="150" w:type="dxa"/>
            </w:tcMar>
          </w:tcPr>
          <w:p>
            <w:r>
              <w:rPr>
                <w:rFonts w:ascii="Liberation Sans" w:hAnsi="Liberation Sans"/>
                <w:b/>
                <w:color w:val="17365D"/>
                <w:sz w:val="20"/>
              </w:rPr>
              <w:t>One rule definition; multiple execution adapters. Avoid maintaining a Python Basel engine and a separate Spark Basel engine.</w:t>
            </w:r>
          </w:p>
        </w:tc>
      </w:tr>
    </w:tbl>
    <w:p>
      <w:r>
        <w:rPr>
          <w:rFonts w:ascii="Liberation Sans" w:hAnsi="Liberation Sans"/>
          <w:sz w:val="19"/>
        </w:rPr>
        <w:t>Refactor hard-coded conditional logic gradually into versioned rule definitions with stable identifiers, source citations, applicability conditions, inputs, outputs, effective dates and test links. The rule service should compile/translate these definitions into vectorized Python expressions and, later, Spark SQL/DataFrame expressions where practical.</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shd w:fill="17365D"/>
            <w:tcMar>
              <w:top w:w="70" w:type="dxa"/>
              <w:start w:w="90" w:type="dxa"/>
              <w:bottom w:w="70" w:type="dxa"/>
              <w:end w:w="90" w:type="dxa"/>
            </w:tcMar>
          </w:tcPr>
          <w:p>
            <w:r>
              <w:rPr>
                <w:b/>
                <w:color w:val="FFFFFF"/>
                <w:sz w:val="16"/>
              </w:rPr>
              <w:t>Rule attribute</w:t>
            </w:r>
          </w:p>
        </w:tc>
        <w:tc>
          <w:tcPr>
            <w:tcW w:type="dxa" w:w="5040"/>
            <w:shd w:fill="17365D"/>
            <w:tcMar>
              <w:top w:w="70" w:type="dxa"/>
              <w:start w:w="90" w:type="dxa"/>
              <w:bottom w:w="70" w:type="dxa"/>
              <w:end w:w="90" w:type="dxa"/>
            </w:tcMar>
          </w:tcPr>
          <w:p>
            <w:r>
              <w:rPr>
                <w:b/>
                <w:color w:val="FFFFFF"/>
                <w:sz w:val="16"/>
              </w:rPr>
              <w:t>Example</w:t>
            </w:r>
          </w:p>
        </w:tc>
      </w:tr>
      <w:tr>
        <w:tc>
          <w:tcPr>
            <w:tcW w:type="dxa" w:w="5040"/>
            <w:vAlign w:val="top"/>
            <w:tcMar>
              <w:top w:w="70" w:type="dxa"/>
              <w:start w:w="90" w:type="dxa"/>
              <w:bottom w:w="70" w:type="dxa"/>
              <w:end w:w="90" w:type="dxa"/>
            </w:tcMar>
          </w:tcPr>
          <w:p>
            <w:pPr>
              <w:spacing w:after="0"/>
            </w:pPr>
            <w:r>
              <w:rPr>
                <w:rFonts w:ascii="Liberation Sans" w:hAnsi="Liberation Sans"/>
                <w:sz w:val="16"/>
              </w:rPr>
              <w:t>rule_id</w:t>
            </w:r>
          </w:p>
        </w:tc>
        <w:tc>
          <w:tcPr>
            <w:tcW w:type="dxa" w:w="5040"/>
            <w:vAlign w:val="top"/>
            <w:tcMar>
              <w:top w:w="70" w:type="dxa"/>
              <w:start w:w="90" w:type="dxa"/>
              <w:bottom w:w="70" w:type="dxa"/>
              <w:end w:w="90" w:type="dxa"/>
            </w:tcMar>
          </w:tcPr>
          <w:p>
            <w:pPr>
              <w:spacing w:after="0"/>
            </w:pPr>
            <w:r>
              <w:rPr>
                <w:rFonts w:ascii="Liberation Sans" w:hAnsi="Liberation Sans"/>
                <w:sz w:val="16"/>
              </w:rPr>
              <w:t>US_ERBA_CRE_CORP_0001</w:t>
            </w:r>
          </w:p>
        </w:tc>
      </w:tr>
      <w:tr>
        <w:tc>
          <w:tcPr>
            <w:tcW w:type="dxa" w:w="5040"/>
            <w:vAlign w:val="top"/>
            <w:tcMar>
              <w:top w:w="70" w:type="dxa"/>
              <w:start w:w="90" w:type="dxa"/>
              <w:bottom w:w="70" w:type="dxa"/>
              <w:end w:w="90" w:type="dxa"/>
            </w:tcMar>
            <w:shd w:fill="F7F9FB"/>
          </w:tcPr>
          <w:p>
            <w:pPr>
              <w:spacing w:after="0"/>
            </w:pPr>
            <w:r>
              <w:rPr>
                <w:rFonts w:ascii="Liberation Sans" w:hAnsi="Liberation Sans"/>
                <w:sz w:val="16"/>
              </w:rPr>
              <w:t>jurisdiction</w:t>
            </w:r>
          </w:p>
        </w:tc>
        <w:tc>
          <w:tcPr>
            <w:tcW w:type="dxa" w:w="5040"/>
            <w:vAlign w:val="top"/>
            <w:tcMar>
              <w:top w:w="70" w:type="dxa"/>
              <w:start w:w="90" w:type="dxa"/>
              <w:bottom w:w="70" w:type="dxa"/>
              <w:end w:w="90" w:type="dxa"/>
            </w:tcMar>
            <w:shd w:fill="F7F9FB"/>
          </w:tcPr>
          <w:p>
            <w:pPr>
              <w:spacing w:after="0"/>
            </w:pPr>
            <w:r>
              <w:rPr>
                <w:rFonts w:ascii="Liberation Sans" w:hAnsi="Liberation Sans"/>
                <w:sz w:val="16"/>
              </w:rPr>
              <w:t>US</w:t>
            </w:r>
          </w:p>
        </w:tc>
      </w:tr>
      <w:tr>
        <w:tc>
          <w:tcPr>
            <w:tcW w:type="dxa" w:w="5040"/>
            <w:vAlign w:val="top"/>
            <w:tcMar>
              <w:top w:w="70" w:type="dxa"/>
              <w:start w:w="90" w:type="dxa"/>
              <w:bottom w:w="70" w:type="dxa"/>
              <w:end w:w="90" w:type="dxa"/>
            </w:tcMar>
          </w:tcPr>
          <w:p>
            <w:pPr>
              <w:spacing w:after="0"/>
            </w:pPr>
            <w:r>
              <w:rPr>
                <w:rFonts w:ascii="Liberation Sans" w:hAnsi="Liberation Sans"/>
                <w:sz w:val="16"/>
              </w:rPr>
              <w:t>ruleset</w:t>
            </w:r>
          </w:p>
        </w:tc>
        <w:tc>
          <w:tcPr>
            <w:tcW w:type="dxa" w:w="5040"/>
            <w:vAlign w:val="top"/>
            <w:tcMar>
              <w:top w:w="70" w:type="dxa"/>
              <w:start w:w="90" w:type="dxa"/>
              <w:bottom w:w="70" w:type="dxa"/>
              <w:end w:w="90" w:type="dxa"/>
            </w:tcMar>
          </w:tcPr>
          <w:p>
            <w:pPr>
              <w:spacing w:after="0"/>
            </w:pPr>
            <w:r>
              <w:rPr>
                <w:rFonts w:ascii="Liberation Sans" w:hAnsi="Liberation Sans"/>
                <w:sz w:val="16"/>
              </w:rPr>
              <w:t>US_NPR_2026_03</w:t>
            </w:r>
          </w:p>
        </w:tc>
      </w:tr>
      <w:tr>
        <w:tc>
          <w:tcPr>
            <w:tcW w:type="dxa" w:w="5040"/>
            <w:vAlign w:val="top"/>
            <w:tcMar>
              <w:top w:w="70" w:type="dxa"/>
              <w:start w:w="90" w:type="dxa"/>
              <w:bottom w:w="70" w:type="dxa"/>
              <w:end w:w="90" w:type="dxa"/>
            </w:tcMar>
            <w:shd w:fill="F7F9FB"/>
          </w:tcPr>
          <w:p>
            <w:pPr>
              <w:spacing w:after="0"/>
            </w:pPr>
            <w:r>
              <w:rPr>
                <w:rFonts w:ascii="Liberation Sans" w:hAnsi="Liberation Sans"/>
                <w:sz w:val="16"/>
              </w:rPr>
              <w:t>status</w:t>
            </w:r>
          </w:p>
        </w:tc>
        <w:tc>
          <w:tcPr>
            <w:tcW w:type="dxa" w:w="5040"/>
            <w:vAlign w:val="top"/>
            <w:tcMar>
              <w:top w:w="70" w:type="dxa"/>
              <w:start w:w="90" w:type="dxa"/>
              <w:bottom w:w="70" w:type="dxa"/>
              <w:end w:w="90" w:type="dxa"/>
            </w:tcMar>
            <w:shd w:fill="F7F9FB"/>
          </w:tcPr>
          <w:p>
            <w:pPr>
              <w:spacing w:after="0"/>
            </w:pPr>
            <w:r>
              <w:rPr>
                <w:rFonts w:ascii="Liberation Sans" w:hAnsi="Liberation Sans"/>
                <w:sz w:val="16"/>
              </w:rPr>
              <w:t>PROPOSED</w:t>
            </w:r>
          </w:p>
        </w:tc>
      </w:tr>
      <w:tr>
        <w:tc>
          <w:tcPr>
            <w:tcW w:type="dxa" w:w="5040"/>
            <w:vAlign w:val="top"/>
            <w:tcMar>
              <w:top w:w="70" w:type="dxa"/>
              <w:start w:w="90" w:type="dxa"/>
              <w:bottom w:w="70" w:type="dxa"/>
              <w:end w:w="90" w:type="dxa"/>
            </w:tcMar>
          </w:tcPr>
          <w:p>
            <w:pPr>
              <w:spacing w:after="0"/>
            </w:pPr>
            <w:r>
              <w:rPr>
                <w:rFonts w:ascii="Liberation Sans" w:hAnsi="Liberation Sans"/>
                <w:sz w:val="16"/>
              </w:rPr>
              <w:t>BCBS mapping</w:t>
            </w:r>
          </w:p>
        </w:tc>
        <w:tc>
          <w:tcPr>
            <w:tcW w:type="dxa" w:w="5040"/>
            <w:vAlign w:val="top"/>
            <w:tcMar>
              <w:top w:w="70" w:type="dxa"/>
              <w:start w:w="90" w:type="dxa"/>
              <w:bottom w:w="70" w:type="dxa"/>
              <w:end w:w="90" w:type="dxa"/>
            </w:tcMar>
          </w:tcPr>
          <w:p>
            <w:pPr>
              <w:spacing w:after="0"/>
            </w:pPr>
            <w:r>
              <w:rPr>
                <w:rFonts w:ascii="Liberation Sans" w:hAnsi="Liberation Sans"/>
                <w:sz w:val="16"/>
              </w:rPr>
              <w:t>CRE20.x / CRE22.x</w:t>
            </w:r>
          </w:p>
        </w:tc>
      </w:tr>
      <w:tr>
        <w:tc>
          <w:tcPr>
            <w:tcW w:type="dxa" w:w="5040"/>
            <w:vAlign w:val="top"/>
            <w:tcMar>
              <w:top w:w="70" w:type="dxa"/>
              <w:start w:w="90" w:type="dxa"/>
              <w:bottom w:w="70" w:type="dxa"/>
              <w:end w:w="90" w:type="dxa"/>
            </w:tcMar>
            <w:shd w:fill="F7F9FB"/>
          </w:tcPr>
          <w:p>
            <w:pPr>
              <w:spacing w:after="0"/>
            </w:pPr>
            <w:r>
              <w:rPr>
                <w:rFonts w:ascii="Liberation Sans" w:hAnsi="Liberation Sans"/>
                <w:sz w:val="16"/>
              </w:rPr>
              <w:t>exposure class</w:t>
            </w:r>
          </w:p>
        </w:tc>
        <w:tc>
          <w:tcPr>
            <w:tcW w:type="dxa" w:w="5040"/>
            <w:vAlign w:val="top"/>
            <w:tcMar>
              <w:top w:w="70" w:type="dxa"/>
              <w:start w:w="90" w:type="dxa"/>
              <w:bottom w:w="70" w:type="dxa"/>
              <w:end w:w="90" w:type="dxa"/>
            </w:tcMar>
            <w:shd w:fill="F7F9FB"/>
          </w:tcPr>
          <w:p>
            <w:pPr>
              <w:spacing w:after="0"/>
            </w:pPr>
            <w:r>
              <w:rPr>
                <w:rFonts w:ascii="Liberation Sans" w:hAnsi="Liberation Sans"/>
                <w:sz w:val="16"/>
              </w:rPr>
              <w:t>CORPORATE</w:t>
            </w:r>
          </w:p>
        </w:tc>
      </w:tr>
      <w:tr>
        <w:tc>
          <w:tcPr>
            <w:tcW w:type="dxa" w:w="5040"/>
            <w:vAlign w:val="top"/>
            <w:tcMar>
              <w:top w:w="70" w:type="dxa"/>
              <w:start w:w="90" w:type="dxa"/>
              <w:bottom w:w="70" w:type="dxa"/>
              <w:end w:w="90" w:type="dxa"/>
            </w:tcMar>
          </w:tcPr>
          <w:p>
            <w:pPr>
              <w:spacing w:after="0"/>
            </w:pPr>
            <w:r>
              <w:rPr>
                <w:rFonts w:ascii="Liberation Sans" w:hAnsi="Liberation Sans"/>
                <w:sz w:val="16"/>
              </w:rPr>
              <w:t>inputs</w:t>
            </w:r>
          </w:p>
        </w:tc>
        <w:tc>
          <w:tcPr>
            <w:tcW w:type="dxa" w:w="5040"/>
            <w:vAlign w:val="top"/>
            <w:tcMar>
              <w:top w:w="70" w:type="dxa"/>
              <w:start w:w="90" w:type="dxa"/>
              <w:bottom w:w="70" w:type="dxa"/>
              <w:end w:w="90" w:type="dxa"/>
            </w:tcMar>
          </w:tcPr>
          <w:p>
            <w:pPr>
              <w:spacing w:after="0"/>
            </w:pPr>
            <w:r>
              <w:rPr>
                <w:rFonts w:ascii="Liberation Sans" w:hAnsi="Liberation Sans"/>
                <w:sz w:val="16"/>
              </w:rPr>
              <w:t>exposure_amount, rating, default_status, guarantor, collateral...</w:t>
            </w:r>
          </w:p>
        </w:tc>
      </w:tr>
      <w:tr>
        <w:tc>
          <w:tcPr>
            <w:tcW w:type="dxa" w:w="5040"/>
            <w:vAlign w:val="top"/>
            <w:tcMar>
              <w:top w:w="70" w:type="dxa"/>
              <w:start w:w="90" w:type="dxa"/>
              <w:bottom w:w="70" w:type="dxa"/>
              <w:end w:w="90" w:type="dxa"/>
            </w:tcMar>
            <w:shd w:fill="F7F9FB"/>
          </w:tcPr>
          <w:p>
            <w:pPr>
              <w:spacing w:after="0"/>
            </w:pPr>
            <w:r>
              <w:rPr>
                <w:rFonts w:ascii="Liberation Sans" w:hAnsi="Liberation Sans"/>
                <w:sz w:val="16"/>
              </w:rPr>
              <w:t>output</w:t>
            </w:r>
          </w:p>
        </w:tc>
        <w:tc>
          <w:tcPr>
            <w:tcW w:type="dxa" w:w="5040"/>
            <w:vAlign w:val="top"/>
            <w:tcMar>
              <w:top w:w="70" w:type="dxa"/>
              <w:start w:w="90" w:type="dxa"/>
              <w:bottom w:w="70" w:type="dxa"/>
              <w:end w:w="90" w:type="dxa"/>
            </w:tcMar>
            <w:shd w:fill="F7F9FB"/>
          </w:tcPr>
          <w:p>
            <w:pPr>
              <w:spacing w:after="0"/>
            </w:pPr>
            <w:r>
              <w:rPr>
                <w:rFonts w:ascii="Liberation Sans" w:hAnsi="Liberation Sans"/>
                <w:sz w:val="16"/>
              </w:rPr>
              <w:t>classification / RW / CCF / EAD / RWA</w:t>
            </w:r>
          </w:p>
        </w:tc>
      </w:tr>
      <w:tr>
        <w:tc>
          <w:tcPr>
            <w:tcW w:type="dxa" w:w="5040"/>
            <w:vAlign w:val="top"/>
            <w:tcMar>
              <w:top w:w="70" w:type="dxa"/>
              <w:start w:w="90" w:type="dxa"/>
              <w:bottom w:w="70" w:type="dxa"/>
              <w:end w:w="90" w:type="dxa"/>
            </w:tcMar>
          </w:tcPr>
          <w:p>
            <w:pPr>
              <w:spacing w:after="0"/>
            </w:pPr>
            <w:r>
              <w:rPr>
                <w:rFonts w:ascii="Liberation Sans" w:hAnsi="Liberation Sans"/>
                <w:sz w:val="16"/>
              </w:rPr>
              <w:t>source</w:t>
            </w:r>
          </w:p>
        </w:tc>
        <w:tc>
          <w:tcPr>
            <w:tcW w:type="dxa" w:w="5040"/>
            <w:vAlign w:val="top"/>
            <w:tcMar>
              <w:top w:w="70" w:type="dxa"/>
              <w:start w:w="90" w:type="dxa"/>
              <w:bottom w:w="70" w:type="dxa"/>
              <w:end w:w="90" w:type="dxa"/>
            </w:tcMar>
          </w:tcPr>
          <w:p>
            <w:pPr>
              <w:spacing w:after="0"/>
            </w:pPr>
            <w:r>
              <w:rPr>
                <w:rFonts w:ascii="Liberation Sans" w:hAnsi="Liberation Sans"/>
                <w:sz w:val="16"/>
              </w:rPr>
              <w:t>Federal Reserve/OCC/FDIC paragraph + document hash</w:t>
            </w:r>
          </w:p>
        </w:tc>
      </w:tr>
      <w:tr>
        <w:tc>
          <w:tcPr>
            <w:tcW w:type="dxa" w:w="5040"/>
            <w:vAlign w:val="top"/>
            <w:tcMar>
              <w:top w:w="70" w:type="dxa"/>
              <w:start w:w="90" w:type="dxa"/>
              <w:bottom w:w="70" w:type="dxa"/>
              <w:end w:w="90" w:type="dxa"/>
            </w:tcMar>
            <w:shd w:fill="F7F9FB"/>
          </w:tcPr>
          <w:p>
            <w:pPr>
              <w:spacing w:after="0"/>
            </w:pPr>
            <w:r>
              <w:rPr>
                <w:rFonts w:ascii="Liberation Sans" w:hAnsi="Liberation Sans"/>
                <w:sz w:val="16"/>
              </w:rPr>
              <w:t>effective/version metadata</w:t>
            </w:r>
          </w:p>
        </w:tc>
        <w:tc>
          <w:tcPr>
            <w:tcW w:type="dxa" w:w="5040"/>
            <w:vAlign w:val="top"/>
            <w:tcMar>
              <w:top w:w="70" w:type="dxa"/>
              <w:start w:w="90" w:type="dxa"/>
              <w:bottom w:w="70" w:type="dxa"/>
              <w:end w:w="90" w:type="dxa"/>
            </w:tcMar>
            <w:shd w:fill="F7F9FB"/>
          </w:tcPr>
          <w:p>
            <w:pPr>
              <w:spacing w:after="0"/>
            </w:pPr>
            <w:r>
              <w:rPr>
                <w:rFonts w:ascii="Liberation Sans" w:hAnsi="Liberation Sans"/>
                <w:sz w:val="16"/>
              </w:rPr>
              <w:t>publication, proposed/final, valid from/to</w:t>
            </w:r>
          </w:p>
        </w:tc>
      </w:tr>
      <w:tr>
        <w:tc>
          <w:tcPr>
            <w:tcW w:type="dxa" w:w="5040"/>
            <w:vAlign w:val="top"/>
            <w:tcMar>
              <w:top w:w="70" w:type="dxa"/>
              <w:start w:w="90" w:type="dxa"/>
              <w:bottom w:w="70" w:type="dxa"/>
              <w:end w:w="90" w:type="dxa"/>
            </w:tcMar>
          </w:tcPr>
          <w:p>
            <w:pPr>
              <w:spacing w:after="0"/>
            </w:pPr>
            <w:r>
              <w:rPr>
                <w:rFonts w:ascii="Liberation Sans" w:hAnsi="Liberation Sans"/>
                <w:sz w:val="16"/>
              </w:rPr>
              <w:t>tests</w:t>
            </w:r>
          </w:p>
        </w:tc>
        <w:tc>
          <w:tcPr>
            <w:tcW w:type="dxa" w:w="5040"/>
            <w:vAlign w:val="top"/>
            <w:tcMar>
              <w:top w:w="70" w:type="dxa"/>
              <w:start w:w="90" w:type="dxa"/>
              <w:bottom w:w="70" w:type="dxa"/>
              <w:end w:w="90" w:type="dxa"/>
            </w:tcMar>
          </w:tcPr>
          <w:p>
            <w:pPr>
              <w:spacing w:after="0"/>
            </w:pPr>
            <w:r>
              <w:rPr>
                <w:rFonts w:ascii="Liberation Sans" w:hAnsi="Liberation Sans"/>
                <w:sz w:val="16"/>
              </w:rPr>
              <w:t>golden cases + boundaries + regression suite</w:t>
            </w:r>
          </w:p>
        </w:tc>
      </w:tr>
    </w:tbl>
    <w:p>
      <w:pPr>
        <w:spacing w:after="20"/>
      </w:pPr>
    </w:p>
    <w:p>
      <w:pPr>
        <w:pStyle w:val="Heading2"/>
      </w:pPr>
      <w:r>
        <w:t>6.2 Execution contract</w:t>
      </w:r>
    </w:p>
    <w:p>
      <w:r>
        <w:rPr>
          <w:rFonts w:ascii="Liberation Sans" w:hAnsi="Liberation Sans"/>
          <w:sz w:val="19"/>
        </w:rPr>
        <w:t>Expose calculation through a stable orchestration contract such as `calculate(portfolio_snapshot, jurisdiction, ruleset_id, engine_adapter)`. The product chooses `python` or `spark` as the execution adapter; rule semantics and expected outputs remain identical.</w:t>
      </w:r>
    </w:p>
    <w:p>
      <w:pPr>
        <w:pStyle w:val="Heading2"/>
      </w:pPr>
      <w:r>
        <w:t>6.3 Current vs proposed execution</w:t>
      </w:r>
    </w:p>
    <w:p>
      <w:r>
        <w:rPr>
          <w:rFonts w:ascii="Liberation Sans" w:hAnsi="Liberation Sans"/>
          <w:sz w:val="19"/>
        </w:rPr>
        <w:t>The Change Analyzer must execute the same immutable portfolio snapshot against both the current and proposed rulesets. Store both result sets and a derived delta dataset. Every AI explanation is generated from that structured delta/evidence dataset, not by giving the model unrestricted access to the raw portfolio.</w:t>
      </w:r>
    </w:p>
    <w:p>
      <w:r>
        <w:br w:type="page"/>
      </w:r>
    </w:p>
    <w:p>
      <w:pPr>
        <w:pStyle w:val="Heading1"/>
      </w:pPr>
      <w:r>
        <w:t>7. Bank-grade testing strategy</w:t>
      </w:r>
    </w:p>
    <w:p>
      <w:pPr>
        <w:pStyle w:val="Heading2"/>
      </w:pPr>
      <w:r>
        <w:t>7.1 Testing is part of the product</w:t>
      </w:r>
    </w:p>
    <w:tbl>
      <w:tblPr>
        <w:tblW w:type="auto" w:w="0"/>
        <w:jc w:val="center"/>
        <w:tblLayout w:type="fixed"/>
        <w:tblLook w:firstColumn="1" w:firstRow="1" w:lastColumn="0" w:lastRow="0" w:noHBand="0" w:noVBand="1" w:val="04A0"/>
      </w:tblPr>
      <w:tblGrid>
        <w:gridCol w:w="9792"/>
      </w:tblGrid>
      <w:tr>
        <w:tc>
          <w:tcPr>
            <w:tcW w:type="dxa" w:w="10080"/>
            <w:shd w:fill="EAF0F8"/>
            <w:tcMar>
              <w:top w:w="120" w:type="dxa"/>
              <w:start w:w="150" w:type="dxa"/>
              <w:bottom w:w="120" w:type="dxa"/>
              <w:end w:w="150" w:type="dxa"/>
            </w:tcMar>
          </w:tcPr>
          <w:p>
            <w:r>
              <w:rPr>
                <w:rFonts w:ascii="Liberation Sans" w:hAnsi="Liberation Sans"/>
                <w:b/>
                <w:color w:val="17365D"/>
                <w:sz w:val="20"/>
              </w:rPr>
              <w:t>Every regulatory rule version must carry its own tests, expected outputs and evidence. A regulatory change should automatically identify which tests must rerun and which expected results may legitimately change.</w:t>
            </w:r>
          </w:p>
        </w:tc>
      </w:tr>
    </w:tbl>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shd w:fill="17365D"/>
            <w:tcMar>
              <w:top w:w="70" w:type="dxa"/>
              <w:start w:w="90" w:type="dxa"/>
              <w:bottom w:w="70" w:type="dxa"/>
              <w:end w:w="90" w:type="dxa"/>
            </w:tcMar>
          </w:tcPr>
          <w:p>
            <w:r>
              <w:rPr>
                <w:b/>
                <w:color w:val="FFFFFF"/>
                <w:sz w:val="15"/>
              </w:rPr>
              <w:t>Layer</w:t>
            </w:r>
          </w:p>
        </w:tc>
        <w:tc>
          <w:tcPr>
            <w:tcW w:type="dxa" w:w="3360"/>
            <w:shd w:fill="17365D"/>
            <w:tcMar>
              <w:top w:w="70" w:type="dxa"/>
              <w:start w:w="90" w:type="dxa"/>
              <w:bottom w:w="70" w:type="dxa"/>
              <w:end w:w="90" w:type="dxa"/>
            </w:tcMar>
          </w:tcPr>
          <w:p>
            <w:r>
              <w:rPr>
                <w:b/>
                <w:color w:val="FFFFFF"/>
                <w:sz w:val="15"/>
              </w:rPr>
              <w:t>Purpose</w:t>
            </w:r>
          </w:p>
        </w:tc>
        <w:tc>
          <w:tcPr>
            <w:tcW w:type="dxa" w:w="3360"/>
            <w:shd w:fill="17365D"/>
            <w:tcMar>
              <w:top w:w="70" w:type="dxa"/>
              <w:start w:w="90" w:type="dxa"/>
              <w:bottom w:w="70" w:type="dxa"/>
              <w:end w:w="90" w:type="dxa"/>
            </w:tcMar>
          </w:tcPr>
          <w:p>
            <w:r>
              <w:rPr>
                <w:b/>
                <w:color w:val="FFFFFF"/>
                <w:sz w:val="15"/>
              </w:rPr>
              <w:t>Examples</w:t>
            </w:r>
          </w:p>
        </w:tc>
      </w:tr>
      <w:tr>
        <w:tc>
          <w:tcPr>
            <w:tcW w:type="dxa" w:w="3360"/>
            <w:vAlign w:val="top"/>
            <w:tcMar>
              <w:top w:w="70" w:type="dxa"/>
              <w:start w:w="90" w:type="dxa"/>
              <w:bottom w:w="70" w:type="dxa"/>
              <w:end w:w="90" w:type="dxa"/>
            </w:tcMar>
          </w:tcPr>
          <w:p>
            <w:pPr>
              <w:spacing w:after="0"/>
            </w:pPr>
            <w:r>
              <w:rPr>
                <w:rFonts w:ascii="Liberation Sans" w:hAnsi="Liberation Sans"/>
                <w:sz w:val="15"/>
              </w:rPr>
              <w:t>T1 Schema/data validation</w:t>
            </w:r>
          </w:p>
        </w:tc>
        <w:tc>
          <w:tcPr>
            <w:tcW w:type="dxa" w:w="3360"/>
            <w:vAlign w:val="top"/>
            <w:tcMar>
              <w:top w:w="70" w:type="dxa"/>
              <w:start w:w="90" w:type="dxa"/>
              <w:bottom w:w="70" w:type="dxa"/>
              <w:end w:w="90" w:type="dxa"/>
            </w:tcMar>
          </w:tcPr>
          <w:p>
            <w:pPr>
              <w:spacing w:after="0"/>
            </w:pPr>
            <w:r>
              <w:rPr>
                <w:rFonts w:ascii="Liberation Sans" w:hAnsi="Liberation Sans"/>
                <w:sz w:val="15"/>
              </w:rPr>
              <w:t>Validate UDM contract and data types</w:t>
            </w:r>
          </w:p>
        </w:tc>
        <w:tc>
          <w:tcPr>
            <w:tcW w:type="dxa" w:w="3360"/>
            <w:vAlign w:val="top"/>
            <w:tcMar>
              <w:top w:w="70" w:type="dxa"/>
              <w:start w:w="90" w:type="dxa"/>
              <w:bottom w:w="70" w:type="dxa"/>
              <w:end w:w="90" w:type="dxa"/>
            </w:tcMar>
          </w:tcPr>
          <w:p>
            <w:pPr>
              <w:spacing w:after="0"/>
            </w:pPr>
            <w:r>
              <w:rPr>
                <w:rFonts w:ascii="Liberation Sans" w:hAnsi="Liberation Sans"/>
                <w:sz w:val="15"/>
              </w:rPr>
              <w:t>required fields, currencies, dates, IDs, duplicates</w:t>
            </w:r>
          </w:p>
        </w:tc>
      </w:tr>
      <w:tr>
        <w:tc>
          <w:tcPr>
            <w:tcW w:type="dxa" w:w="3360"/>
            <w:vAlign w:val="top"/>
            <w:tcMar>
              <w:top w:w="70" w:type="dxa"/>
              <w:start w:w="90" w:type="dxa"/>
              <w:bottom w:w="70" w:type="dxa"/>
              <w:end w:w="90" w:type="dxa"/>
            </w:tcMar>
            <w:shd w:fill="F7F9FB"/>
          </w:tcPr>
          <w:p>
            <w:pPr>
              <w:spacing w:after="0"/>
            </w:pPr>
            <w:r>
              <w:rPr>
                <w:rFonts w:ascii="Liberation Sans" w:hAnsi="Liberation Sans"/>
                <w:sz w:val="15"/>
              </w:rPr>
              <w:t>T2 Rule unit tests</w:t>
            </w:r>
          </w:p>
        </w:tc>
        <w:tc>
          <w:tcPr>
            <w:tcW w:type="dxa" w:w="3360"/>
            <w:vAlign w:val="top"/>
            <w:tcMar>
              <w:top w:w="70" w:type="dxa"/>
              <w:start w:w="90" w:type="dxa"/>
              <w:bottom w:w="70" w:type="dxa"/>
              <w:end w:w="90" w:type="dxa"/>
            </w:tcMar>
            <w:shd w:fill="F7F9FB"/>
          </w:tcPr>
          <w:p>
            <w:pPr>
              <w:spacing w:after="0"/>
            </w:pPr>
            <w:r>
              <w:rPr>
                <w:rFonts w:ascii="Liberation Sans" w:hAnsi="Liberation Sans"/>
                <w:sz w:val="15"/>
              </w:rPr>
              <w:t>Prove individual regulatory logic</w:t>
            </w:r>
          </w:p>
        </w:tc>
        <w:tc>
          <w:tcPr>
            <w:tcW w:type="dxa" w:w="3360"/>
            <w:vAlign w:val="top"/>
            <w:tcMar>
              <w:top w:w="70" w:type="dxa"/>
              <w:start w:w="90" w:type="dxa"/>
              <w:bottom w:w="70" w:type="dxa"/>
              <w:end w:w="90" w:type="dxa"/>
            </w:tcMar>
            <w:shd w:fill="F7F9FB"/>
          </w:tcPr>
          <w:p>
            <w:pPr>
              <w:spacing w:after="0"/>
            </w:pPr>
            <w:r>
              <w:rPr>
                <w:rFonts w:ascii="Liberation Sans" w:hAnsi="Liberation Sans"/>
                <w:sz w:val="15"/>
              </w:rPr>
              <w:t>one rule / one scenario / known expected result</w:t>
            </w:r>
          </w:p>
        </w:tc>
      </w:tr>
      <w:tr>
        <w:tc>
          <w:tcPr>
            <w:tcW w:type="dxa" w:w="3360"/>
            <w:vAlign w:val="top"/>
            <w:tcMar>
              <w:top w:w="70" w:type="dxa"/>
              <w:start w:w="90" w:type="dxa"/>
              <w:bottom w:w="70" w:type="dxa"/>
              <w:end w:w="90" w:type="dxa"/>
            </w:tcMar>
          </w:tcPr>
          <w:p>
            <w:pPr>
              <w:spacing w:after="0"/>
            </w:pPr>
            <w:r>
              <w:rPr>
                <w:rFonts w:ascii="Liberation Sans" w:hAnsi="Liberation Sans"/>
                <w:sz w:val="15"/>
              </w:rPr>
              <w:t>T3 Boundary tests</w:t>
            </w:r>
          </w:p>
        </w:tc>
        <w:tc>
          <w:tcPr>
            <w:tcW w:type="dxa" w:w="3360"/>
            <w:vAlign w:val="top"/>
            <w:tcMar>
              <w:top w:w="70" w:type="dxa"/>
              <w:start w:w="90" w:type="dxa"/>
              <w:bottom w:w="70" w:type="dxa"/>
              <w:end w:w="90" w:type="dxa"/>
            </w:tcMar>
          </w:tcPr>
          <w:p>
            <w:pPr>
              <w:spacing w:after="0"/>
            </w:pPr>
            <w:r>
              <w:rPr>
                <w:rFonts w:ascii="Liberation Sans" w:hAnsi="Liberation Sans"/>
                <w:sz w:val="15"/>
              </w:rPr>
              <w:t>Test every threshold edge</w:t>
            </w:r>
          </w:p>
        </w:tc>
        <w:tc>
          <w:tcPr>
            <w:tcW w:type="dxa" w:w="3360"/>
            <w:vAlign w:val="top"/>
            <w:tcMar>
              <w:top w:w="70" w:type="dxa"/>
              <w:start w:w="90" w:type="dxa"/>
              <w:bottom w:w="70" w:type="dxa"/>
              <w:end w:w="90" w:type="dxa"/>
            </w:tcMar>
          </w:tcPr>
          <w:p>
            <w:pPr>
              <w:spacing w:after="0"/>
            </w:pPr>
            <w:r>
              <w:rPr>
                <w:rFonts w:ascii="Liberation Sans" w:hAnsi="Liberation Sans"/>
                <w:sz w:val="15"/>
              </w:rPr>
              <w:t>T-ε, T, T+ε, NULL, zero, invalid values</w:t>
            </w:r>
          </w:p>
        </w:tc>
      </w:tr>
      <w:tr>
        <w:tc>
          <w:tcPr>
            <w:tcW w:type="dxa" w:w="3360"/>
            <w:vAlign w:val="top"/>
            <w:tcMar>
              <w:top w:w="70" w:type="dxa"/>
              <w:start w:w="90" w:type="dxa"/>
              <w:bottom w:w="70" w:type="dxa"/>
              <w:end w:w="90" w:type="dxa"/>
            </w:tcMar>
            <w:shd w:fill="F7F9FB"/>
          </w:tcPr>
          <w:p>
            <w:pPr>
              <w:spacing w:after="0"/>
            </w:pPr>
            <w:r>
              <w:rPr>
                <w:rFonts w:ascii="Liberation Sans" w:hAnsi="Liberation Sans"/>
                <w:sz w:val="15"/>
              </w:rPr>
              <w:t>T4 Calculation tests</w:t>
            </w:r>
          </w:p>
        </w:tc>
        <w:tc>
          <w:tcPr>
            <w:tcW w:type="dxa" w:w="3360"/>
            <w:vAlign w:val="top"/>
            <w:tcMar>
              <w:top w:w="70" w:type="dxa"/>
              <w:start w:w="90" w:type="dxa"/>
              <w:bottom w:w="70" w:type="dxa"/>
              <w:end w:w="90" w:type="dxa"/>
            </w:tcMar>
            <w:shd w:fill="F7F9FB"/>
          </w:tcPr>
          <w:p>
            <w:pPr>
              <w:spacing w:after="0"/>
            </w:pPr>
            <w:r>
              <w:rPr>
                <w:rFonts w:ascii="Liberation Sans" w:hAnsi="Liberation Sans"/>
                <w:sz w:val="15"/>
              </w:rPr>
              <w:t>Validate EAD/CCF/CRM/RW/RWA/capital math</w:t>
            </w:r>
          </w:p>
        </w:tc>
        <w:tc>
          <w:tcPr>
            <w:tcW w:type="dxa" w:w="3360"/>
            <w:vAlign w:val="top"/>
            <w:tcMar>
              <w:top w:w="70" w:type="dxa"/>
              <w:start w:w="90" w:type="dxa"/>
              <w:bottom w:w="70" w:type="dxa"/>
              <w:end w:w="90" w:type="dxa"/>
            </w:tcMar>
            <w:shd w:fill="F7F9FB"/>
          </w:tcPr>
          <w:p>
            <w:pPr>
              <w:spacing w:after="0"/>
            </w:pPr>
            <w:r>
              <w:rPr>
                <w:rFonts w:ascii="Liberation Sans" w:hAnsi="Liberation Sans"/>
                <w:sz w:val="15"/>
              </w:rPr>
              <w:t>known worked examples</w:t>
            </w:r>
          </w:p>
        </w:tc>
      </w:tr>
      <w:tr>
        <w:tc>
          <w:tcPr>
            <w:tcW w:type="dxa" w:w="3360"/>
            <w:vAlign w:val="top"/>
            <w:tcMar>
              <w:top w:w="70" w:type="dxa"/>
              <w:start w:w="90" w:type="dxa"/>
              <w:bottom w:w="70" w:type="dxa"/>
              <w:end w:w="90" w:type="dxa"/>
            </w:tcMar>
          </w:tcPr>
          <w:p>
            <w:pPr>
              <w:spacing w:after="0"/>
            </w:pPr>
            <w:r>
              <w:rPr>
                <w:rFonts w:ascii="Liberation Sans" w:hAnsi="Liberation Sans"/>
                <w:sz w:val="15"/>
              </w:rPr>
              <w:t>T5 Property/invariant tests</w:t>
            </w:r>
          </w:p>
        </w:tc>
        <w:tc>
          <w:tcPr>
            <w:tcW w:type="dxa" w:w="3360"/>
            <w:vAlign w:val="top"/>
            <w:tcMar>
              <w:top w:w="70" w:type="dxa"/>
              <w:start w:w="90" w:type="dxa"/>
              <w:bottom w:w="70" w:type="dxa"/>
              <w:end w:w="90" w:type="dxa"/>
            </w:tcMar>
          </w:tcPr>
          <w:p>
            <w:pPr>
              <w:spacing w:after="0"/>
            </w:pPr>
            <w:r>
              <w:rPr>
                <w:rFonts w:ascii="Liberation Sans" w:hAnsi="Liberation Sans"/>
                <w:sz w:val="15"/>
              </w:rPr>
              <w:t>Catch systemic errors</w:t>
            </w:r>
          </w:p>
        </w:tc>
        <w:tc>
          <w:tcPr>
            <w:tcW w:type="dxa" w:w="3360"/>
            <w:vAlign w:val="top"/>
            <w:tcMar>
              <w:top w:w="70" w:type="dxa"/>
              <w:start w:w="90" w:type="dxa"/>
              <w:bottom w:w="70" w:type="dxa"/>
              <w:end w:w="90" w:type="dxa"/>
            </w:tcMar>
          </w:tcPr>
          <w:p>
            <w:pPr>
              <w:spacing w:after="0"/>
            </w:pPr>
            <w:r>
              <w:rPr>
                <w:rFonts w:ascii="Liberation Sans" w:hAnsi="Liberation Sans"/>
                <w:sz w:val="15"/>
              </w:rPr>
              <w:t>partition additivity, monotonicity where applicable, duplication effects</w:t>
            </w:r>
          </w:p>
        </w:tc>
      </w:tr>
      <w:tr>
        <w:tc>
          <w:tcPr>
            <w:tcW w:type="dxa" w:w="3360"/>
            <w:vAlign w:val="top"/>
            <w:tcMar>
              <w:top w:w="70" w:type="dxa"/>
              <w:start w:w="90" w:type="dxa"/>
              <w:bottom w:w="70" w:type="dxa"/>
              <w:end w:w="90" w:type="dxa"/>
            </w:tcMar>
            <w:shd w:fill="F7F9FB"/>
          </w:tcPr>
          <w:p>
            <w:pPr>
              <w:spacing w:after="0"/>
            </w:pPr>
            <w:r>
              <w:rPr>
                <w:rFonts w:ascii="Liberation Sans" w:hAnsi="Liberation Sans"/>
                <w:sz w:val="15"/>
              </w:rPr>
              <w:t>T6 Portfolio regression</w:t>
            </w:r>
          </w:p>
        </w:tc>
        <w:tc>
          <w:tcPr>
            <w:tcW w:type="dxa" w:w="3360"/>
            <w:vAlign w:val="top"/>
            <w:tcMar>
              <w:top w:w="70" w:type="dxa"/>
              <w:start w:w="90" w:type="dxa"/>
              <w:bottom w:w="70" w:type="dxa"/>
              <w:end w:w="90" w:type="dxa"/>
            </w:tcMar>
            <w:shd w:fill="F7F9FB"/>
          </w:tcPr>
          <w:p>
            <w:pPr>
              <w:spacing w:after="0"/>
            </w:pPr>
            <w:r>
              <w:rPr>
                <w:rFonts w:ascii="Liberation Sans" w:hAnsi="Liberation Sans"/>
                <w:sz w:val="15"/>
              </w:rPr>
              <w:t>Protect behavior over time</w:t>
            </w:r>
          </w:p>
        </w:tc>
        <w:tc>
          <w:tcPr>
            <w:tcW w:type="dxa" w:w="3360"/>
            <w:vAlign w:val="top"/>
            <w:tcMar>
              <w:top w:w="70" w:type="dxa"/>
              <w:start w:w="90" w:type="dxa"/>
              <w:bottom w:w="70" w:type="dxa"/>
              <w:end w:w="90" w:type="dxa"/>
            </w:tcMar>
            <w:shd w:fill="F7F9FB"/>
          </w:tcPr>
          <w:p>
            <w:pPr>
              <w:spacing w:after="0"/>
            </w:pPr>
            <w:r>
              <w:rPr>
                <w:rFonts w:ascii="Liberation Sans" w:hAnsi="Liberation Sans"/>
                <w:sz w:val="15"/>
              </w:rPr>
              <w:t>golden 10K–20K portfolio</w:t>
            </w:r>
          </w:p>
        </w:tc>
      </w:tr>
      <w:tr>
        <w:tc>
          <w:tcPr>
            <w:tcW w:type="dxa" w:w="3360"/>
            <w:vAlign w:val="top"/>
            <w:tcMar>
              <w:top w:w="70" w:type="dxa"/>
              <w:start w:w="90" w:type="dxa"/>
              <w:bottom w:w="70" w:type="dxa"/>
              <w:end w:w="90" w:type="dxa"/>
            </w:tcMar>
          </w:tcPr>
          <w:p>
            <w:pPr>
              <w:spacing w:after="0"/>
            </w:pPr>
            <w:r>
              <w:rPr>
                <w:rFonts w:ascii="Liberation Sans" w:hAnsi="Liberation Sans"/>
                <w:sz w:val="15"/>
              </w:rPr>
              <w:t>T7 Regulatory-version tests</w:t>
            </w:r>
          </w:p>
        </w:tc>
        <w:tc>
          <w:tcPr>
            <w:tcW w:type="dxa" w:w="3360"/>
            <w:vAlign w:val="top"/>
            <w:tcMar>
              <w:top w:w="70" w:type="dxa"/>
              <w:start w:w="90" w:type="dxa"/>
              <w:bottom w:w="70" w:type="dxa"/>
              <w:end w:w="90" w:type="dxa"/>
            </w:tcMar>
          </w:tcPr>
          <w:p>
            <w:pPr>
              <w:spacing w:after="0"/>
            </w:pPr>
            <w:r>
              <w:rPr>
                <w:rFonts w:ascii="Liberation Sans" w:hAnsi="Liberation Sans"/>
                <w:sz w:val="15"/>
              </w:rPr>
              <w:t>Validate intended old/new changes</w:t>
            </w:r>
          </w:p>
        </w:tc>
        <w:tc>
          <w:tcPr>
            <w:tcW w:type="dxa" w:w="3360"/>
            <w:vAlign w:val="top"/>
            <w:tcMar>
              <w:top w:w="70" w:type="dxa"/>
              <w:start w:w="90" w:type="dxa"/>
              <w:bottom w:w="70" w:type="dxa"/>
              <w:end w:w="90" w:type="dxa"/>
            </w:tcMar>
          </w:tcPr>
          <w:p>
            <w:pPr>
              <w:spacing w:after="0"/>
            </w:pPr>
            <w:r>
              <w:rPr>
                <w:rFonts w:ascii="Liberation Sans" w:hAnsi="Liberation Sans"/>
                <w:sz w:val="15"/>
              </w:rPr>
              <w:t>current vs NPR vs final</w:t>
            </w:r>
          </w:p>
        </w:tc>
      </w:tr>
      <w:tr>
        <w:tc>
          <w:tcPr>
            <w:tcW w:type="dxa" w:w="3360"/>
            <w:vAlign w:val="top"/>
            <w:tcMar>
              <w:top w:w="70" w:type="dxa"/>
              <w:start w:w="90" w:type="dxa"/>
              <w:bottom w:w="70" w:type="dxa"/>
              <w:end w:w="90" w:type="dxa"/>
            </w:tcMar>
            <w:shd w:fill="F7F9FB"/>
          </w:tcPr>
          <w:p>
            <w:pPr>
              <w:spacing w:after="0"/>
            </w:pPr>
            <w:r>
              <w:rPr>
                <w:rFonts w:ascii="Liberation Sans" w:hAnsi="Liberation Sans"/>
                <w:sz w:val="15"/>
              </w:rPr>
              <w:t>T8 Reporting reconciliation</w:t>
            </w:r>
          </w:p>
        </w:tc>
        <w:tc>
          <w:tcPr>
            <w:tcW w:type="dxa" w:w="3360"/>
            <w:vAlign w:val="top"/>
            <w:tcMar>
              <w:top w:w="70" w:type="dxa"/>
              <w:start w:w="90" w:type="dxa"/>
              <w:bottom w:w="70" w:type="dxa"/>
              <w:end w:w="90" w:type="dxa"/>
            </w:tcMar>
            <w:shd w:fill="F7F9FB"/>
          </w:tcPr>
          <w:p>
            <w:pPr>
              <w:spacing w:after="0"/>
            </w:pPr>
            <w:r>
              <w:rPr>
                <w:rFonts w:ascii="Liberation Sans" w:hAnsi="Liberation Sans"/>
                <w:sz w:val="15"/>
              </w:rPr>
              <w:t>Tie exposure results to regulatory report outputs</w:t>
            </w:r>
          </w:p>
        </w:tc>
        <w:tc>
          <w:tcPr>
            <w:tcW w:type="dxa" w:w="3360"/>
            <w:vAlign w:val="top"/>
            <w:tcMar>
              <w:top w:w="70" w:type="dxa"/>
              <w:start w:w="90" w:type="dxa"/>
              <w:bottom w:w="70" w:type="dxa"/>
              <w:end w:w="90" w:type="dxa"/>
            </w:tcMar>
            <w:shd w:fill="F7F9FB"/>
          </w:tcPr>
          <w:p>
            <w:pPr>
              <w:spacing w:after="0"/>
            </w:pPr>
            <w:r>
              <w:rPr>
                <w:rFonts w:ascii="Liberation Sans" w:hAnsi="Liberation Sans"/>
                <w:sz w:val="15"/>
              </w:rPr>
              <w:t>FFIEC schedules/cells and validation rules</w:t>
            </w:r>
          </w:p>
        </w:tc>
      </w:tr>
      <w:tr>
        <w:tc>
          <w:tcPr>
            <w:tcW w:type="dxa" w:w="3360"/>
            <w:vAlign w:val="top"/>
            <w:tcMar>
              <w:top w:w="70" w:type="dxa"/>
              <w:start w:w="90" w:type="dxa"/>
              <w:bottom w:w="70" w:type="dxa"/>
              <w:end w:w="90" w:type="dxa"/>
            </w:tcMar>
          </w:tcPr>
          <w:p>
            <w:pPr>
              <w:spacing w:after="0"/>
            </w:pPr>
            <w:r>
              <w:rPr>
                <w:rFonts w:ascii="Liberation Sans" w:hAnsi="Liberation Sans"/>
                <w:sz w:val="15"/>
              </w:rPr>
              <w:t>T9 Performance/scale</w:t>
            </w:r>
          </w:p>
        </w:tc>
        <w:tc>
          <w:tcPr>
            <w:tcW w:type="dxa" w:w="3360"/>
            <w:vAlign w:val="top"/>
            <w:tcMar>
              <w:top w:w="70" w:type="dxa"/>
              <w:start w:w="90" w:type="dxa"/>
              <w:bottom w:w="70" w:type="dxa"/>
              <w:end w:w="90" w:type="dxa"/>
            </w:tcMar>
          </w:tcPr>
          <w:p>
            <w:pPr>
              <w:spacing w:after="0"/>
            </w:pPr>
            <w:r>
              <w:rPr>
                <w:rFonts w:ascii="Liberation Sans" w:hAnsi="Liberation Sans"/>
                <w:sz w:val="15"/>
              </w:rPr>
              <w:t>Measure SLA and resource usage</w:t>
            </w:r>
          </w:p>
        </w:tc>
        <w:tc>
          <w:tcPr>
            <w:tcW w:type="dxa" w:w="3360"/>
            <w:vAlign w:val="top"/>
            <w:tcMar>
              <w:top w:w="70" w:type="dxa"/>
              <w:start w:w="90" w:type="dxa"/>
              <w:bottom w:w="70" w:type="dxa"/>
              <w:end w:w="90" w:type="dxa"/>
            </w:tcMar>
          </w:tcPr>
          <w:p>
            <w:pPr>
              <w:spacing w:after="0"/>
            </w:pPr>
            <w:r>
              <w:rPr>
                <w:rFonts w:ascii="Liberation Sans" w:hAnsi="Liberation Sans"/>
                <w:sz w:val="15"/>
              </w:rPr>
              <w:t>100K, 1M, 10M, 50M, 100M, stress</w:t>
            </w:r>
          </w:p>
        </w:tc>
      </w:tr>
      <w:tr>
        <w:tc>
          <w:tcPr>
            <w:tcW w:type="dxa" w:w="3360"/>
            <w:vAlign w:val="top"/>
            <w:tcMar>
              <w:top w:w="70" w:type="dxa"/>
              <w:start w:w="90" w:type="dxa"/>
              <w:bottom w:w="70" w:type="dxa"/>
              <w:end w:w="90" w:type="dxa"/>
            </w:tcMar>
            <w:shd w:fill="F7F9FB"/>
          </w:tcPr>
          <w:p>
            <w:pPr>
              <w:spacing w:after="0"/>
            </w:pPr>
            <w:r>
              <w:rPr>
                <w:rFonts w:ascii="Liberation Sans" w:hAnsi="Liberation Sans"/>
                <w:sz w:val="15"/>
              </w:rPr>
              <w:t>T10 Engine-vs-engine assurance</w:t>
            </w:r>
          </w:p>
        </w:tc>
        <w:tc>
          <w:tcPr>
            <w:tcW w:type="dxa" w:w="3360"/>
            <w:vAlign w:val="top"/>
            <w:tcMar>
              <w:top w:w="70" w:type="dxa"/>
              <w:start w:w="90" w:type="dxa"/>
              <w:bottom w:w="70" w:type="dxa"/>
              <w:end w:w="90" w:type="dxa"/>
            </w:tcMar>
            <w:shd w:fill="F7F9FB"/>
          </w:tcPr>
          <w:p>
            <w:pPr>
              <w:spacing w:after="0"/>
            </w:pPr>
            <w:r>
              <w:rPr>
                <w:rFonts w:ascii="Liberation Sans" w:hAnsi="Liberation Sans"/>
                <w:sz w:val="15"/>
              </w:rPr>
              <w:t>Validate adapters and client engines</w:t>
            </w:r>
          </w:p>
        </w:tc>
        <w:tc>
          <w:tcPr>
            <w:tcW w:type="dxa" w:w="3360"/>
            <w:vAlign w:val="top"/>
            <w:tcMar>
              <w:top w:w="70" w:type="dxa"/>
              <w:start w:w="90" w:type="dxa"/>
              <w:bottom w:w="70" w:type="dxa"/>
              <w:end w:w="90" w:type="dxa"/>
            </w:tcMar>
            <w:shd w:fill="F7F9FB"/>
          </w:tcPr>
          <w:p>
            <w:pPr>
              <w:spacing w:after="0"/>
            </w:pPr>
            <w:r>
              <w:rPr>
                <w:rFonts w:ascii="Liberation Sans" w:hAnsi="Liberation Sans"/>
                <w:sz w:val="15"/>
              </w:rPr>
              <w:t>Python vs Spark; platform vs bank incumbent</w:t>
            </w:r>
          </w:p>
        </w:tc>
      </w:tr>
    </w:tbl>
    <w:p>
      <w:pPr>
        <w:spacing w:after="20"/>
      </w:pPr>
    </w:p>
    <w:p>
      <w:pPr>
        <w:pStyle w:val="Heading2"/>
      </w:pPr>
      <w:r>
        <w:t>7.2 Golden Regulatory Portfolio</w:t>
      </w:r>
    </w:p>
    <w:p>
      <w:r>
        <w:rPr>
          <w:rFonts w:ascii="Liberation Sans" w:hAnsi="Liberation Sans"/>
          <w:sz w:val="19"/>
        </w:rPr>
        <w:t>Create an owned, deterministic “Basel Capital Golden Portfolio” containing initially 10,000–20,000 carefully designed exposures. Each record should carry expected classification, CCF/EAD, CRM treatment, risk weight, RWA, capital, report mapping, rule ID and citation. No engine release passes CI unless all unexplained differences are resolved.</w:t>
      </w:r>
    </w:p>
    <w:p>
      <w:pPr>
        <w:pStyle w:val="Heading2"/>
      </w:pPr>
      <w:r>
        <w:t>7.3 Synthetic Regulatory Portfolio Generator</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shd w:fill="17365D"/>
            <w:tcMar>
              <w:top w:w="70" w:type="dxa"/>
              <w:start w:w="90" w:type="dxa"/>
              <w:bottom w:w="70" w:type="dxa"/>
              <w:end w:w="90" w:type="dxa"/>
            </w:tcMar>
          </w:tcPr>
          <w:p>
            <w:r>
              <w:rPr>
                <w:b/>
                <w:color w:val="FFFFFF"/>
                <w:sz w:val="16"/>
              </w:rPr>
              <w:t>Synthetic set</w:t>
            </w:r>
          </w:p>
        </w:tc>
        <w:tc>
          <w:tcPr>
            <w:tcW w:type="dxa" w:w="3360"/>
            <w:shd w:fill="17365D"/>
            <w:tcMar>
              <w:top w:w="70" w:type="dxa"/>
              <w:start w:w="90" w:type="dxa"/>
              <w:bottom w:w="70" w:type="dxa"/>
              <w:end w:w="90" w:type="dxa"/>
            </w:tcMar>
          </w:tcPr>
          <w:p>
            <w:r>
              <w:rPr>
                <w:b/>
                <w:color w:val="FFFFFF"/>
                <w:sz w:val="16"/>
              </w:rPr>
              <w:t>Purpose</w:t>
            </w:r>
          </w:p>
        </w:tc>
        <w:tc>
          <w:tcPr>
            <w:tcW w:type="dxa" w:w="3360"/>
            <w:shd w:fill="17365D"/>
            <w:tcMar>
              <w:top w:w="70" w:type="dxa"/>
              <w:start w:w="90" w:type="dxa"/>
              <w:bottom w:w="70" w:type="dxa"/>
              <w:end w:w="90" w:type="dxa"/>
            </w:tcMar>
          </w:tcPr>
          <w:p>
            <w:r>
              <w:rPr>
                <w:b/>
                <w:color w:val="FFFFFF"/>
                <w:sz w:val="16"/>
              </w:rPr>
              <w:t>Design</w:t>
            </w:r>
          </w:p>
        </w:tc>
      </w:tr>
      <w:tr>
        <w:tc>
          <w:tcPr>
            <w:tcW w:type="dxa" w:w="3360"/>
            <w:vAlign w:val="top"/>
            <w:tcMar>
              <w:top w:w="70" w:type="dxa"/>
              <w:start w:w="90" w:type="dxa"/>
              <w:bottom w:w="70" w:type="dxa"/>
              <w:end w:w="90" w:type="dxa"/>
            </w:tcMar>
          </w:tcPr>
          <w:p>
            <w:pPr>
              <w:spacing w:after="0"/>
            </w:pPr>
            <w:r>
              <w:rPr>
                <w:rFonts w:ascii="Liberation Sans" w:hAnsi="Liberation Sans"/>
                <w:sz w:val="16"/>
              </w:rPr>
              <w:t>Rule cases</w:t>
            </w:r>
          </w:p>
        </w:tc>
        <w:tc>
          <w:tcPr>
            <w:tcW w:type="dxa" w:w="3360"/>
            <w:vAlign w:val="top"/>
            <w:tcMar>
              <w:top w:w="70" w:type="dxa"/>
              <w:start w:w="90" w:type="dxa"/>
              <w:bottom w:w="70" w:type="dxa"/>
              <w:end w:w="90" w:type="dxa"/>
            </w:tcMar>
          </w:tcPr>
          <w:p>
            <w:pPr>
              <w:spacing w:after="0"/>
            </w:pPr>
            <w:r>
              <w:rPr>
                <w:rFonts w:ascii="Liberation Sans" w:hAnsi="Liberation Sans"/>
                <w:sz w:val="16"/>
              </w:rPr>
              <w:t>Correctness</w:t>
            </w:r>
          </w:p>
        </w:tc>
        <w:tc>
          <w:tcPr>
            <w:tcW w:type="dxa" w:w="3360"/>
            <w:vAlign w:val="top"/>
            <w:tcMar>
              <w:top w:w="70" w:type="dxa"/>
              <w:start w:w="90" w:type="dxa"/>
              <w:bottom w:w="70" w:type="dxa"/>
              <w:end w:w="90" w:type="dxa"/>
            </w:tcMar>
          </w:tcPr>
          <w:p>
            <w:pPr>
              <w:spacing w:after="0"/>
            </w:pPr>
            <w:r>
              <w:rPr>
                <w:rFonts w:ascii="Liberation Sans" w:hAnsi="Liberation Sans"/>
                <w:sz w:val="16"/>
              </w:rPr>
              <w:t>Small, deliberate exposures covering every rule branch</w:t>
            </w:r>
          </w:p>
        </w:tc>
      </w:tr>
      <w:tr>
        <w:tc>
          <w:tcPr>
            <w:tcW w:type="dxa" w:w="3360"/>
            <w:vAlign w:val="top"/>
            <w:tcMar>
              <w:top w:w="70" w:type="dxa"/>
              <w:start w:w="90" w:type="dxa"/>
              <w:bottom w:w="70" w:type="dxa"/>
              <w:end w:w="90" w:type="dxa"/>
            </w:tcMar>
            <w:shd w:fill="F7F9FB"/>
          </w:tcPr>
          <w:p>
            <w:pPr>
              <w:spacing w:after="0"/>
            </w:pPr>
            <w:r>
              <w:rPr>
                <w:rFonts w:ascii="Liberation Sans" w:hAnsi="Liberation Sans"/>
                <w:sz w:val="16"/>
              </w:rPr>
              <w:t>Boundary cases</w:t>
            </w:r>
          </w:p>
        </w:tc>
        <w:tc>
          <w:tcPr>
            <w:tcW w:type="dxa" w:w="3360"/>
            <w:vAlign w:val="top"/>
            <w:tcMar>
              <w:top w:w="70" w:type="dxa"/>
              <w:start w:w="90" w:type="dxa"/>
              <w:bottom w:w="70" w:type="dxa"/>
              <w:end w:w="90" w:type="dxa"/>
            </w:tcMar>
            <w:shd w:fill="F7F9FB"/>
          </w:tcPr>
          <w:p>
            <w:pPr>
              <w:spacing w:after="0"/>
            </w:pPr>
            <w:r>
              <w:rPr>
                <w:rFonts w:ascii="Liberation Sans" w:hAnsi="Liberation Sans"/>
                <w:sz w:val="16"/>
              </w:rPr>
              <w:t>Threshold correctness</w:t>
            </w:r>
          </w:p>
        </w:tc>
        <w:tc>
          <w:tcPr>
            <w:tcW w:type="dxa" w:w="3360"/>
            <w:vAlign w:val="top"/>
            <w:tcMar>
              <w:top w:w="70" w:type="dxa"/>
              <w:start w:w="90" w:type="dxa"/>
              <w:bottom w:w="70" w:type="dxa"/>
              <w:end w:w="90" w:type="dxa"/>
            </w:tcMar>
            <w:shd w:fill="F7F9FB"/>
          </w:tcPr>
          <w:p>
            <w:pPr>
              <w:spacing w:after="0"/>
            </w:pPr>
            <w:r>
              <w:rPr>
                <w:rFonts w:ascii="Liberation Sans" w:hAnsi="Liberation Sans"/>
                <w:sz w:val="16"/>
              </w:rPr>
              <w:t>Just below/at/above thresholds; missing/invalid categories and dates</w:t>
            </w:r>
          </w:p>
        </w:tc>
      </w:tr>
      <w:tr>
        <w:tc>
          <w:tcPr>
            <w:tcW w:type="dxa" w:w="3360"/>
            <w:vAlign w:val="top"/>
            <w:tcMar>
              <w:top w:w="70" w:type="dxa"/>
              <w:start w:w="90" w:type="dxa"/>
              <w:bottom w:w="70" w:type="dxa"/>
              <w:end w:w="90" w:type="dxa"/>
            </w:tcMar>
          </w:tcPr>
          <w:p>
            <w:pPr>
              <w:spacing w:after="0"/>
            </w:pPr>
            <w:r>
              <w:rPr>
                <w:rFonts w:ascii="Liberation Sans" w:hAnsi="Liberation Sans"/>
                <w:sz w:val="16"/>
              </w:rPr>
              <w:t>Realistic portfolios</w:t>
            </w:r>
          </w:p>
        </w:tc>
        <w:tc>
          <w:tcPr>
            <w:tcW w:type="dxa" w:w="3360"/>
            <w:vAlign w:val="top"/>
            <w:tcMar>
              <w:top w:w="70" w:type="dxa"/>
              <w:start w:w="90" w:type="dxa"/>
              <w:bottom w:w="70" w:type="dxa"/>
              <w:end w:w="90" w:type="dxa"/>
            </w:tcMar>
          </w:tcPr>
          <w:p>
            <w:pPr>
              <w:spacing w:after="0"/>
            </w:pPr>
            <w:r>
              <w:rPr>
                <w:rFonts w:ascii="Liberation Sans" w:hAnsi="Liberation Sans"/>
                <w:sz w:val="16"/>
              </w:rPr>
              <w:t>End-to-end behavior</w:t>
            </w:r>
          </w:p>
        </w:tc>
        <w:tc>
          <w:tcPr>
            <w:tcW w:type="dxa" w:w="3360"/>
            <w:vAlign w:val="top"/>
            <w:tcMar>
              <w:top w:w="70" w:type="dxa"/>
              <w:start w:w="90" w:type="dxa"/>
              <w:bottom w:w="70" w:type="dxa"/>
              <w:end w:w="90" w:type="dxa"/>
            </w:tcMar>
          </w:tcPr>
          <w:p>
            <w:pPr>
              <w:spacing w:after="0"/>
            </w:pPr>
            <w:r>
              <w:rPr>
                <w:rFonts w:ascii="Liberation Sans" w:hAnsi="Liberation Sans"/>
                <w:sz w:val="16"/>
              </w:rPr>
              <w:t>Correlated product/borrower/rating/collateral/maturity distributions</w:t>
            </w:r>
          </w:p>
        </w:tc>
      </w:tr>
      <w:tr>
        <w:tc>
          <w:tcPr>
            <w:tcW w:type="dxa" w:w="3360"/>
            <w:vAlign w:val="top"/>
            <w:tcMar>
              <w:top w:w="70" w:type="dxa"/>
              <w:start w:w="90" w:type="dxa"/>
              <w:bottom w:w="70" w:type="dxa"/>
              <w:end w:w="90" w:type="dxa"/>
            </w:tcMar>
            <w:shd w:fill="F7F9FB"/>
          </w:tcPr>
          <w:p>
            <w:pPr>
              <w:spacing w:after="0"/>
            </w:pPr>
            <w:r>
              <w:rPr>
                <w:rFonts w:ascii="Liberation Sans" w:hAnsi="Liberation Sans"/>
                <w:sz w:val="16"/>
              </w:rPr>
              <w:t>Dirty data portfolios</w:t>
            </w:r>
          </w:p>
        </w:tc>
        <w:tc>
          <w:tcPr>
            <w:tcW w:type="dxa" w:w="3360"/>
            <w:vAlign w:val="top"/>
            <w:tcMar>
              <w:top w:w="70" w:type="dxa"/>
              <w:start w:w="90" w:type="dxa"/>
              <w:bottom w:w="70" w:type="dxa"/>
              <w:end w:w="90" w:type="dxa"/>
            </w:tcMar>
            <w:shd w:fill="F7F9FB"/>
          </w:tcPr>
          <w:p>
            <w:pPr>
              <w:spacing w:after="0"/>
            </w:pPr>
            <w:r>
              <w:rPr>
                <w:rFonts w:ascii="Liberation Sans" w:hAnsi="Liberation Sans"/>
                <w:sz w:val="16"/>
              </w:rPr>
              <w:t>Data quality product testing</w:t>
            </w:r>
          </w:p>
        </w:tc>
        <w:tc>
          <w:tcPr>
            <w:tcW w:type="dxa" w:w="3360"/>
            <w:vAlign w:val="top"/>
            <w:tcMar>
              <w:top w:w="70" w:type="dxa"/>
              <w:start w:w="90" w:type="dxa"/>
              <w:bottom w:w="70" w:type="dxa"/>
              <w:end w:w="90" w:type="dxa"/>
            </w:tcMar>
            <w:shd w:fill="F7F9FB"/>
          </w:tcPr>
          <w:p>
            <w:pPr>
              <w:spacing w:after="0"/>
            </w:pPr>
            <w:r>
              <w:rPr>
                <w:rFonts w:ascii="Liberation Sans" w:hAnsi="Liberation Sans"/>
                <w:sz w:val="16"/>
              </w:rPr>
              <w:t>Missing ratings/LTV, duplicates, invalid currencies, stale collateral, broken IDs</w:t>
            </w:r>
          </w:p>
        </w:tc>
      </w:tr>
      <w:tr>
        <w:tc>
          <w:tcPr>
            <w:tcW w:type="dxa" w:w="3360"/>
            <w:vAlign w:val="top"/>
            <w:tcMar>
              <w:top w:w="70" w:type="dxa"/>
              <w:start w:w="90" w:type="dxa"/>
              <w:bottom w:w="70" w:type="dxa"/>
              <w:end w:w="90" w:type="dxa"/>
            </w:tcMar>
          </w:tcPr>
          <w:p>
            <w:pPr>
              <w:spacing w:after="0"/>
            </w:pPr>
            <w:r>
              <w:rPr>
                <w:rFonts w:ascii="Liberation Sans" w:hAnsi="Liberation Sans"/>
                <w:sz w:val="16"/>
              </w:rPr>
              <w:t>Scale portfolios</w:t>
            </w:r>
          </w:p>
        </w:tc>
        <w:tc>
          <w:tcPr>
            <w:tcW w:type="dxa" w:w="3360"/>
            <w:vAlign w:val="top"/>
            <w:tcMar>
              <w:top w:w="70" w:type="dxa"/>
              <w:start w:w="90" w:type="dxa"/>
              <w:bottom w:w="70" w:type="dxa"/>
              <w:end w:w="90" w:type="dxa"/>
            </w:tcMar>
          </w:tcPr>
          <w:p>
            <w:pPr>
              <w:spacing w:after="0"/>
            </w:pPr>
            <w:r>
              <w:rPr>
                <w:rFonts w:ascii="Liberation Sans" w:hAnsi="Liberation Sans"/>
                <w:sz w:val="16"/>
              </w:rPr>
              <w:t>Performance</w:t>
            </w:r>
          </w:p>
        </w:tc>
        <w:tc>
          <w:tcPr>
            <w:tcW w:type="dxa" w:w="3360"/>
            <w:vAlign w:val="top"/>
            <w:tcMar>
              <w:top w:w="70" w:type="dxa"/>
              <w:start w:w="90" w:type="dxa"/>
              <w:bottom w:w="70" w:type="dxa"/>
              <w:end w:w="90" w:type="dxa"/>
            </w:tcMar>
          </w:tcPr>
          <w:p>
            <w:pPr>
              <w:spacing w:after="0"/>
            </w:pPr>
            <w:r>
              <w:rPr>
                <w:rFonts w:ascii="Liberation Sans" w:hAnsi="Liberation Sans"/>
                <w:sz w:val="16"/>
              </w:rPr>
              <w:t>1M → 10M → 50M → 100M → 500M records</w:t>
            </w:r>
          </w:p>
        </w:tc>
      </w:tr>
      <w:tr>
        <w:tc>
          <w:tcPr>
            <w:tcW w:type="dxa" w:w="3360"/>
            <w:vAlign w:val="top"/>
            <w:tcMar>
              <w:top w:w="70" w:type="dxa"/>
              <w:start w:w="90" w:type="dxa"/>
              <w:bottom w:w="70" w:type="dxa"/>
              <w:end w:w="90" w:type="dxa"/>
            </w:tcMar>
            <w:shd w:fill="F7F9FB"/>
          </w:tcPr>
          <w:p>
            <w:pPr>
              <w:spacing w:after="0"/>
            </w:pPr>
            <w:r>
              <w:rPr>
                <w:rFonts w:ascii="Liberation Sans" w:hAnsi="Liberation Sans"/>
                <w:sz w:val="16"/>
              </w:rPr>
              <w:t>Change portfolios</w:t>
            </w:r>
          </w:p>
        </w:tc>
        <w:tc>
          <w:tcPr>
            <w:tcW w:type="dxa" w:w="3360"/>
            <w:vAlign w:val="top"/>
            <w:tcMar>
              <w:top w:w="70" w:type="dxa"/>
              <w:start w:w="90" w:type="dxa"/>
              <w:bottom w:w="70" w:type="dxa"/>
              <w:end w:w="90" w:type="dxa"/>
            </w:tcMar>
            <w:shd w:fill="F7F9FB"/>
          </w:tcPr>
          <w:p>
            <w:pPr>
              <w:spacing w:after="0"/>
            </w:pPr>
            <w:r>
              <w:rPr>
                <w:rFonts w:ascii="Liberation Sans" w:hAnsi="Liberation Sans"/>
                <w:sz w:val="16"/>
              </w:rPr>
              <w:t>Regulatory delta testing</w:t>
            </w:r>
          </w:p>
        </w:tc>
        <w:tc>
          <w:tcPr>
            <w:tcW w:type="dxa" w:w="3360"/>
            <w:vAlign w:val="top"/>
            <w:tcMar>
              <w:top w:w="70" w:type="dxa"/>
              <w:start w:w="90" w:type="dxa"/>
              <w:bottom w:w="70" w:type="dxa"/>
              <w:end w:w="90" w:type="dxa"/>
            </w:tcMar>
            <w:shd w:fill="F7F9FB"/>
          </w:tcPr>
          <w:p>
            <w:pPr>
              <w:spacing w:after="0"/>
            </w:pPr>
            <w:r>
              <w:rPr>
                <w:rFonts w:ascii="Liberation Sans" w:hAnsi="Liberation Sans"/>
                <w:sz w:val="16"/>
              </w:rPr>
              <w:t>Concentrated in rules changed by a proposal/final rule</w:t>
            </w:r>
          </w:p>
        </w:tc>
      </w:tr>
    </w:tbl>
    <w:p>
      <w:pPr>
        <w:spacing w:after="20"/>
      </w:pPr>
    </w:p>
    <w:p>
      <w:pPr>
        <w:pStyle w:val="Heading2"/>
      </w:pPr>
      <w:r>
        <w:t>7.4 Synthetic data generation rules</w:t>
      </w:r>
    </w:p>
    <w:p>
      <w:pPr>
        <w:pStyle w:val="ListBullet"/>
        <w:spacing w:after="40"/>
      </w:pPr>
      <w:r>
        <w:rPr>
          <w:rFonts w:ascii="Liberation Sans" w:hAnsi="Liberation Sans"/>
          <w:sz w:val="18"/>
        </w:rPr>
        <w:t>Generate data from regulatory scenarios first, statistics second; random independent columns will create impossible combinations.</w:t>
      </w:r>
    </w:p>
    <w:p>
      <w:pPr>
        <w:pStyle w:val="ListBullet"/>
        <w:spacing w:after="40"/>
      </w:pPr>
      <w:r>
        <w:rPr>
          <w:rFonts w:ascii="Liberation Sans" w:hAnsi="Liberation Sans"/>
          <w:sz w:val="18"/>
        </w:rPr>
        <w:t>Use deterministic seeds and store generator version so test portfolios are reproducible.</w:t>
      </w:r>
    </w:p>
    <w:p>
      <w:pPr>
        <w:pStyle w:val="ListBullet"/>
        <w:spacing w:after="40"/>
      </w:pPr>
      <w:r>
        <w:rPr>
          <w:rFonts w:ascii="Liberation Sans" w:hAnsi="Liberation Sans"/>
          <w:sz w:val="18"/>
        </w:rPr>
        <w:t>Tag every synthetic record with one or more intended regulatory scenarios and expected rule paths.</w:t>
      </w:r>
    </w:p>
    <w:p>
      <w:pPr>
        <w:pStyle w:val="ListBullet"/>
        <w:spacing w:after="40"/>
      </w:pPr>
      <w:r>
        <w:rPr>
          <w:rFonts w:ascii="Liberation Sans" w:hAnsi="Liberation Sans"/>
          <w:sz w:val="18"/>
        </w:rPr>
        <w:t>Maintain separate “known-good” deterministic datasets and large stochastic performance datasets.</w:t>
      </w:r>
    </w:p>
    <w:p>
      <w:pPr>
        <w:pStyle w:val="ListBullet"/>
        <w:spacing w:after="40"/>
      </w:pPr>
      <w:r>
        <w:rPr>
          <w:rFonts w:ascii="Liberation Sans" w:hAnsi="Liberation Sans"/>
          <w:sz w:val="18"/>
        </w:rPr>
        <w:t>Never use synthetic expected outputs generated by the same code path being tested; golden expected values require independently verified formulas/examples/reviews.</w:t>
      </w:r>
    </w:p>
    <w:p>
      <w:pPr>
        <w:jc w:val="center"/>
      </w:pPr>
      <w:r>
        <w:drawing>
          <wp:inline xmlns:a="http://schemas.openxmlformats.org/drawingml/2006/main" xmlns:pic="http://schemas.openxmlformats.org/drawingml/2006/picture">
            <wp:extent cx="6309360" cy="3665213"/>
            <wp:docPr id="3" name="Picture 3"/>
            <wp:cNvGraphicFramePr>
              <a:graphicFrameLocks noChangeAspect="1"/>
            </wp:cNvGraphicFramePr>
            <a:graphic>
              <a:graphicData uri="http://schemas.openxmlformats.org/drawingml/2006/picture">
                <pic:pic>
                  <pic:nvPicPr>
                    <pic:cNvPr id="0" name="execution_testing.png"/>
                    <pic:cNvPicPr/>
                  </pic:nvPicPr>
                  <pic:blipFill>
                    <a:blip r:embed="rId13"/>
                    <a:stretch>
                      <a:fillRect/>
                    </a:stretch>
                  </pic:blipFill>
                  <pic:spPr>
                    <a:xfrm>
                      <a:off x="0" y="0"/>
                      <a:ext cx="6309360" cy="3665213"/>
                    </a:xfrm>
                    <a:prstGeom prst="rect"/>
                  </pic:spPr>
                </pic:pic>
              </a:graphicData>
            </a:graphic>
          </wp:inline>
        </w:drawing>
      </w:r>
    </w:p>
    <w:p>
      <w:pPr>
        <w:jc w:val="center"/>
      </w:pPr>
      <w:r>
        <w:rPr>
          <w:rFonts w:ascii="Liberation Sans" w:hAnsi="Liberation Sans"/>
          <w:b/>
          <w:color w:val="5B6573"/>
          <w:sz w:val="16"/>
        </w:rPr>
        <w:t>Figure 3 — Correctness-first execution and scalability strategy</w:t>
      </w:r>
    </w:p>
    <w:p>
      <w:r>
        <w:br w:type="page"/>
      </w:r>
    </w:p>
    <w:p>
      <w:pPr>
        <w:pStyle w:val="Heading1"/>
      </w:pPr>
      <w:r>
        <w:t>8. Python vs PySpark and cluster architecture</w:t>
      </w:r>
    </w:p>
    <w:p>
      <w:pPr>
        <w:pStyle w:val="Heading2"/>
      </w:pPr>
      <w:r>
        <w:t>8.1 Decision</w:t>
      </w:r>
    </w:p>
    <w:tbl>
      <w:tblPr>
        <w:tblW w:type="auto" w:w="0"/>
        <w:jc w:val="center"/>
        <w:tblLayout w:type="fixed"/>
        <w:tblLook w:firstColumn="1" w:firstRow="1" w:lastColumn="0" w:lastRow="0" w:noHBand="0" w:noVBand="1" w:val="04A0"/>
      </w:tblPr>
      <w:tblGrid>
        <w:gridCol w:w="9792"/>
      </w:tblGrid>
      <w:tr>
        <w:tc>
          <w:tcPr>
            <w:tcW w:type="dxa" w:w="10080"/>
            <w:shd w:fill="EAF0F8"/>
            <w:tcMar>
              <w:top w:w="120" w:type="dxa"/>
              <w:start w:w="150" w:type="dxa"/>
              <w:bottom w:w="120" w:type="dxa"/>
              <w:end w:w="150" w:type="dxa"/>
            </w:tcMar>
          </w:tcPr>
          <w:p>
            <w:r>
              <w:rPr>
                <w:rFonts w:ascii="Liberation Sans" w:hAnsi="Liberation Sans"/>
                <w:b/>
                <w:color w:val="17365D"/>
                <w:sz w:val="20"/>
              </w:rPr>
              <w:t>Keep Python. Do not rewrite the product in PySpark. Add PySpark only as a distributed execution adapter after vectorization and benchmark evidence demonstrate a need.</w:t>
            </w:r>
          </w:p>
        </w:tc>
      </w:tr>
    </w:tbl>
    <w:p>
      <w:r>
        <w:rPr>
          <w:rFonts w:ascii="Liberation Sans" w:hAnsi="Liberation Sans"/>
          <w:sz w:val="19"/>
        </w:rPr>
        <w:t>Apache Spark is designed for large-scale structured-data processing and can run on clusters including Kubernetes. Spark SQL/DataFrames should be preferred over row-by-row Python UDF logic for distributed joins, classifications and aggregations. [R20][R21]</w:t>
      </w:r>
    </w:p>
    <w:p>
      <w:pPr>
        <w:pStyle w:val="Heading2"/>
      </w:pPr>
      <w:r>
        <w:t>8.2 Workload split</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shd w:fill="17365D"/>
            <w:tcMar>
              <w:top w:w="70" w:type="dxa"/>
              <w:start w:w="90" w:type="dxa"/>
              <w:bottom w:w="70" w:type="dxa"/>
              <w:end w:w="90" w:type="dxa"/>
            </w:tcMar>
          </w:tcPr>
          <w:p>
            <w:r>
              <w:rPr>
                <w:b/>
                <w:color w:val="FFFFFF"/>
                <w:sz w:val="16"/>
              </w:rPr>
              <w:t>Workload</w:t>
            </w:r>
          </w:p>
        </w:tc>
        <w:tc>
          <w:tcPr>
            <w:tcW w:type="dxa" w:w="5040"/>
            <w:shd w:fill="17365D"/>
            <w:tcMar>
              <w:top w:w="70" w:type="dxa"/>
              <w:start w:w="90" w:type="dxa"/>
              <w:bottom w:w="70" w:type="dxa"/>
              <w:end w:w="90" w:type="dxa"/>
            </w:tcMar>
          </w:tcPr>
          <w:p>
            <w:r>
              <w:rPr>
                <w:b/>
                <w:color w:val="FFFFFF"/>
                <w:sz w:val="16"/>
              </w:rPr>
              <w:t>Preferred layer</w:t>
            </w:r>
          </w:p>
        </w:tc>
      </w:tr>
      <w:tr>
        <w:tc>
          <w:tcPr>
            <w:tcW w:type="dxa" w:w="5040"/>
            <w:vAlign w:val="top"/>
            <w:tcMar>
              <w:top w:w="70" w:type="dxa"/>
              <w:start w:w="90" w:type="dxa"/>
              <w:bottom w:w="70" w:type="dxa"/>
              <w:end w:w="90" w:type="dxa"/>
            </w:tcMar>
          </w:tcPr>
          <w:p>
            <w:pPr>
              <w:spacing w:after="0"/>
            </w:pPr>
            <w:r>
              <w:rPr>
                <w:rFonts w:ascii="Liberation Sans" w:hAnsi="Liberation Sans"/>
                <w:sz w:val="16"/>
              </w:rPr>
              <w:t>API / FastAPI / authentication / orchestration</w:t>
            </w:r>
          </w:p>
        </w:tc>
        <w:tc>
          <w:tcPr>
            <w:tcW w:type="dxa" w:w="5040"/>
            <w:vAlign w:val="top"/>
            <w:tcMar>
              <w:top w:w="70" w:type="dxa"/>
              <w:start w:w="90" w:type="dxa"/>
              <w:bottom w:w="70" w:type="dxa"/>
              <w:end w:w="90" w:type="dxa"/>
            </w:tcMar>
          </w:tcPr>
          <w:p>
            <w:pPr>
              <w:spacing w:after="0"/>
            </w:pPr>
            <w:r>
              <w:rPr>
                <w:rFonts w:ascii="Liberation Sans" w:hAnsi="Liberation Sans"/>
                <w:sz w:val="16"/>
              </w:rPr>
              <w:t>Python</w:t>
            </w:r>
          </w:p>
        </w:tc>
      </w:tr>
      <w:tr>
        <w:tc>
          <w:tcPr>
            <w:tcW w:type="dxa" w:w="5040"/>
            <w:vAlign w:val="top"/>
            <w:tcMar>
              <w:top w:w="70" w:type="dxa"/>
              <w:start w:w="90" w:type="dxa"/>
              <w:bottom w:w="70" w:type="dxa"/>
              <w:end w:w="90" w:type="dxa"/>
            </w:tcMar>
            <w:shd w:fill="F7F9FB"/>
          </w:tcPr>
          <w:p>
            <w:pPr>
              <w:spacing w:after="0"/>
            </w:pPr>
            <w:r>
              <w:rPr>
                <w:rFonts w:ascii="Liberation Sans" w:hAnsi="Liberation Sans"/>
                <w:sz w:val="16"/>
              </w:rPr>
              <w:t>Regulatory ingestion, parsing, AI agents</w:t>
            </w:r>
          </w:p>
        </w:tc>
        <w:tc>
          <w:tcPr>
            <w:tcW w:type="dxa" w:w="5040"/>
            <w:vAlign w:val="top"/>
            <w:tcMar>
              <w:top w:w="70" w:type="dxa"/>
              <w:start w:w="90" w:type="dxa"/>
              <w:bottom w:w="70" w:type="dxa"/>
              <w:end w:w="90" w:type="dxa"/>
            </w:tcMar>
            <w:shd w:fill="F7F9FB"/>
          </w:tcPr>
          <w:p>
            <w:pPr>
              <w:spacing w:after="0"/>
            </w:pPr>
            <w:r>
              <w:rPr>
                <w:rFonts w:ascii="Liberation Sans" w:hAnsi="Liberation Sans"/>
                <w:sz w:val="16"/>
              </w:rPr>
              <w:t>Python</w:t>
            </w:r>
          </w:p>
        </w:tc>
      </w:tr>
      <w:tr>
        <w:tc>
          <w:tcPr>
            <w:tcW w:type="dxa" w:w="5040"/>
            <w:vAlign w:val="top"/>
            <w:tcMar>
              <w:top w:w="70" w:type="dxa"/>
              <w:start w:w="90" w:type="dxa"/>
              <w:bottom w:w="70" w:type="dxa"/>
              <w:end w:w="90" w:type="dxa"/>
            </w:tcMar>
          </w:tcPr>
          <w:p>
            <w:pPr>
              <w:spacing w:after="0"/>
            </w:pPr>
            <w:r>
              <w:rPr>
                <w:rFonts w:ascii="Liberation Sans" w:hAnsi="Liberation Sans"/>
                <w:sz w:val="16"/>
              </w:rPr>
              <w:t>Knowledge graph services</w:t>
            </w:r>
          </w:p>
        </w:tc>
        <w:tc>
          <w:tcPr>
            <w:tcW w:type="dxa" w:w="5040"/>
            <w:vAlign w:val="top"/>
            <w:tcMar>
              <w:top w:w="70" w:type="dxa"/>
              <w:start w:w="90" w:type="dxa"/>
              <w:bottom w:w="70" w:type="dxa"/>
              <w:end w:w="90" w:type="dxa"/>
            </w:tcMar>
          </w:tcPr>
          <w:p>
            <w:pPr>
              <w:spacing w:after="0"/>
            </w:pPr>
            <w:r>
              <w:rPr>
                <w:rFonts w:ascii="Liberation Sans" w:hAnsi="Liberation Sans"/>
                <w:sz w:val="16"/>
              </w:rPr>
              <w:t>Python + database/graph</w:t>
            </w:r>
          </w:p>
        </w:tc>
      </w:tr>
      <w:tr>
        <w:tc>
          <w:tcPr>
            <w:tcW w:type="dxa" w:w="5040"/>
            <w:vAlign w:val="top"/>
            <w:tcMar>
              <w:top w:w="70" w:type="dxa"/>
              <w:start w:w="90" w:type="dxa"/>
              <w:bottom w:w="70" w:type="dxa"/>
              <w:end w:w="90" w:type="dxa"/>
            </w:tcMar>
            <w:shd w:fill="F7F9FB"/>
          </w:tcPr>
          <w:p>
            <w:pPr>
              <w:spacing w:after="0"/>
            </w:pPr>
            <w:r>
              <w:rPr>
                <w:rFonts w:ascii="Liberation Sans" w:hAnsi="Liberation Sans"/>
                <w:sz w:val="16"/>
              </w:rPr>
              <w:t>Rule versioning and compilation</w:t>
            </w:r>
          </w:p>
        </w:tc>
        <w:tc>
          <w:tcPr>
            <w:tcW w:type="dxa" w:w="5040"/>
            <w:vAlign w:val="top"/>
            <w:tcMar>
              <w:top w:w="70" w:type="dxa"/>
              <w:start w:w="90" w:type="dxa"/>
              <w:bottom w:w="70" w:type="dxa"/>
              <w:end w:w="90" w:type="dxa"/>
            </w:tcMar>
            <w:shd w:fill="F7F9FB"/>
          </w:tcPr>
          <w:p>
            <w:pPr>
              <w:spacing w:after="0"/>
            </w:pPr>
            <w:r>
              <w:rPr>
                <w:rFonts w:ascii="Liberation Sans" w:hAnsi="Liberation Sans"/>
                <w:sz w:val="16"/>
              </w:rPr>
              <w:t>Python</w:t>
            </w:r>
          </w:p>
        </w:tc>
      </w:tr>
      <w:tr>
        <w:tc>
          <w:tcPr>
            <w:tcW w:type="dxa" w:w="5040"/>
            <w:vAlign w:val="top"/>
            <w:tcMar>
              <w:top w:w="70" w:type="dxa"/>
              <w:start w:w="90" w:type="dxa"/>
              <w:bottom w:w="70" w:type="dxa"/>
              <w:end w:w="90" w:type="dxa"/>
            </w:tcMar>
          </w:tcPr>
          <w:p>
            <w:pPr>
              <w:spacing w:after="0"/>
            </w:pPr>
            <w:r>
              <w:rPr>
                <w:rFonts w:ascii="Liberation Sans" w:hAnsi="Liberation Sans"/>
                <w:sz w:val="16"/>
              </w:rPr>
              <w:t>Golden tests / CI</w:t>
            </w:r>
          </w:p>
        </w:tc>
        <w:tc>
          <w:tcPr>
            <w:tcW w:type="dxa" w:w="5040"/>
            <w:vAlign w:val="top"/>
            <w:tcMar>
              <w:top w:w="70" w:type="dxa"/>
              <w:start w:w="90" w:type="dxa"/>
              <w:bottom w:w="70" w:type="dxa"/>
              <w:end w:w="90" w:type="dxa"/>
            </w:tcMar>
          </w:tcPr>
          <w:p>
            <w:pPr>
              <w:spacing w:after="0"/>
            </w:pPr>
            <w:r>
              <w:rPr>
                <w:rFonts w:ascii="Liberation Sans" w:hAnsi="Liberation Sans"/>
                <w:sz w:val="16"/>
              </w:rPr>
              <w:t>Python/vectorized</w:t>
            </w:r>
          </w:p>
        </w:tc>
      </w:tr>
      <w:tr>
        <w:tc>
          <w:tcPr>
            <w:tcW w:type="dxa" w:w="5040"/>
            <w:vAlign w:val="top"/>
            <w:tcMar>
              <w:top w:w="70" w:type="dxa"/>
              <w:start w:w="90" w:type="dxa"/>
              <w:bottom w:w="70" w:type="dxa"/>
              <w:end w:w="90" w:type="dxa"/>
            </w:tcMar>
            <w:shd w:fill="F7F9FB"/>
          </w:tcPr>
          <w:p>
            <w:pPr>
              <w:spacing w:after="0"/>
            </w:pPr>
            <w:r>
              <w:rPr>
                <w:rFonts w:ascii="Liberation Sans" w:hAnsi="Liberation Sans"/>
                <w:sz w:val="16"/>
              </w:rPr>
              <w:t>Small/moderate portfolio execution</w:t>
            </w:r>
          </w:p>
        </w:tc>
        <w:tc>
          <w:tcPr>
            <w:tcW w:type="dxa" w:w="5040"/>
            <w:vAlign w:val="top"/>
            <w:tcMar>
              <w:top w:w="70" w:type="dxa"/>
              <w:start w:w="90" w:type="dxa"/>
              <w:bottom w:w="70" w:type="dxa"/>
              <w:end w:w="90" w:type="dxa"/>
            </w:tcMar>
            <w:shd w:fill="F7F9FB"/>
          </w:tcPr>
          <w:p>
            <w:pPr>
              <w:spacing w:after="0"/>
            </w:pPr>
            <w:r>
              <w:rPr>
                <w:rFonts w:ascii="Liberation Sans" w:hAnsi="Liberation Sans"/>
                <w:sz w:val="16"/>
              </w:rPr>
              <w:t>Vectorized Python / DataFrame engine</w:t>
            </w:r>
          </w:p>
        </w:tc>
      </w:tr>
      <w:tr>
        <w:tc>
          <w:tcPr>
            <w:tcW w:type="dxa" w:w="5040"/>
            <w:vAlign w:val="top"/>
            <w:tcMar>
              <w:top w:w="70" w:type="dxa"/>
              <w:start w:w="90" w:type="dxa"/>
              <w:bottom w:w="70" w:type="dxa"/>
              <w:end w:w="90" w:type="dxa"/>
            </w:tcMar>
          </w:tcPr>
          <w:p>
            <w:pPr>
              <w:spacing w:after="0"/>
            </w:pPr>
            <w:r>
              <w:rPr>
                <w:rFonts w:ascii="Liberation Sans" w:hAnsi="Liberation Sans"/>
                <w:sz w:val="16"/>
              </w:rPr>
              <w:t>Very large ingestion, joins, aggregation</w:t>
            </w:r>
          </w:p>
        </w:tc>
        <w:tc>
          <w:tcPr>
            <w:tcW w:type="dxa" w:w="5040"/>
            <w:vAlign w:val="top"/>
            <w:tcMar>
              <w:top w:w="70" w:type="dxa"/>
              <w:start w:w="90" w:type="dxa"/>
              <w:bottom w:w="70" w:type="dxa"/>
              <w:end w:w="90" w:type="dxa"/>
            </w:tcMar>
          </w:tcPr>
          <w:p>
            <w:pPr>
              <w:spacing w:after="0"/>
            </w:pPr>
            <w:r>
              <w:rPr>
                <w:rFonts w:ascii="Liberation Sans" w:hAnsi="Liberation Sans"/>
                <w:sz w:val="16"/>
              </w:rPr>
              <w:t>PySpark</w:t>
            </w:r>
          </w:p>
        </w:tc>
      </w:tr>
      <w:tr>
        <w:tc>
          <w:tcPr>
            <w:tcW w:type="dxa" w:w="5040"/>
            <w:vAlign w:val="top"/>
            <w:tcMar>
              <w:top w:w="70" w:type="dxa"/>
              <w:start w:w="90" w:type="dxa"/>
              <w:bottom w:w="70" w:type="dxa"/>
              <w:end w:w="90" w:type="dxa"/>
            </w:tcMar>
            <w:shd w:fill="F7F9FB"/>
          </w:tcPr>
          <w:p>
            <w:pPr>
              <w:spacing w:after="0"/>
            </w:pPr>
            <w:r>
              <w:rPr>
                <w:rFonts w:ascii="Liberation Sans" w:hAnsi="Liberation Sans"/>
                <w:sz w:val="16"/>
              </w:rPr>
              <w:t>50M–500M portfolio execution</w:t>
            </w:r>
          </w:p>
        </w:tc>
        <w:tc>
          <w:tcPr>
            <w:tcW w:type="dxa" w:w="5040"/>
            <w:vAlign w:val="top"/>
            <w:tcMar>
              <w:top w:w="70" w:type="dxa"/>
              <w:start w:w="90" w:type="dxa"/>
              <w:bottom w:w="70" w:type="dxa"/>
              <w:end w:w="90" w:type="dxa"/>
            </w:tcMar>
            <w:shd w:fill="F7F9FB"/>
          </w:tcPr>
          <w:p>
            <w:pPr>
              <w:spacing w:after="0"/>
            </w:pPr>
            <w:r>
              <w:rPr>
                <w:rFonts w:ascii="Liberation Sans" w:hAnsi="Liberation Sans"/>
                <w:sz w:val="16"/>
              </w:rPr>
              <w:t>PySpark/DataFrame / SQL expressions</w:t>
            </w:r>
          </w:p>
        </w:tc>
      </w:tr>
      <w:tr>
        <w:tc>
          <w:tcPr>
            <w:tcW w:type="dxa" w:w="5040"/>
            <w:vAlign w:val="top"/>
            <w:tcMar>
              <w:top w:w="70" w:type="dxa"/>
              <w:start w:w="90" w:type="dxa"/>
              <w:bottom w:w="70" w:type="dxa"/>
              <w:end w:w="90" w:type="dxa"/>
            </w:tcMar>
          </w:tcPr>
          <w:p>
            <w:pPr>
              <w:spacing w:after="0"/>
            </w:pPr>
            <w:r>
              <w:rPr>
                <w:rFonts w:ascii="Liberation Sans" w:hAnsi="Liberation Sans"/>
                <w:sz w:val="16"/>
              </w:rPr>
              <w:t>Reporting aggregation at scale</w:t>
            </w:r>
          </w:p>
        </w:tc>
        <w:tc>
          <w:tcPr>
            <w:tcW w:type="dxa" w:w="5040"/>
            <w:vAlign w:val="top"/>
            <w:tcMar>
              <w:top w:w="70" w:type="dxa"/>
              <w:start w:w="90" w:type="dxa"/>
              <w:bottom w:w="70" w:type="dxa"/>
              <w:end w:w="90" w:type="dxa"/>
            </w:tcMar>
          </w:tcPr>
          <w:p>
            <w:pPr>
              <w:spacing w:after="0"/>
            </w:pPr>
            <w:r>
              <w:rPr>
                <w:rFonts w:ascii="Liberation Sans" w:hAnsi="Liberation Sans"/>
                <w:sz w:val="16"/>
              </w:rPr>
              <w:t>Spark SQL or warehouse SQL</w:t>
            </w:r>
          </w:p>
        </w:tc>
      </w:tr>
      <w:tr>
        <w:tc>
          <w:tcPr>
            <w:tcW w:type="dxa" w:w="5040"/>
            <w:vAlign w:val="top"/>
            <w:tcMar>
              <w:top w:w="70" w:type="dxa"/>
              <w:start w:w="90" w:type="dxa"/>
              <w:bottom w:w="70" w:type="dxa"/>
              <w:end w:w="90" w:type="dxa"/>
            </w:tcMar>
            <w:shd w:fill="F7F9FB"/>
          </w:tcPr>
          <w:p>
            <w:pPr>
              <w:spacing w:after="0"/>
            </w:pPr>
            <w:r>
              <w:rPr>
                <w:rFonts w:ascii="Liberation Sans" w:hAnsi="Liberation Sans"/>
                <w:sz w:val="16"/>
              </w:rPr>
              <w:t>AI explanation</w:t>
            </w:r>
          </w:p>
        </w:tc>
        <w:tc>
          <w:tcPr>
            <w:tcW w:type="dxa" w:w="5040"/>
            <w:vAlign w:val="top"/>
            <w:tcMar>
              <w:top w:w="70" w:type="dxa"/>
              <w:start w:w="90" w:type="dxa"/>
              <w:bottom w:w="70" w:type="dxa"/>
              <w:end w:w="90" w:type="dxa"/>
            </w:tcMar>
            <w:shd w:fill="F7F9FB"/>
          </w:tcPr>
          <w:p>
            <w:pPr>
              <w:spacing w:after="0"/>
            </w:pPr>
            <w:r>
              <w:rPr>
                <w:rFonts w:ascii="Liberation Sans" w:hAnsi="Liberation Sans"/>
                <w:sz w:val="16"/>
              </w:rPr>
              <w:t>Python; aggregated evidence only</w:t>
            </w:r>
          </w:p>
        </w:tc>
      </w:tr>
    </w:tbl>
    <w:p>
      <w:pPr>
        <w:spacing w:after="20"/>
      </w:pPr>
    </w:p>
    <w:p>
      <w:pPr>
        <w:pStyle w:val="Heading2"/>
      </w:pPr>
      <w:r>
        <w:t>8.3 Benchmark gate before Spark</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shd w:fill="17365D"/>
            <w:tcMar>
              <w:top w:w="70" w:type="dxa"/>
              <w:start w:w="90" w:type="dxa"/>
              <w:bottom w:w="70" w:type="dxa"/>
              <w:end w:w="90" w:type="dxa"/>
            </w:tcMar>
          </w:tcPr>
          <w:p>
            <w:r>
              <w:rPr>
                <w:b/>
                <w:color w:val="FFFFFF"/>
                <w:sz w:val="16"/>
              </w:rPr>
              <w:t>Dataset</w:t>
            </w:r>
          </w:p>
        </w:tc>
        <w:tc>
          <w:tcPr>
            <w:tcW w:type="dxa" w:w="3360"/>
            <w:shd w:fill="17365D"/>
            <w:tcMar>
              <w:top w:w="70" w:type="dxa"/>
              <w:start w:w="90" w:type="dxa"/>
              <w:bottom w:w="70" w:type="dxa"/>
              <w:end w:w="90" w:type="dxa"/>
            </w:tcMar>
          </w:tcPr>
          <w:p>
            <w:r>
              <w:rPr>
                <w:b/>
                <w:color w:val="FFFFFF"/>
                <w:sz w:val="16"/>
              </w:rPr>
              <w:t>Purpose</w:t>
            </w:r>
          </w:p>
        </w:tc>
        <w:tc>
          <w:tcPr>
            <w:tcW w:type="dxa" w:w="3360"/>
            <w:shd w:fill="17365D"/>
            <w:tcMar>
              <w:top w:w="70" w:type="dxa"/>
              <w:start w:w="90" w:type="dxa"/>
              <w:bottom w:w="70" w:type="dxa"/>
              <w:end w:w="90" w:type="dxa"/>
            </w:tcMar>
          </w:tcPr>
          <w:p>
            <w:r>
              <w:rPr>
                <w:b/>
                <w:color w:val="FFFFFF"/>
                <w:sz w:val="16"/>
              </w:rPr>
              <w:t>Measure</w:t>
            </w:r>
          </w:p>
        </w:tc>
      </w:tr>
      <w:tr>
        <w:tc>
          <w:tcPr>
            <w:tcW w:type="dxa" w:w="3360"/>
            <w:vAlign w:val="top"/>
            <w:tcMar>
              <w:top w:w="70" w:type="dxa"/>
              <w:start w:w="90" w:type="dxa"/>
              <w:bottom w:w="70" w:type="dxa"/>
              <w:end w:w="90" w:type="dxa"/>
            </w:tcMar>
          </w:tcPr>
          <w:p>
            <w:pPr>
              <w:spacing w:after="0"/>
            </w:pPr>
            <w:r>
              <w:rPr>
                <w:rFonts w:ascii="Liberation Sans" w:hAnsi="Liberation Sans"/>
                <w:sz w:val="16"/>
              </w:rPr>
              <w:t>10K</w:t>
            </w:r>
          </w:p>
        </w:tc>
        <w:tc>
          <w:tcPr>
            <w:tcW w:type="dxa" w:w="3360"/>
            <w:vAlign w:val="top"/>
            <w:tcMar>
              <w:top w:w="70" w:type="dxa"/>
              <w:start w:w="90" w:type="dxa"/>
              <w:bottom w:w="70" w:type="dxa"/>
              <w:end w:w="90" w:type="dxa"/>
            </w:tcMar>
          </w:tcPr>
          <w:p>
            <w:pPr>
              <w:spacing w:after="0"/>
            </w:pPr>
            <w:r>
              <w:rPr>
                <w:rFonts w:ascii="Liberation Sans" w:hAnsi="Liberation Sans"/>
                <w:sz w:val="16"/>
              </w:rPr>
              <w:t>Developer/golden</w:t>
            </w:r>
          </w:p>
        </w:tc>
        <w:tc>
          <w:tcPr>
            <w:tcW w:type="dxa" w:w="3360"/>
            <w:vAlign w:val="top"/>
            <w:tcMar>
              <w:top w:w="70" w:type="dxa"/>
              <w:start w:w="90" w:type="dxa"/>
              <w:bottom w:w="70" w:type="dxa"/>
              <w:end w:w="90" w:type="dxa"/>
            </w:tcMar>
          </w:tcPr>
          <w:p>
            <w:pPr>
              <w:spacing w:after="0"/>
            </w:pPr>
            <w:r>
              <w:rPr>
                <w:rFonts w:ascii="Liberation Sans" w:hAnsi="Liberation Sans"/>
                <w:sz w:val="16"/>
              </w:rPr>
              <w:t>correctness + milliseconds/seconds</w:t>
            </w:r>
          </w:p>
        </w:tc>
      </w:tr>
      <w:tr>
        <w:tc>
          <w:tcPr>
            <w:tcW w:type="dxa" w:w="3360"/>
            <w:vAlign w:val="top"/>
            <w:tcMar>
              <w:top w:w="70" w:type="dxa"/>
              <w:start w:w="90" w:type="dxa"/>
              <w:bottom w:w="70" w:type="dxa"/>
              <w:end w:w="90" w:type="dxa"/>
            </w:tcMar>
            <w:shd w:fill="F7F9FB"/>
          </w:tcPr>
          <w:p>
            <w:pPr>
              <w:spacing w:after="0"/>
            </w:pPr>
            <w:r>
              <w:rPr>
                <w:rFonts w:ascii="Liberation Sans" w:hAnsi="Liberation Sans"/>
                <w:sz w:val="16"/>
              </w:rPr>
              <w:t>100K</w:t>
            </w:r>
          </w:p>
        </w:tc>
        <w:tc>
          <w:tcPr>
            <w:tcW w:type="dxa" w:w="3360"/>
            <w:vAlign w:val="top"/>
            <w:tcMar>
              <w:top w:w="70" w:type="dxa"/>
              <w:start w:w="90" w:type="dxa"/>
              <w:bottom w:w="70" w:type="dxa"/>
              <w:end w:w="90" w:type="dxa"/>
            </w:tcMar>
            <w:shd w:fill="F7F9FB"/>
          </w:tcPr>
          <w:p>
            <w:pPr>
              <w:spacing w:after="0"/>
            </w:pPr>
            <w:r>
              <w:rPr>
                <w:rFonts w:ascii="Liberation Sans" w:hAnsi="Liberation Sans"/>
                <w:sz w:val="16"/>
              </w:rPr>
              <w:t>Functional</w:t>
            </w:r>
          </w:p>
        </w:tc>
        <w:tc>
          <w:tcPr>
            <w:tcW w:type="dxa" w:w="3360"/>
            <w:vAlign w:val="top"/>
            <w:tcMar>
              <w:top w:w="70" w:type="dxa"/>
              <w:start w:w="90" w:type="dxa"/>
              <w:bottom w:w="70" w:type="dxa"/>
              <w:end w:w="90" w:type="dxa"/>
            </w:tcMar>
            <w:shd w:fill="F7F9FB"/>
          </w:tcPr>
          <w:p>
            <w:pPr>
              <w:spacing w:after="0"/>
            </w:pPr>
            <w:r>
              <w:rPr>
                <w:rFonts w:ascii="Liberation Sans" w:hAnsi="Liberation Sans"/>
                <w:sz w:val="16"/>
              </w:rPr>
              <w:t>end-to-end latency</w:t>
            </w:r>
          </w:p>
        </w:tc>
      </w:tr>
      <w:tr>
        <w:tc>
          <w:tcPr>
            <w:tcW w:type="dxa" w:w="3360"/>
            <w:vAlign w:val="top"/>
            <w:tcMar>
              <w:top w:w="70" w:type="dxa"/>
              <w:start w:w="90" w:type="dxa"/>
              <w:bottom w:w="70" w:type="dxa"/>
              <w:end w:w="90" w:type="dxa"/>
            </w:tcMar>
          </w:tcPr>
          <w:p>
            <w:pPr>
              <w:spacing w:after="0"/>
            </w:pPr>
            <w:r>
              <w:rPr>
                <w:rFonts w:ascii="Liberation Sans" w:hAnsi="Liberation Sans"/>
                <w:sz w:val="16"/>
              </w:rPr>
              <w:t>1M</w:t>
            </w:r>
          </w:p>
        </w:tc>
        <w:tc>
          <w:tcPr>
            <w:tcW w:type="dxa" w:w="3360"/>
            <w:vAlign w:val="top"/>
            <w:tcMar>
              <w:top w:w="70" w:type="dxa"/>
              <w:start w:w="90" w:type="dxa"/>
              <w:bottom w:w="70" w:type="dxa"/>
              <w:end w:w="90" w:type="dxa"/>
            </w:tcMar>
          </w:tcPr>
          <w:p>
            <w:pPr>
              <w:spacing w:after="0"/>
            </w:pPr>
            <w:r>
              <w:rPr>
                <w:rFonts w:ascii="Liberation Sans" w:hAnsi="Liberation Sans"/>
                <w:sz w:val="16"/>
              </w:rPr>
              <w:t>Small institutional run</w:t>
            </w:r>
          </w:p>
        </w:tc>
        <w:tc>
          <w:tcPr>
            <w:tcW w:type="dxa" w:w="3360"/>
            <w:vAlign w:val="top"/>
            <w:tcMar>
              <w:top w:w="70" w:type="dxa"/>
              <w:start w:w="90" w:type="dxa"/>
              <w:bottom w:w="70" w:type="dxa"/>
              <w:end w:w="90" w:type="dxa"/>
            </w:tcMar>
          </w:tcPr>
          <w:p>
            <w:pPr>
              <w:spacing w:after="0"/>
            </w:pPr>
            <w:r>
              <w:rPr>
                <w:rFonts w:ascii="Liberation Sans" w:hAnsi="Liberation Sans"/>
                <w:sz w:val="16"/>
              </w:rPr>
              <w:t>CPU/memory; batch SLA</w:t>
            </w:r>
          </w:p>
        </w:tc>
      </w:tr>
      <w:tr>
        <w:tc>
          <w:tcPr>
            <w:tcW w:type="dxa" w:w="3360"/>
            <w:vAlign w:val="top"/>
            <w:tcMar>
              <w:top w:w="70" w:type="dxa"/>
              <w:start w:w="90" w:type="dxa"/>
              <w:bottom w:w="70" w:type="dxa"/>
              <w:end w:w="90" w:type="dxa"/>
            </w:tcMar>
            <w:shd w:fill="F7F9FB"/>
          </w:tcPr>
          <w:p>
            <w:pPr>
              <w:spacing w:after="0"/>
            </w:pPr>
            <w:r>
              <w:rPr>
                <w:rFonts w:ascii="Liberation Sans" w:hAnsi="Liberation Sans"/>
                <w:sz w:val="16"/>
              </w:rPr>
              <w:t>10M</w:t>
            </w:r>
          </w:p>
        </w:tc>
        <w:tc>
          <w:tcPr>
            <w:tcW w:type="dxa" w:w="3360"/>
            <w:vAlign w:val="top"/>
            <w:tcMar>
              <w:top w:w="70" w:type="dxa"/>
              <w:start w:w="90" w:type="dxa"/>
              <w:bottom w:w="70" w:type="dxa"/>
              <w:end w:w="90" w:type="dxa"/>
            </w:tcMar>
            <w:shd w:fill="F7F9FB"/>
          </w:tcPr>
          <w:p>
            <w:pPr>
              <w:spacing w:after="0"/>
            </w:pPr>
            <w:r>
              <w:rPr>
                <w:rFonts w:ascii="Liberation Sans" w:hAnsi="Liberation Sans"/>
                <w:sz w:val="16"/>
              </w:rPr>
              <w:t>Medium portfolio</w:t>
            </w:r>
          </w:p>
        </w:tc>
        <w:tc>
          <w:tcPr>
            <w:tcW w:type="dxa" w:w="3360"/>
            <w:vAlign w:val="top"/>
            <w:tcMar>
              <w:top w:w="70" w:type="dxa"/>
              <w:start w:w="90" w:type="dxa"/>
              <w:bottom w:w="70" w:type="dxa"/>
              <w:end w:w="90" w:type="dxa"/>
            </w:tcMar>
            <w:shd w:fill="F7F9FB"/>
          </w:tcPr>
          <w:p>
            <w:pPr>
              <w:spacing w:after="0"/>
            </w:pPr>
            <w:r>
              <w:rPr>
                <w:rFonts w:ascii="Liberation Sans" w:hAnsi="Liberation Sans"/>
                <w:sz w:val="16"/>
              </w:rPr>
              <w:t>parallelism; I/O; joins</w:t>
            </w:r>
          </w:p>
        </w:tc>
      </w:tr>
      <w:tr>
        <w:tc>
          <w:tcPr>
            <w:tcW w:type="dxa" w:w="3360"/>
            <w:vAlign w:val="top"/>
            <w:tcMar>
              <w:top w:w="70" w:type="dxa"/>
              <w:start w:w="90" w:type="dxa"/>
              <w:bottom w:w="70" w:type="dxa"/>
              <w:end w:w="90" w:type="dxa"/>
            </w:tcMar>
          </w:tcPr>
          <w:p>
            <w:pPr>
              <w:spacing w:after="0"/>
            </w:pPr>
            <w:r>
              <w:rPr>
                <w:rFonts w:ascii="Liberation Sans" w:hAnsi="Liberation Sans"/>
                <w:sz w:val="16"/>
              </w:rPr>
              <w:t>50M</w:t>
            </w:r>
          </w:p>
        </w:tc>
        <w:tc>
          <w:tcPr>
            <w:tcW w:type="dxa" w:w="3360"/>
            <w:vAlign w:val="top"/>
            <w:tcMar>
              <w:top w:w="70" w:type="dxa"/>
              <w:start w:w="90" w:type="dxa"/>
              <w:bottom w:w="70" w:type="dxa"/>
              <w:end w:w="90" w:type="dxa"/>
            </w:tcMar>
          </w:tcPr>
          <w:p>
            <w:pPr>
              <w:spacing w:after="0"/>
            </w:pPr>
            <w:r>
              <w:rPr>
                <w:rFonts w:ascii="Liberation Sans" w:hAnsi="Liberation Sans"/>
                <w:sz w:val="16"/>
              </w:rPr>
              <w:t>Large</w:t>
            </w:r>
          </w:p>
        </w:tc>
        <w:tc>
          <w:tcPr>
            <w:tcW w:type="dxa" w:w="3360"/>
            <w:vAlign w:val="top"/>
            <w:tcMar>
              <w:top w:w="70" w:type="dxa"/>
              <w:start w:w="90" w:type="dxa"/>
              <w:bottom w:w="70" w:type="dxa"/>
              <w:end w:w="90" w:type="dxa"/>
            </w:tcMar>
          </w:tcPr>
          <w:p>
            <w:pPr>
              <w:spacing w:after="0"/>
            </w:pPr>
            <w:r>
              <w:rPr>
                <w:rFonts w:ascii="Liberation Sans" w:hAnsi="Liberation Sans"/>
                <w:sz w:val="16"/>
              </w:rPr>
              <w:t>distributed break-even point</w:t>
            </w:r>
          </w:p>
        </w:tc>
      </w:tr>
      <w:tr>
        <w:tc>
          <w:tcPr>
            <w:tcW w:type="dxa" w:w="3360"/>
            <w:vAlign w:val="top"/>
            <w:tcMar>
              <w:top w:w="70" w:type="dxa"/>
              <w:start w:w="90" w:type="dxa"/>
              <w:bottom w:w="70" w:type="dxa"/>
              <w:end w:w="90" w:type="dxa"/>
            </w:tcMar>
            <w:shd w:fill="F7F9FB"/>
          </w:tcPr>
          <w:p>
            <w:pPr>
              <w:spacing w:after="0"/>
            </w:pPr>
            <w:r>
              <w:rPr>
                <w:rFonts w:ascii="Liberation Sans" w:hAnsi="Liberation Sans"/>
                <w:sz w:val="16"/>
              </w:rPr>
              <w:t>100M</w:t>
            </w:r>
          </w:p>
        </w:tc>
        <w:tc>
          <w:tcPr>
            <w:tcW w:type="dxa" w:w="3360"/>
            <w:vAlign w:val="top"/>
            <w:tcMar>
              <w:top w:w="70" w:type="dxa"/>
              <w:start w:w="90" w:type="dxa"/>
              <w:bottom w:w="70" w:type="dxa"/>
              <w:end w:w="90" w:type="dxa"/>
            </w:tcMar>
            <w:shd w:fill="F7F9FB"/>
          </w:tcPr>
          <w:p>
            <w:pPr>
              <w:spacing w:after="0"/>
            </w:pPr>
            <w:r>
              <w:rPr>
                <w:rFonts w:ascii="Liberation Sans" w:hAnsi="Liberation Sans"/>
                <w:sz w:val="16"/>
              </w:rPr>
              <w:t>Large-bank scale test</w:t>
            </w:r>
          </w:p>
        </w:tc>
        <w:tc>
          <w:tcPr>
            <w:tcW w:type="dxa" w:w="3360"/>
            <w:vAlign w:val="top"/>
            <w:tcMar>
              <w:top w:w="70" w:type="dxa"/>
              <w:start w:w="90" w:type="dxa"/>
              <w:bottom w:w="70" w:type="dxa"/>
              <w:end w:w="90" w:type="dxa"/>
            </w:tcMar>
            <w:shd w:fill="F7F9FB"/>
          </w:tcPr>
          <w:p>
            <w:pPr>
              <w:spacing w:after="0"/>
            </w:pPr>
            <w:r>
              <w:rPr>
                <w:rFonts w:ascii="Liberation Sans" w:hAnsi="Liberation Sans"/>
                <w:sz w:val="16"/>
              </w:rPr>
              <w:t>cluster cost/SLA</w:t>
            </w:r>
          </w:p>
        </w:tc>
      </w:tr>
      <w:tr>
        <w:tc>
          <w:tcPr>
            <w:tcW w:type="dxa" w:w="3360"/>
            <w:vAlign w:val="top"/>
            <w:tcMar>
              <w:top w:w="70" w:type="dxa"/>
              <w:start w:w="90" w:type="dxa"/>
              <w:bottom w:w="70" w:type="dxa"/>
              <w:end w:w="90" w:type="dxa"/>
            </w:tcMar>
          </w:tcPr>
          <w:p>
            <w:pPr>
              <w:spacing w:after="0"/>
            </w:pPr>
            <w:r>
              <w:rPr>
                <w:rFonts w:ascii="Liberation Sans" w:hAnsi="Liberation Sans"/>
                <w:sz w:val="16"/>
              </w:rPr>
              <w:t>500M</w:t>
            </w:r>
          </w:p>
        </w:tc>
        <w:tc>
          <w:tcPr>
            <w:tcW w:type="dxa" w:w="3360"/>
            <w:vAlign w:val="top"/>
            <w:tcMar>
              <w:top w:w="70" w:type="dxa"/>
              <w:start w:w="90" w:type="dxa"/>
              <w:bottom w:w="70" w:type="dxa"/>
              <w:end w:w="90" w:type="dxa"/>
            </w:tcMar>
          </w:tcPr>
          <w:p>
            <w:pPr>
              <w:spacing w:after="0"/>
            </w:pPr>
            <w:r>
              <w:rPr>
                <w:rFonts w:ascii="Liberation Sans" w:hAnsi="Liberation Sans"/>
                <w:sz w:val="16"/>
              </w:rPr>
              <w:t>Stress</w:t>
            </w:r>
          </w:p>
        </w:tc>
        <w:tc>
          <w:tcPr>
            <w:tcW w:type="dxa" w:w="3360"/>
            <w:vAlign w:val="top"/>
            <w:tcMar>
              <w:top w:w="70" w:type="dxa"/>
              <w:start w:w="90" w:type="dxa"/>
              <w:bottom w:w="70" w:type="dxa"/>
              <w:end w:w="90" w:type="dxa"/>
            </w:tcMar>
          </w:tcPr>
          <w:p>
            <w:pPr>
              <w:spacing w:after="0"/>
            </w:pPr>
            <w:r>
              <w:rPr>
                <w:rFonts w:ascii="Liberation Sans" w:hAnsi="Liberation Sans"/>
                <w:sz w:val="16"/>
              </w:rPr>
              <w:t>failure recovery, shuffle, partitioning, peak memory</w:t>
            </w:r>
          </w:p>
        </w:tc>
      </w:tr>
    </w:tbl>
    <w:p>
      <w:pPr>
        <w:spacing w:after="20"/>
      </w:pPr>
    </w:p>
    <w:p>
      <w:r>
        <w:rPr>
          <w:rFonts w:ascii="Liberation Sans" w:hAnsi="Liberation Sans"/>
          <w:sz w:val="19"/>
        </w:rPr>
        <w:t>Spark is introduced only when the observed SLA/memory/cost profile justifies its operational complexity. Before that, remove Python row loops and move rule evaluation toward vectorized column expressions so logic can later compile naturally into Spark SQL/DataFrame operations.</w:t>
      </w:r>
    </w:p>
    <w:p>
      <w:pPr>
        <w:pStyle w:val="Heading2"/>
      </w:pPr>
      <w:r>
        <w:t>8.4 Cluster deployment</w:t>
      </w:r>
    </w:p>
    <w:p>
      <w:r>
        <w:rPr>
          <w:rFonts w:ascii="Liberation Sans" w:hAnsi="Liberation Sans"/>
          <w:sz w:val="19"/>
        </w:rPr>
        <w:t>When required, support managed Spark or customer-controlled Spark/Kubernetes. Spark’s current documentation describes a driver/executor architecture on Kubernetes. The bank-facing application/control plane remains separate and submits jobs through an execution service. [R20]</w:t>
      </w:r>
    </w:p>
    <w:p>
      <w:r>
        <w:br w:type="page"/>
      </w:r>
    </w:p>
    <w:p>
      <w:pPr>
        <w:pStyle w:val="Heading1"/>
      </w:pPr>
      <w:r>
        <w:t>9. AI/agent architecture and control model</w:t>
      </w:r>
    </w:p>
    <w:p>
      <w:pPr>
        <w:pStyle w:val="Heading2"/>
      </w:pPr>
      <w:r>
        <w:t>9.1 Agent responsibilities</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shd w:fill="17365D"/>
            <w:tcMar>
              <w:top w:w="70" w:type="dxa"/>
              <w:start w:w="90" w:type="dxa"/>
              <w:bottom w:w="70" w:type="dxa"/>
              <w:end w:w="90" w:type="dxa"/>
            </w:tcMar>
          </w:tcPr>
          <w:p>
            <w:r>
              <w:rPr>
                <w:b/>
                <w:color w:val="FFFFFF"/>
                <w:sz w:val="15"/>
              </w:rPr>
              <w:t>Agent/service</w:t>
            </w:r>
          </w:p>
        </w:tc>
        <w:tc>
          <w:tcPr>
            <w:tcW w:type="dxa" w:w="3360"/>
            <w:shd w:fill="17365D"/>
            <w:tcMar>
              <w:top w:w="70" w:type="dxa"/>
              <w:start w:w="90" w:type="dxa"/>
              <w:bottom w:w="70" w:type="dxa"/>
              <w:end w:w="90" w:type="dxa"/>
            </w:tcMar>
          </w:tcPr>
          <w:p>
            <w:r>
              <w:rPr>
                <w:b/>
                <w:color w:val="FFFFFF"/>
                <w:sz w:val="15"/>
              </w:rPr>
              <w:t>Allowed responsibilities</w:t>
            </w:r>
          </w:p>
        </w:tc>
        <w:tc>
          <w:tcPr>
            <w:tcW w:type="dxa" w:w="3360"/>
            <w:shd w:fill="17365D"/>
            <w:tcMar>
              <w:top w:w="70" w:type="dxa"/>
              <w:start w:w="90" w:type="dxa"/>
              <w:bottom w:w="70" w:type="dxa"/>
              <w:end w:w="90" w:type="dxa"/>
            </w:tcMar>
          </w:tcPr>
          <w:p>
            <w:r>
              <w:rPr>
                <w:b/>
                <w:color w:val="FFFFFF"/>
                <w:sz w:val="15"/>
              </w:rPr>
              <w:t>Prohibited responsibilities</w:t>
            </w:r>
          </w:p>
        </w:tc>
      </w:tr>
      <w:tr>
        <w:tc>
          <w:tcPr>
            <w:tcW w:type="dxa" w:w="3360"/>
            <w:vAlign w:val="top"/>
            <w:tcMar>
              <w:top w:w="70" w:type="dxa"/>
              <w:start w:w="90" w:type="dxa"/>
              <w:bottom w:w="70" w:type="dxa"/>
              <w:end w:w="90" w:type="dxa"/>
            </w:tcMar>
          </w:tcPr>
          <w:p>
            <w:pPr>
              <w:spacing w:after="0"/>
            </w:pPr>
            <w:r>
              <w:rPr>
                <w:rFonts w:ascii="Liberation Sans" w:hAnsi="Liberation Sans"/>
                <w:sz w:val="15"/>
              </w:rPr>
              <w:t>Regulatory ingestion agent</w:t>
            </w:r>
          </w:p>
        </w:tc>
        <w:tc>
          <w:tcPr>
            <w:tcW w:type="dxa" w:w="3360"/>
            <w:vAlign w:val="top"/>
            <w:tcMar>
              <w:top w:w="70" w:type="dxa"/>
              <w:start w:w="90" w:type="dxa"/>
              <w:bottom w:w="70" w:type="dxa"/>
              <w:end w:w="90" w:type="dxa"/>
            </w:tcMar>
          </w:tcPr>
          <w:p>
            <w:pPr>
              <w:spacing w:after="0"/>
            </w:pPr>
            <w:r>
              <w:rPr>
                <w:rFonts w:ascii="Liberation Sans" w:hAnsi="Liberation Sans"/>
                <w:sz w:val="15"/>
              </w:rPr>
              <w:t>classify documents, extract sections/metadata, propose mappings</w:t>
            </w:r>
          </w:p>
        </w:tc>
        <w:tc>
          <w:tcPr>
            <w:tcW w:type="dxa" w:w="3360"/>
            <w:vAlign w:val="top"/>
            <w:tcMar>
              <w:top w:w="70" w:type="dxa"/>
              <w:start w:w="90" w:type="dxa"/>
              <w:bottom w:w="70" w:type="dxa"/>
              <w:end w:w="90" w:type="dxa"/>
            </w:tcMar>
          </w:tcPr>
          <w:p>
            <w:pPr>
              <w:spacing w:after="0"/>
            </w:pPr>
            <w:r>
              <w:rPr>
                <w:rFonts w:ascii="Liberation Sans" w:hAnsi="Liberation Sans"/>
                <w:sz w:val="15"/>
              </w:rPr>
              <w:t>declare unreviewed text as final executable law</w:t>
            </w:r>
          </w:p>
        </w:tc>
      </w:tr>
      <w:tr>
        <w:tc>
          <w:tcPr>
            <w:tcW w:type="dxa" w:w="3360"/>
            <w:vAlign w:val="top"/>
            <w:tcMar>
              <w:top w:w="70" w:type="dxa"/>
              <w:start w:w="90" w:type="dxa"/>
              <w:bottom w:w="70" w:type="dxa"/>
              <w:end w:w="90" w:type="dxa"/>
            </w:tcMar>
            <w:shd w:fill="F7F9FB"/>
          </w:tcPr>
          <w:p>
            <w:pPr>
              <w:spacing w:after="0"/>
            </w:pPr>
            <w:r>
              <w:rPr>
                <w:rFonts w:ascii="Liberation Sans" w:hAnsi="Liberation Sans"/>
                <w:sz w:val="15"/>
              </w:rPr>
              <w:t>Diff agent</w:t>
            </w:r>
          </w:p>
        </w:tc>
        <w:tc>
          <w:tcPr>
            <w:tcW w:type="dxa" w:w="3360"/>
            <w:vAlign w:val="top"/>
            <w:tcMar>
              <w:top w:w="70" w:type="dxa"/>
              <w:start w:w="90" w:type="dxa"/>
              <w:bottom w:w="70" w:type="dxa"/>
              <w:end w:w="90" w:type="dxa"/>
            </w:tcMar>
            <w:shd w:fill="F7F9FB"/>
          </w:tcPr>
          <w:p>
            <w:pPr>
              <w:spacing w:after="0"/>
            </w:pPr>
            <w:r>
              <w:rPr>
                <w:rFonts w:ascii="Liberation Sans" w:hAnsi="Liberation Sans"/>
                <w:sz w:val="15"/>
              </w:rPr>
              <w:t>identify candidate added/removed/modified concepts</w:t>
            </w:r>
          </w:p>
        </w:tc>
        <w:tc>
          <w:tcPr>
            <w:tcW w:type="dxa" w:w="3360"/>
            <w:vAlign w:val="top"/>
            <w:tcMar>
              <w:top w:w="70" w:type="dxa"/>
              <w:start w:w="90" w:type="dxa"/>
              <w:bottom w:w="70" w:type="dxa"/>
              <w:end w:w="90" w:type="dxa"/>
            </w:tcMar>
            <w:shd w:fill="F7F9FB"/>
          </w:tcPr>
          <w:p>
            <w:pPr>
              <w:spacing w:after="0"/>
            </w:pPr>
            <w:r>
              <w:rPr>
                <w:rFonts w:ascii="Liberation Sans" w:hAnsi="Liberation Sans"/>
                <w:sz w:val="15"/>
              </w:rPr>
              <w:t>silently alter production rules</w:t>
            </w:r>
          </w:p>
        </w:tc>
      </w:tr>
      <w:tr>
        <w:tc>
          <w:tcPr>
            <w:tcW w:type="dxa" w:w="3360"/>
            <w:vAlign w:val="top"/>
            <w:tcMar>
              <w:top w:w="70" w:type="dxa"/>
              <w:start w:w="90" w:type="dxa"/>
              <w:bottom w:w="70" w:type="dxa"/>
              <w:end w:w="90" w:type="dxa"/>
            </w:tcMar>
          </w:tcPr>
          <w:p>
            <w:pPr>
              <w:spacing w:after="0"/>
            </w:pPr>
            <w:r>
              <w:rPr>
                <w:rFonts w:ascii="Liberation Sans" w:hAnsi="Liberation Sans"/>
                <w:sz w:val="15"/>
              </w:rPr>
              <w:t>Applicability agent</w:t>
            </w:r>
          </w:p>
        </w:tc>
        <w:tc>
          <w:tcPr>
            <w:tcW w:type="dxa" w:w="3360"/>
            <w:vAlign w:val="top"/>
            <w:tcMar>
              <w:top w:w="70" w:type="dxa"/>
              <w:start w:w="90" w:type="dxa"/>
              <w:bottom w:w="70" w:type="dxa"/>
              <w:end w:w="90" w:type="dxa"/>
            </w:tcMar>
          </w:tcPr>
          <w:p>
            <w:pPr>
              <w:spacing w:after="0"/>
            </w:pPr>
            <w:r>
              <w:rPr>
                <w:rFonts w:ascii="Liberation Sans" w:hAnsi="Liberation Sans"/>
                <w:sz w:val="15"/>
              </w:rPr>
              <w:t>reason over bank/entity/product metadata with citations</w:t>
            </w:r>
          </w:p>
        </w:tc>
        <w:tc>
          <w:tcPr>
            <w:tcW w:type="dxa" w:w="3360"/>
            <w:vAlign w:val="top"/>
            <w:tcMar>
              <w:top w:w="70" w:type="dxa"/>
              <w:start w:w="90" w:type="dxa"/>
              <w:bottom w:w="70" w:type="dxa"/>
              <w:end w:w="90" w:type="dxa"/>
            </w:tcMar>
          </w:tcPr>
          <w:p>
            <w:pPr>
              <w:spacing w:after="0"/>
            </w:pPr>
            <w:r>
              <w:rPr>
                <w:rFonts w:ascii="Liberation Sans" w:hAnsi="Liberation Sans"/>
                <w:sz w:val="15"/>
              </w:rPr>
              <w:t>make unsupported legal conclusions</w:t>
            </w:r>
          </w:p>
        </w:tc>
      </w:tr>
      <w:tr>
        <w:tc>
          <w:tcPr>
            <w:tcW w:type="dxa" w:w="3360"/>
            <w:vAlign w:val="top"/>
            <w:tcMar>
              <w:top w:w="70" w:type="dxa"/>
              <w:start w:w="90" w:type="dxa"/>
              <w:bottom w:w="70" w:type="dxa"/>
              <w:end w:w="90" w:type="dxa"/>
            </w:tcMar>
            <w:shd w:fill="F7F9FB"/>
          </w:tcPr>
          <w:p>
            <w:pPr>
              <w:spacing w:after="0"/>
            </w:pPr>
            <w:r>
              <w:rPr>
                <w:rFonts w:ascii="Liberation Sans" w:hAnsi="Liberation Sans"/>
                <w:sz w:val="15"/>
              </w:rPr>
              <w:t>Impact agent</w:t>
            </w:r>
          </w:p>
        </w:tc>
        <w:tc>
          <w:tcPr>
            <w:tcW w:type="dxa" w:w="3360"/>
            <w:vAlign w:val="top"/>
            <w:tcMar>
              <w:top w:w="70" w:type="dxa"/>
              <w:start w:w="90" w:type="dxa"/>
              <w:bottom w:w="70" w:type="dxa"/>
              <w:end w:w="90" w:type="dxa"/>
            </w:tcMar>
            <w:shd w:fill="F7F9FB"/>
          </w:tcPr>
          <w:p>
            <w:pPr>
              <w:spacing w:after="0"/>
            </w:pPr>
            <w:r>
              <w:rPr>
                <w:rFonts w:ascii="Liberation Sans" w:hAnsi="Liberation Sans"/>
                <w:sz w:val="15"/>
              </w:rPr>
              <w:t>query graph/UDM/rules/results to identify affected data/products</w:t>
            </w:r>
          </w:p>
        </w:tc>
        <w:tc>
          <w:tcPr>
            <w:tcW w:type="dxa" w:w="3360"/>
            <w:vAlign w:val="top"/>
            <w:tcMar>
              <w:top w:w="70" w:type="dxa"/>
              <w:start w:w="90" w:type="dxa"/>
              <w:bottom w:w="70" w:type="dxa"/>
              <w:end w:w="90" w:type="dxa"/>
            </w:tcMar>
            <w:shd w:fill="F7F9FB"/>
          </w:tcPr>
          <w:p>
            <w:pPr>
              <w:spacing w:after="0"/>
            </w:pPr>
            <w:r>
              <w:rPr>
                <w:rFonts w:ascii="Liberation Sans" w:hAnsi="Liberation Sans"/>
                <w:sz w:val="15"/>
              </w:rPr>
              <w:t>calculate RWA itself</w:t>
            </w:r>
          </w:p>
        </w:tc>
      </w:tr>
      <w:tr>
        <w:tc>
          <w:tcPr>
            <w:tcW w:type="dxa" w:w="3360"/>
            <w:vAlign w:val="top"/>
            <w:tcMar>
              <w:top w:w="70" w:type="dxa"/>
              <w:start w:w="90" w:type="dxa"/>
              <w:bottom w:w="70" w:type="dxa"/>
              <w:end w:w="90" w:type="dxa"/>
            </w:tcMar>
          </w:tcPr>
          <w:p>
            <w:pPr>
              <w:spacing w:after="0"/>
            </w:pPr>
            <w:r>
              <w:rPr>
                <w:rFonts w:ascii="Liberation Sans" w:hAnsi="Liberation Sans"/>
                <w:sz w:val="15"/>
              </w:rPr>
              <w:t>RWA investigator</w:t>
            </w:r>
          </w:p>
        </w:tc>
        <w:tc>
          <w:tcPr>
            <w:tcW w:type="dxa" w:w="3360"/>
            <w:vAlign w:val="top"/>
            <w:tcMar>
              <w:top w:w="70" w:type="dxa"/>
              <w:start w:w="90" w:type="dxa"/>
              <w:bottom w:w="70" w:type="dxa"/>
              <w:end w:w="90" w:type="dxa"/>
            </w:tcMar>
          </w:tcPr>
          <w:p>
            <w:pPr>
              <w:spacing w:after="0"/>
            </w:pPr>
            <w:r>
              <w:rPr>
                <w:rFonts w:ascii="Liberation Sans" w:hAnsi="Liberation Sans"/>
                <w:sz w:val="15"/>
              </w:rPr>
              <w:t>explain deterministic deltas and reconcile differences</w:t>
            </w:r>
          </w:p>
        </w:tc>
        <w:tc>
          <w:tcPr>
            <w:tcW w:type="dxa" w:w="3360"/>
            <w:vAlign w:val="top"/>
            <w:tcMar>
              <w:top w:w="70" w:type="dxa"/>
              <w:start w:w="90" w:type="dxa"/>
              <w:bottom w:w="70" w:type="dxa"/>
              <w:end w:w="90" w:type="dxa"/>
            </w:tcMar>
          </w:tcPr>
          <w:p>
            <w:pPr>
              <w:spacing w:after="0"/>
            </w:pPr>
            <w:r>
              <w:rPr>
                <w:rFonts w:ascii="Liberation Sans" w:hAnsi="Liberation Sans"/>
                <w:sz w:val="15"/>
              </w:rPr>
              <w:t>change input/results</w:t>
            </w:r>
          </w:p>
        </w:tc>
      </w:tr>
      <w:tr>
        <w:tc>
          <w:tcPr>
            <w:tcW w:type="dxa" w:w="3360"/>
            <w:vAlign w:val="top"/>
            <w:tcMar>
              <w:top w:w="70" w:type="dxa"/>
              <w:start w:w="90" w:type="dxa"/>
              <w:bottom w:w="70" w:type="dxa"/>
              <w:end w:w="90" w:type="dxa"/>
            </w:tcMar>
            <w:shd w:fill="F7F9FB"/>
          </w:tcPr>
          <w:p>
            <w:pPr>
              <w:spacing w:after="0"/>
            </w:pPr>
            <w:r>
              <w:rPr>
                <w:rFonts w:ascii="Liberation Sans" w:hAnsi="Liberation Sans"/>
                <w:sz w:val="15"/>
              </w:rPr>
              <w:t>Test generator</w:t>
            </w:r>
          </w:p>
        </w:tc>
        <w:tc>
          <w:tcPr>
            <w:tcW w:type="dxa" w:w="3360"/>
            <w:vAlign w:val="top"/>
            <w:tcMar>
              <w:top w:w="70" w:type="dxa"/>
              <w:start w:w="90" w:type="dxa"/>
              <w:bottom w:w="70" w:type="dxa"/>
              <w:end w:w="90" w:type="dxa"/>
            </w:tcMar>
            <w:shd w:fill="F7F9FB"/>
          </w:tcPr>
          <w:p>
            <w:pPr>
              <w:spacing w:after="0"/>
            </w:pPr>
            <w:r>
              <w:rPr>
                <w:rFonts w:ascii="Liberation Sans" w:hAnsi="Liberation Sans"/>
                <w:sz w:val="15"/>
              </w:rPr>
              <w:t>propose scenarios and edge cases</w:t>
            </w:r>
          </w:p>
        </w:tc>
        <w:tc>
          <w:tcPr>
            <w:tcW w:type="dxa" w:w="3360"/>
            <w:vAlign w:val="top"/>
            <w:tcMar>
              <w:top w:w="70" w:type="dxa"/>
              <w:start w:w="90" w:type="dxa"/>
              <w:bottom w:w="70" w:type="dxa"/>
              <w:end w:w="90" w:type="dxa"/>
            </w:tcMar>
            <w:shd w:fill="F7F9FB"/>
          </w:tcPr>
          <w:p>
            <w:pPr>
              <w:spacing w:after="0"/>
            </w:pPr>
            <w:r>
              <w:rPr>
                <w:rFonts w:ascii="Liberation Sans" w:hAnsi="Liberation Sans"/>
                <w:sz w:val="15"/>
              </w:rPr>
              <w:t>set expected numeric result without deterministic verification</w:t>
            </w:r>
          </w:p>
        </w:tc>
      </w:tr>
      <w:tr>
        <w:tc>
          <w:tcPr>
            <w:tcW w:type="dxa" w:w="3360"/>
            <w:vAlign w:val="top"/>
            <w:tcMar>
              <w:top w:w="70" w:type="dxa"/>
              <w:start w:w="90" w:type="dxa"/>
              <w:bottom w:w="70" w:type="dxa"/>
              <w:end w:w="90" w:type="dxa"/>
            </w:tcMar>
          </w:tcPr>
          <w:p>
            <w:pPr>
              <w:spacing w:after="0"/>
            </w:pPr>
            <w:r>
              <w:rPr>
                <w:rFonts w:ascii="Liberation Sans" w:hAnsi="Liberation Sans"/>
                <w:sz w:val="15"/>
              </w:rPr>
              <w:t>Evidence/report agent</w:t>
            </w:r>
          </w:p>
        </w:tc>
        <w:tc>
          <w:tcPr>
            <w:tcW w:type="dxa" w:w="3360"/>
            <w:vAlign w:val="top"/>
            <w:tcMar>
              <w:top w:w="70" w:type="dxa"/>
              <w:start w:w="90" w:type="dxa"/>
              <w:bottom w:w="70" w:type="dxa"/>
              <w:end w:w="90" w:type="dxa"/>
            </w:tcMar>
          </w:tcPr>
          <w:p>
            <w:pPr>
              <w:spacing w:after="0"/>
            </w:pPr>
            <w:r>
              <w:rPr>
                <w:rFonts w:ascii="Liberation Sans" w:hAnsi="Liberation Sans"/>
                <w:sz w:val="15"/>
              </w:rPr>
              <w:t>assemble audit/implementation narratives</w:t>
            </w:r>
          </w:p>
        </w:tc>
        <w:tc>
          <w:tcPr>
            <w:tcW w:type="dxa" w:w="3360"/>
            <w:vAlign w:val="top"/>
            <w:tcMar>
              <w:top w:w="70" w:type="dxa"/>
              <w:start w:w="90" w:type="dxa"/>
              <w:bottom w:w="70" w:type="dxa"/>
              <w:end w:w="90" w:type="dxa"/>
            </w:tcMar>
          </w:tcPr>
          <w:p>
            <w:pPr>
              <w:spacing w:after="0"/>
            </w:pPr>
            <w:r>
              <w:rPr>
                <w:rFonts w:ascii="Liberation Sans" w:hAnsi="Liberation Sans"/>
                <w:sz w:val="15"/>
              </w:rPr>
              <w:t>omit source/version provenance</w:t>
            </w:r>
          </w:p>
        </w:tc>
      </w:tr>
    </w:tbl>
    <w:p>
      <w:pPr>
        <w:spacing w:after="20"/>
      </w:pPr>
    </w:p>
    <w:p>
      <w:pPr>
        <w:pStyle w:val="Heading2"/>
      </w:pPr>
      <w:r>
        <w:t>9.2 Safe data boundary</w:t>
      </w:r>
    </w:p>
    <w:p>
      <w:r>
        <w:rPr>
          <w:rFonts w:ascii="Liberation Sans" w:hAnsi="Liberation Sans"/>
          <w:sz w:val="19"/>
        </w:rPr>
        <w:t>Do not send a full raw bank portfolio to an external LLM. Deterministic compute should reduce portfolio data to material aggregates, exceptions, rule references and selected evidence. Where institutions require it, support private/VPC-hosted models or no-external-LLM operation.</w:t>
      </w:r>
    </w:p>
    <w:p>
      <w:pPr>
        <w:pStyle w:val="Heading2"/>
      </w:pPr>
      <w:r>
        <w:t>9.3 Human approval gates</w:t>
      </w:r>
    </w:p>
    <w:p>
      <w:pPr>
        <w:pStyle w:val="ListBullet"/>
        <w:spacing w:after="40"/>
      </w:pPr>
      <w:r>
        <w:rPr>
          <w:rFonts w:ascii="Liberation Sans" w:hAnsi="Liberation Sans"/>
          <w:sz w:val="18"/>
        </w:rPr>
        <w:t>Regulatory source onboarding / mapping approval.</w:t>
      </w:r>
    </w:p>
    <w:p>
      <w:pPr>
        <w:pStyle w:val="ListBullet"/>
        <w:spacing w:after="40"/>
      </w:pPr>
      <w:r>
        <w:rPr>
          <w:rFonts w:ascii="Liberation Sans" w:hAnsi="Liberation Sans"/>
          <w:sz w:val="18"/>
        </w:rPr>
        <w:t>Rule implementation approval and four-eyes review.</w:t>
      </w:r>
    </w:p>
    <w:p>
      <w:pPr>
        <w:pStyle w:val="ListBullet"/>
        <w:spacing w:after="40"/>
      </w:pPr>
      <w:r>
        <w:rPr>
          <w:rFonts w:ascii="Liberation Sans" w:hAnsi="Liberation Sans"/>
          <w:sz w:val="18"/>
        </w:rPr>
        <w:t>Golden expected-result approval.</w:t>
      </w:r>
    </w:p>
    <w:p>
      <w:pPr>
        <w:pStyle w:val="ListBullet"/>
        <w:spacing w:after="40"/>
      </w:pPr>
      <w:r>
        <w:rPr>
          <w:rFonts w:ascii="Liberation Sans" w:hAnsi="Liberation Sans"/>
          <w:sz w:val="18"/>
        </w:rPr>
        <w:t>AI-proposed applicability or change-impact approval where material.</w:t>
      </w:r>
    </w:p>
    <w:p>
      <w:pPr>
        <w:pStyle w:val="ListBullet"/>
        <w:spacing w:after="40"/>
      </w:pPr>
      <w:r>
        <w:rPr>
          <w:rFonts w:ascii="Liberation Sans" w:hAnsi="Liberation Sans"/>
          <w:sz w:val="18"/>
        </w:rPr>
        <w:t>Production ruleset promotion approval.</w:t>
      </w:r>
    </w:p>
    <w:p>
      <w:pPr>
        <w:pStyle w:val="ListBullet"/>
        <w:spacing w:after="40"/>
      </w:pPr>
      <w:r>
        <w:rPr>
          <w:rFonts w:ascii="Liberation Sans" w:hAnsi="Liberation Sans"/>
          <w:sz w:val="18"/>
        </w:rPr>
        <w:t>Any override or remediation affecting reported results.</w:t>
      </w:r>
    </w:p>
    <w:p>
      <w:r>
        <w:br w:type="page"/>
      </w:r>
    </w:p>
    <w:p>
      <w:pPr>
        <w:pStyle w:val="Heading1"/>
      </w:pPr>
      <w:r>
        <w:t>10. Reporting and regulatory-change lifecycle</w:t>
      </w:r>
    </w:p>
    <w:p>
      <w:pPr>
        <w:pStyle w:val="Heading2"/>
      </w:pPr>
      <w:r>
        <w:t>10.1 Reporting as a separate versioned layer</w:t>
      </w:r>
    </w:p>
    <w:p>
      <w:r>
        <w:rPr>
          <w:rFonts w:ascii="Liberation Sans" w:hAnsi="Liberation Sans"/>
          <w:sz w:val="19"/>
        </w:rPr>
        <w:t>Keep reporting mappings separate from calculation logic. An exposure calculation should produce canonical results and lineage; report packs map those results into FFIEC/COREP/Q17/UAE forms by version. This prevents regulatory form changes from destabilizing core RWA logic.</w:t>
      </w:r>
    </w:p>
    <w:p>
      <w:r>
        <w:rPr>
          <w:rFonts w:ascii="Liberation Sans" w:hAnsi="Liberation Sans"/>
          <w:sz w:val="19"/>
        </w:rPr>
        <w:t>The current FFIEC 101 layer is a valuable starting asset but must be explicitly versioned because FFIEC 101 remains tied to the current Advanced Capital Adequacy Framework as of June 2026. [R3]</w:t>
      </w:r>
    </w:p>
    <w:p>
      <w:pPr>
        <w:pStyle w:val="Heading2"/>
      </w:pPr>
      <w:r>
        <w:t>10.2 End-to-end change lifecycle</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shd w:fill="17365D"/>
            <w:tcMar>
              <w:top w:w="70" w:type="dxa"/>
              <w:start w:w="90" w:type="dxa"/>
              <w:bottom w:w="70" w:type="dxa"/>
              <w:end w:w="90" w:type="dxa"/>
            </w:tcMar>
          </w:tcPr>
          <w:p>
            <w:r>
              <w:rPr>
                <w:b/>
                <w:color w:val="FFFFFF"/>
                <w:sz w:val="15"/>
              </w:rPr>
              <w:t>Stage</w:t>
            </w:r>
          </w:p>
        </w:tc>
        <w:tc>
          <w:tcPr>
            <w:tcW w:type="dxa" w:w="3360"/>
            <w:shd w:fill="17365D"/>
            <w:tcMar>
              <w:top w:w="70" w:type="dxa"/>
              <w:start w:w="90" w:type="dxa"/>
              <w:bottom w:w="70" w:type="dxa"/>
              <w:end w:w="90" w:type="dxa"/>
            </w:tcMar>
          </w:tcPr>
          <w:p>
            <w:r>
              <w:rPr>
                <w:b/>
                <w:color w:val="FFFFFF"/>
                <w:sz w:val="15"/>
              </w:rPr>
              <w:t>System action</w:t>
            </w:r>
          </w:p>
        </w:tc>
        <w:tc>
          <w:tcPr>
            <w:tcW w:type="dxa" w:w="3360"/>
            <w:shd w:fill="17365D"/>
            <w:tcMar>
              <w:top w:w="70" w:type="dxa"/>
              <w:start w:w="90" w:type="dxa"/>
              <w:bottom w:w="70" w:type="dxa"/>
              <w:end w:w="90" w:type="dxa"/>
            </w:tcMar>
          </w:tcPr>
          <w:p>
            <w:r>
              <w:rPr>
                <w:b/>
                <w:color w:val="FFFFFF"/>
                <w:sz w:val="15"/>
              </w:rPr>
              <w:t>Evidence produced</w:t>
            </w:r>
          </w:p>
        </w:tc>
      </w:tr>
      <w:tr>
        <w:tc>
          <w:tcPr>
            <w:tcW w:type="dxa" w:w="3360"/>
            <w:vAlign w:val="top"/>
            <w:tcMar>
              <w:top w:w="70" w:type="dxa"/>
              <w:start w:w="90" w:type="dxa"/>
              <w:bottom w:w="70" w:type="dxa"/>
              <w:end w:w="90" w:type="dxa"/>
            </w:tcMar>
          </w:tcPr>
          <w:p>
            <w:pPr>
              <w:spacing w:after="0"/>
            </w:pPr>
            <w:r>
              <w:rPr>
                <w:rFonts w:ascii="Liberation Sans" w:hAnsi="Liberation Sans"/>
                <w:sz w:val="15"/>
              </w:rPr>
              <w:t>Detect</w:t>
            </w:r>
          </w:p>
        </w:tc>
        <w:tc>
          <w:tcPr>
            <w:tcW w:type="dxa" w:w="3360"/>
            <w:vAlign w:val="top"/>
            <w:tcMar>
              <w:top w:w="70" w:type="dxa"/>
              <w:start w:w="90" w:type="dxa"/>
              <w:bottom w:w="70" w:type="dxa"/>
              <w:end w:w="90" w:type="dxa"/>
            </w:tcMar>
          </w:tcPr>
          <w:p>
            <w:pPr>
              <w:spacing w:after="0"/>
            </w:pPr>
            <w:r>
              <w:rPr>
                <w:rFonts w:ascii="Liberation Sans" w:hAnsi="Liberation Sans"/>
                <w:sz w:val="15"/>
              </w:rPr>
              <w:t>Identify new official document / status change</w:t>
            </w:r>
          </w:p>
        </w:tc>
        <w:tc>
          <w:tcPr>
            <w:tcW w:type="dxa" w:w="3360"/>
            <w:vAlign w:val="top"/>
            <w:tcMar>
              <w:top w:w="70" w:type="dxa"/>
              <w:start w:w="90" w:type="dxa"/>
              <w:bottom w:w="70" w:type="dxa"/>
              <w:end w:w="90" w:type="dxa"/>
            </w:tcMar>
          </w:tcPr>
          <w:p>
            <w:pPr>
              <w:spacing w:after="0"/>
            </w:pPr>
            <w:r>
              <w:rPr>
                <w:rFonts w:ascii="Liberation Sans" w:hAnsi="Liberation Sans"/>
                <w:sz w:val="15"/>
              </w:rPr>
              <w:t>source URL, hash, publication metadata</w:t>
            </w:r>
          </w:p>
        </w:tc>
      </w:tr>
      <w:tr>
        <w:tc>
          <w:tcPr>
            <w:tcW w:type="dxa" w:w="3360"/>
            <w:vAlign w:val="top"/>
            <w:tcMar>
              <w:top w:w="70" w:type="dxa"/>
              <w:start w:w="90" w:type="dxa"/>
              <w:bottom w:w="70" w:type="dxa"/>
              <w:end w:w="90" w:type="dxa"/>
            </w:tcMar>
            <w:shd w:fill="F7F9FB"/>
          </w:tcPr>
          <w:p>
            <w:pPr>
              <w:spacing w:after="0"/>
            </w:pPr>
            <w:r>
              <w:rPr>
                <w:rFonts w:ascii="Liberation Sans" w:hAnsi="Liberation Sans"/>
                <w:sz w:val="15"/>
              </w:rPr>
              <w:t>Interpret</w:t>
            </w:r>
          </w:p>
        </w:tc>
        <w:tc>
          <w:tcPr>
            <w:tcW w:type="dxa" w:w="3360"/>
            <w:vAlign w:val="top"/>
            <w:tcMar>
              <w:top w:w="70" w:type="dxa"/>
              <w:start w:w="90" w:type="dxa"/>
              <w:bottom w:w="70" w:type="dxa"/>
              <w:end w:w="90" w:type="dxa"/>
            </w:tcMar>
            <w:shd w:fill="F7F9FB"/>
          </w:tcPr>
          <w:p>
            <w:pPr>
              <w:spacing w:after="0"/>
            </w:pPr>
            <w:r>
              <w:rPr>
                <w:rFonts w:ascii="Liberation Sans" w:hAnsi="Liberation Sans"/>
                <w:sz w:val="15"/>
              </w:rPr>
              <w:t>Extract/compare regulatory provisions</w:t>
            </w:r>
          </w:p>
        </w:tc>
        <w:tc>
          <w:tcPr>
            <w:tcW w:type="dxa" w:w="3360"/>
            <w:vAlign w:val="top"/>
            <w:tcMar>
              <w:top w:w="70" w:type="dxa"/>
              <w:start w:w="90" w:type="dxa"/>
              <w:bottom w:w="70" w:type="dxa"/>
              <w:end w:w="90" w:type="dxa"/>
            </w:tcMar>
            <w:shd w:fill="F7F9FB"/>
          </w:tcPr>
          <w:p>
            <w:pPr>
              <w:spacing w:after="0"/>
            </w:pPr>
            <w:r>
              <w:rPr>
                <w:rFonts w:ascii="Liberation Sans" w:hAnsi="Liberation Sans"/>
                <w:sz w:val="15"/>
              </w:rPr>
              <w:t>rule diff + citations</w:t>
            </w:r>
          </w:p>
        </w:tc>
      </w:tr>
      <w:tr>
        <w:tc>
          <w:tcPr>
            <w:tcW w:type="dxa" w:w="3360"/>
            <w:vAlign w:val="top"/>
            <w:tcMar>
              <w:top w:w="70" w:type="dxa"/>
              <w:start w:w="90" w:type="dxa"/>
              <w:bottom w:w="70" w:type="dxa"/>
              <w:end w:w="90" w:type="dxa"/>
            </w:tcMar>
          </w:tcPr>
          <w:p>
            <w:pPr>
              <w:spacing w:after="0"/>
            </w:pPr>
            <w:r>
              <w:rPr>
                <w:rFonts w:ascii="Liberation Sans" w:hAnsi="Liberation Sans"/>
                <w:sz w:val="15"/>
              </w:rPr>
              <w:t>Crosswalk</w:t>
            </w:r>
          </w:p>
        </w:tc>
        <w:tc>
          <w:tcPr>
            <w:tcW w:type="dxa" w:w="3360"/>
            <w:vAlign w:val="top"/>
            <w:tcMar>
              <w:top w:w="70" w:type="dxa"/>
              <w:start w:w="90" w:type="dxa"/>
              <w:bottom w:w="70" w:type="dxa"/>
              <w:end w:w="90" w:type="dxa"/>
            </w:tcMar>
          </w:tcPr>
          <w:p>
            <w:pPr>
              <w:spacing w:after="0"/>
            </w:pPr>
            <w:r>
              <w:rPr>
                <w:rFonts w:ascii="Liberation Sans" w:hAnsi="Liberation Sans"/>
                <w:sz w:val="15"/>
              </w:rPr>
              <w:t>Map to BCBS and prior jurisdiction rules</w:t>
            </w:r>
          </w:p>
        </w:tc>
        <w:tc>
          <w:tcPr>
            <w:tcW w:type="dxa" w:w="3360"/>
            <w:vAlign w:val="top"/>
            <w:tcMar>
              <w:top w:w="70" w:type="dxa"/>
              <w:start w:w="90" w:type="dxa"/>
              <w:bottom w:w="70" w:type="dxa"/>
              <w:end w:w="90" w:type="dxa"/>
            </w:tcMar>
          </w:tcPr>
          <w:p>
            <w:pPr>
              <w:spacing w:after="0"/>
            </w:pPr>
            <w:r>
              <w:rPr>
                <w:rFonts w:ascii="Liberation Sans" w:hAnsi="Liberation Sans"/>
                <w:sz w:val="15"/>
              </w:rPr>
              <w:t>crosswalk and reviewer</w:t>
            </w:r>
          </w:p>
        </w:tc>
      </w:tr>
      <w:tr>
        <w:tc>
          <w:tcPr>
            <w:tcW w:type="dxa" w:w="3360"/>
            <w:vAlign w:val="top"/>
            <w:tcMar>
              <w:top w:w="70" w:type="dxa"/>
              <w:start w:w="90" w:type="dxa"/>
              <w:bottom w:w="70" w:type="dxa"/>
              <w:end w:w="90" w:type="dxa"/>
            </w:tcMar>
            <w:shd w:fill="F7F9FB"/>
          </w:tcPr>
          <w:p>
            <w:pPr>
              <w:spacing w:after="0"/>
            </w:pPr>
            <w:r>
              <w:rPr>
                <w:rFonts w:ascii="Liberation Sans" w:hAnsi="Liberation Sans"/>
                <w:sz w:val="15"/>
              </w:rPr>
              <w:t>Applicability</w:t>
            </w:r>
          </w:p>
        </w:tc>
        <w:tc>
          <w:tcPr>
            <w:tcW w:type="dxa" w:w="3360"/>
            <w:vAlign w:val="top"/>
            <w:tcMar>
              <w:top w:w="70" w:type="dxa"/>
              <w:start w:w="90" w:type="dxa"/>
              <w:bottom w:w="70" w:type="dxa"/>
              <w:end w:w="90" w:type="dxa"/>
            </w:tcMar>
            <w:shd w:fill="F7F9FB"/>
          </w:tcPr>
          <w:p>
            <w:pPr>
              <w:spacing w:after="0"/>
            </w:pPr>
            <w:r>
              <w:rPr>
                <w:rFonts w:ascii="Liberation Sans" w:hAnsi="Liberation Sans"/>
                <w:sz w:val="15"/>
              </w:rPr>
              <w:t>Resolve affected entities/products/exposures</w:t>
            </w:r>
          </w:p>
        </w:tc>
        <w:tc>
          <w:tcPr>
            <w:tcW w:type="dxa" w:w="3360"/>
            <w:vAlign w:val="top"/>
            <w:tcMar>
              <w:top w:w="70" w:type="dxa"/>
              <w:start w:w="90" w:type="dxa"/>
              <w:bottom w:w="70" w:type="dxa"/>
              <w:end w:w="90" w:type="dxa"/>
            </w:tcMar>
            <w:shd w:fill="F7F9FB"/>
          </w:tcPr>
          <w:p>
            <w:pPr>
              <w:spacing w:after="0"/>
            </w:pPr>
            <w:r>
              <w:rPr>
                <w:rFonts w:ascii="Liberation Sans" w:hAnsi="Liberation Sans"/>
                <w:sz w:val="15"/>
              </w:rPr>
              <w:t>applicability decision</w:t>
            </w:r>
          </w:p>
        </w:tc>
      </w:tr>
      <w:tr>
        <w:tc>
          <w:tcPr>
            <w:tcW w:type="dxa" w:w="3360"/>
            <w:vAlign w:val="top"/>
            <w:tcMar>
              <w:top w:w="70" w:type="dxa"/>
              <w:start w:w="90" w:type="dxa"/>
              <w:bottom w:w="70" w:type="dxa"/>
              <w:end w:w="90" w:type="dxa"/>
            </w:tcMar>
          </w:tcPr>
          <w:p>
            <w:pPr>
              <w:spacing w:after="0"/>
            </w:pPr>
            <w:r>
              <w:rPr>
                <w:rFonts w:ascii="Liberation Sans" w:hAnsi="Liberation Sans"/>
                <w:sz w:val="15"/>
              </w:rPr>
              <w:t>Data impact</w:t>
            </w:r>
          </w:p>
        </w:tc>
        <w:tc>
          <w:tcPr>
            <w:tcW w:type="dxa" w:w="3360"/>
            <w:vAlign w:val="top"/>
            <w:tcMar>
              <w:top w:w="70" w:type="dxa"/>
              <w:start w:w="90" w:type="dxa"/>
              <w:bottom w:w="70" w:type="dxa"/>
              <w:end w:w="90" w:type="dxa"/>
            </w:tcMar>
          </w:tcPr>
          <w:p>
            <w:pPr>
              <w:spacing w:after="0"/>
            </w:pPr>
            <w:r>
              <w:rPr>
                <w:rFonts w:ascii="Liberation Sans" w:hAnsi="Liberation Sans"/>
                <w:sz w:val="15"/>
              </w:rPr>
              <w:t>Identify required UDM fields/data gaps</w:t>
            </w:r>
          </w:p>
        </w:tc>
        <w:tc>
          <w:tcPr>
            <w:tcW w:type="dxa" w:w="3360"/>
            <w:vAlign w:val="top"/>
            <w:tcMar>
              <w:top w:w="70" w:type="dxa"/>
              <w:start w:w="90" w:type="dxa"/>
              <w:bottom w:w="70" w:type="dxa"/>
              <w:end w:w="90" w:type="dxa"/>
            </w:tcMar>
          </w:tcPr>
          <w:p>
            <w:pPr>
              <w:spacing w:after="0"/>
            </w:pPr>
            <w:r>
              <w:rPr>
                <w:rFonts w:ascii="Liberation Sans" w:hAnsi="Liberation Sans"/>
                <w:sz w:val="15"/>
              </w:rPr>
              <w:t>field impact/readiness report</w:t>
            </w:r>
          </w:p>
        </w:tc>
      </w:tr>
      <w:tr>
        <w:tc>
          <w:tcPr>
            <w:tcW w:type="dxa" w:w="3360"/>
            <w:vAlign w:val="top"/>
            <w:tcMar>
              <w:top w:w="70" w:type="dxa"/>
              <w:start w:w="90" w:type="dxa"/>
              <w:bottom w:w="70" w:type="dxa"/>
              <w:end w:w="90" w:type="dxa"/>
            </w:tcMar>
            <w:shd w:fill="F7F9FB"/>
          </w:tcPr>
          <w:p>
            <w:pPr>
              <w:spacing w:after="0"/>
            </w:pPr>
            <w:r>
              <w:rPr>
                <w:rFonts w:ascii="Liberation Sans" w:hAnsi="Liberation Sans"/>
                <w:sz w:val="15"/>
              </w:rPr>
              <w:t>Rule impact</w:t>
            </w:r>
          </w:p>
        </w:tc>
        <w:tc>
          <w:tcPr>
            <w:tcW w:type="dxa" w:w="3360"/>
            <w:vAlign w:val="top"/>
            <w:tcMar>
              <w:top w:w="70" w:type="dxa"/>
              <w:start w:w="90" w:type="dxa"/>
              <w:bottom w:w="70" w:type="dxa"/>
              <w:end w:w="90" w:type="dxa"/>
            </w:tcMar>
            <w:shd w:fill="F7F9FB"/>
          </w:tcPr>
          <w:p>
            <w:pPr>
              <w:spacing w:after="0"/>
            </w:pPr>
            <w:r>
              <w:rPr>
                <w:rFonts w:ascii="Liberation Sans" w:hAnsi="Liberation Sans"/>
                <w:sz w:val="15"/>
              </w:rPr>
              <w:t>Identify changed calculation components</w:t>
            </w:r>
          </w:p>
        </w:tc>
        <w:tc>
          <w:tcPr>
            <w:tcW w:type="dxa" w:w="3360"/>
            <w:vAlign w:val="top"/>
            <w:tcMar>
              <w:top w:w="70" w:type="dxa"/>
              <w:start w:w="90" w:type="dxa"/>
              <w:bottom w:w="70" w:type="dxa"/>
              <w:end w:w="90" w:type="dxa"/>
            </w:tcMar>
            <w:shd w:fill="F7F9FB"/>
          </w:tcPr>
          <w:p>
            <w:pPr>
              <w:spacing w:after="0"/>
            </w:pPr>
            <w:r>
              <w:rPr>
                <w:rFonts w:ascii="Liberation Sans" w:hAnsi="Liberation Sans"/>
                <w:sz w:val="15"/>
              </w:rPr>
              <w:t>rule implementation backlog</w:t>
            </w:r>
          </w:p>
        </w:tc>
      </w:tr>
      <w:tr>
        <w:tc>
          <w:tcPr>
            <w:tcW w:type="dxa" w:w="3360"/>
            <w:vAlign w:val="top"/>
            <w:tcMar>
              <w:top w:w="70" w:type="dxa"/>
              <w:start w:w="90" w:type="dxa"/>
              <w:bottom w:w="70" w:type="dxa"/>
              <w:end w:w="90" w:type="dxa"/>
            </w:tcMar>
          </w:tcPr>
          <w:p>
            <w:pPr>
              <w:spacing w:after="0"/>
            </w:pPr>
            <w:r>
              <w:rPr>
                <w:rFonts w:ascii="Liberation Sans" w:hAnsi="Liberation Sans"/>
                <w:sz w:val="15"/>
              </w:rPr>
              <w:t>Execute</w:t>
            </w:r>
          </w:p>
        </w:tc>
        <w:tc>
          <w:tcPr>
            <w:tcW w:type="dxa" w:w="3360"/>
            <w:vAlign w:val="top"/>
            <w:tcMar>
              <w:top w:w="70" w:type="dxa"/>
              <w:start w:w="90" w:type="dxa"/>
              <w:bottom w:w="70" w:type="dxa"/>
              <w:end w:w="90" w:type="dxa"/>
            </w:tcMar>
          </w:tcPr>
          <w:p>
            <w:pPr>
              <w:spacing w:after="0"/>
            </w:pPr>
            <w:r>
              <w:rPr>
                <w:rFonts w:ascii="Liberation Sans" w:hAnsi="Liberation Sans"/>
                <w:sz w:val="15"/>
              </w:rPr>
              <w:t>Run old/new rulesets</w:t>
            </w:r>
          </w:p>
        </w:tc>
        <w:tc>
          <w:tcPr>
            <w:tcW w:type="dxa" w:w="3360"/>
            <w:vAlign w:val="top"/>
            <w:tcMar>
              <w:top w:w="70" w:type="dxa"/>
              <w:start w:w="90" w:type="dxa"/>
              <w:bottom w:w="70" w:type="dxa"/>
              <w:end w:w="90" w:type="dxa"/>
            </w:tcMar>
          </w:tcPr>
          <w:p>
            <w:pPr>
              <w:spacing w:after="0"/>
            </w:pPr>
            <w:r>
              <w:rPr>
                <w:rFonts w:ascii="Liberation Sans" w:hAnsi="Liberation Sans"/>
                <w:sz w:val="15"/>
              </w:rPr>
              <w:t>exposure-level current/proposed results</w:t>
            </w:r>
          </w:p>
        </w:tc>
      </w:tr>
      <w:tr>
        <w:tc>
          <w:tcPr>
            <w:tcW w:type="dxa" w:w="3360"/>
            <w:vAlign w:val="top"/>
            <w:tcMar>
              <w:top w:w="70" w:type="dxa"/>
              <w:start w:w="90" w:type="dxa"/>
              <w:bottom w:w="70" w:type="dxa"/>
              <w:end w:w="90" w:type="dxa"/>
            </w:tcMar>
            <w:shd w:fill="F7F9FB"/>
          </w:tcPr>
          <w:p>
            <w:pPr>
              <w:spacing w:after="0"/>
            </w:pPr>
            <w:r>
              <w:rPr>
                <w:rFonts w:ascii="Liberation Sans" w:hAnsi="Liberation Sans"/>
                <w:sz w:val="15"/>
              </w:rPr>
              <w:t>Quantify</w:t>
            </w:r>
          </w:p>
        </w:tc>
        <w:tc>
          <w:tcPr>
            <w:tcW w:type="dxa" w:w="3360"/>
            <w:vAlign w:val="top"/>
            <w:tcMar>
              <w:top w:w="70" w:type="dxa"/>
              <w:start w:w="90" w:type="dxa"/>
              <w:bottom w:w="70" w:type="dxa"/>
              <w:end w:w="90" w:type="dxa"/>
            </w:tcMar>
            <w:shd w:fill="F7F9FB"/>
          </w:tcPr>
          <w:p>
            <w:pPr>
              <w:spacing w:after="0"/>
            </w:pPr>
            <w:r>
              <w:rPr>
                <w:rFonts w:ascii="Liberation Sans" w:hAnsi="Liberation Sans"/>
                <w:sz w:val="15"/>
              </w:rPr>
              <w:t>Compute ΔRWA/Δcapital</w:t>
            </w:r>
          </w:p>
        </w:tc>
        <w:tc>
          <w:tcPr>
            <w:tcW w:type="dxa" w:w="3360"/>
            <w:vAlign w:val="top"/>
            <w:tcMar>
              <w:top w:w="70" w:type="dxa"/>
              <w:start w:w="90" w:type="dxa"/>
              <w:bottom w:w="70" w:type="dxa"/>
              <w:end w:w="90" w:type="dxa"/>
            </w:tcMar>
            <w:shd w:fill="F7F9FB"/>
          </w:tcPr>
          <w:p>
            <w:pPr>
              <w:spacing w:after="0"/>
            </w:pPr>
            <w:r>
              <w:rPr>
                <w:rFonts w:ascii="Liberation Sans" w:hAnsi="Liberation Sans"/>
                <w:sz w:val="15"/>
              </w:rPr>
              <w:t>driver decomposition</w:t>
            </w:r>
          </w:p>
        </w:tc>
      </w:tr>
      <w:tr>
        <w:tc>
          <w:tcPr>
            <w:tcW w:type="dxa" w:w="3360"/>
            <w:vAlign w:val="top"/>
            <w:tcMar>
              <w:top w:w="70" w:type="dxa"/>
              <w:start w:w="90" w:type="dxa"/>
              <w:bottom w:w="70" w:type="dxa"/>
              <w:end w:w="90" w:type="dxa"/>
            </w:tcMar>
          </w:tcPr>
          <w:p>
            <w:pPr>
              <w:spacing w:after="0"/>
            </w:pPr>
            <w:r>
              <w:rPr>
                <w:rFonts w:ascii="Liberation Sans" w:hAnsi="Liberation Sans"/>
                <w:sz w:val="15"/>
              </w:rPr>
              <w:t>Test</w:t>
            </w:r>
          </w:p>
        </w:tc>
        <w:tc>
          <w:tcPr>
            <w:tcW w:type="dxa" w:w="3360"/>
            <w:vAlign w:val="top"/>
            <w:tcMar>
              <w:top w:w="70" w:type="dxa"/>
              <w:start w:w="90" w:type="dxa"/>
              <w:bottom w:w="70" w:type="dxa"/>
              <w:end w:w="90" w:type="dxa"/>
            </w:tcMar>
          </w:tcPr>
          <w:p>
            <w:pPr>
              <w:spacing w:after="0"/>
            </w:pPr>
            <w:r>
              <w:rPr>
                <w:rFonts w:ascii="Liberation Sans" w:hAnsi="Liberation Sans"/>
                <w:sz w:val="15"/>
              </w:rPr>
              <w:t>Generate/run regression and boundary cases</w:t>
            </w:r>
          </w:p>
        </w:tc>
        <w:tc>
          <w:tcPr>
            <w:tcW w:type="dxa" w:w="3360"/>
            <w:vAlign w:val="top"/>
            <w:tcMar>
              <w:top w:w="70" w:type="dxa"/>
              <w:start w:w="90" w:type="dxa"/>
              <w:bottom w:w="70" w:type="dxa"/>
              <w:end w:w="90" w:type="dxa"/>
            </w:tcMar>
          </w:tcPr>
          <w:p>
            <w:pPr>
              <w:spacing w:after="0"/>
            </w:pPr>
            <w:r>
              <w:rPr>
                <w:rFonts w:ascii="Liberation Sans" w:hAnsi="Liberation Sans"/>
                <w:sz w:val="15"/>
              </w:rPr>
              <w:t>test evidence</w:t>
            </w:r>
          </w:p>
        </w:tc>
      </w:tr>
      <w:tr>
        <w:tc>
          <w:tcPr>
            <w:tcW w:type="dxa" w:w="3360"/>
            <w:vAlign w:val="top"/>
            <w:tcMar>
              <w:top w:w="70" w:type="dxa"/>
              <w:start w:w="90" w:type="dxa"/>
              <w:bottom w:w="70" w:type="dxa"/>
              <w:end w:w="90" w:type="dxa"/>
            </w:tcMar>
            <w:shd w:fill="F7F9FB"/>
          </w:tcPr>
          <w:p>
            <w:pPr>
              <w:spacing w:after="0"/>
            </w:pPr>
            <w:r>
              <w:rPr>
                <w:rFonts w:ascii="Liberation Sans" w:hAnsi="Liberation Sans"/>
                <w:sz w:val="15"/>
              </w:rPr>
              <w:t>Report impact</w:t>
            </w:r>
          </w:p>
        </w:tc>
        <w:tc>
          <w:tcPr>
            <w:tcW w:type="dxa" w:w="3360"/>
            <w:vAlign w:val="top"/>
            <w:tcMar>
              <w:top w:w="70" w:type="dxa"/>
              <w:start w:w="90" w:type="dxa"/>
              <w:bottom w:w="70" w:type="dxa"/>
              <w:end w:w="90" w:type="dxa"/>
            </w:tcMar>
            <w:shd w:fill="F7F9FB"/>
          </w:tcPr>
          <w:p>
            <w:pPr>
              <w:spacing w:after="0"/>
            </w:pPr>
            <w:r>
              <w:rPr>
                <w:rFonts w:ascii="Liberation Sans" w:hAnsi="Liberation Sans"/>
                <w:sz w:val="15"/>
              </w:rPr>
              <w:t>Identify changed report cells/mappings</w:t>
            </w:r>
          </w:p>
        </w:tc>
        <w:tc>
          <w:tcPr>
            <w:tcW w:type="dxa" w:w="3360"/>
            <w:vAlign w:val="top"/>
            <w:tcMar>
              <w:top w:w="70" w:type="dxa"/>
              <w:start w:w="90" w:type="dxa"/>
              <w:bottom w:w="70" w:type="dxa"/>
              <w:end w:w="90" w:type="dxa"/>
            </w:tcMar>
            <w:shd w:fill="F7F9FB"/>
          </w:tcPr>
          <w:p>
            <w:pPr>
              <w:spacing w:after="0"/>
            </w:pPr>
            <w:r>
              <w:rPr>
                <w:rFonts w:ascii="Liberation Sans" w:hAnsi="Liberation Sans"/>
                <w:sz w:val="15"/>
              </w:rPr>
              <w:t>report delta</w:t>
            </w:r>
          </w:p>
        </w:tc>
      </w:tr>
      <w:tr>
        <w:tc>
          <w:tcPr>
            <w:tcW w:type="dxa" w:w="3360"/>
            <w:vAlign w:val="top"/>
            <w:tcMar>
              <w:top w:w="70" w:type="dxa"/>
              <w:start w:w="90" w:type="dxa"/>
              <w:bottom w:w="70" w:type="dxa"/>
              <w:end w:w="90" w:type="dxa"/>
            </w:tcMar>
          </w:tcPr>
          <w:p>
            <w:pPr>
              <w:spacing w:after="0"/>
            </w:pPr>
            <w:r>
              <w:rPr>
                <w:rFonts w:ascii="Liberation Sans" w:hAnsi="Liberation Sans"/>
                <w:sz w:val="15"/>
              </w:rPr>
              <w:t>Implement</w:t>
            </w:r>
          </w:p>
        </w:tc>
        <w:tc>
          <w:tcPr>
            <w:tcW w:type="dxa" w:w="3360"/>
            <w:vAlign w:val="top"/>
            <w:tcMar>
              <w:top w:w="70" w:type="dxa"/>
              <w:start w:w="90" w:type="dxa"/>
              <w:bottom w:w="70" w:type="dxa"/>
              <w:end w:w="90" w:type="dxa"/>
            </w:tcMar>
          </w:tcPr>
          <w:p>
            <w:pPr>
              <w:spacing w:after="0"/>
            </w:pPr>
            <w:r>
              <w:rPr>
                <w:rFonts w:ascii="Liberation Sans" w:hAnsi="Liberation Sans"/>
                <w:sz w:val="15"/>
              </w:rPr>
              <w:t>Track code/config/workflow changes</w:t>
            </w:r>
          </w:p>
        </w:tc>
        <w:tc>
          <w:tcPr>
            <w:tcW w:type="dxa" w:w="3360"/>
            <w:vAlign w:val="top"/>
            <w:tcMar>
              <w:top w:w="70" w:type="dxa"/>
              <w:start w:w="90" w:type="dxa"/>
              <w:bottom w:w="70" w:type="dxa"/>
              <w:end w:w="90" w:type="dxa"/>
            </w:tcMar>
          </w:tcPr>
          <w:p>
            <w:pPr>
              <w:spacing w:after="0"/>
            </w:pPr>
            <w:r>
              <w:rPr>
                <w:rFonts w:ascii="Liberation Sans" w:hAnsi="Liberation Sans"/>
                <w:sz w:val="15"/>
              </w:rPr>
              <w:t>tasks/approvals</w:t>
            </w:r>
          </w:p>
        </w:tc>
      </w:tr>
      <w:tr>
        <w:tc>
          <w:tcPr>
            <w:tcW w:type="dxa" w:w="3360"/>
            <w:vAlign w:val="top"/>
            <w:tcMar>
              <w:top w:w="70" w:type="dxa"/>
              <w:start w:w="90" w:type="dxa"/>
              <w:bottom w:w="70" w:type="dxa"/>
              <w:end w:w="90" w:type="dxa"/>
            </w:tcMar>
            <w:shd w:fill="F7F9FB"/>
          </w:tcPr>
          <w:p>
            <w:pPr>
              <w:spacing w:after="0"/>
            </w:pPr>
            <w:r>
              <w:rPr>
                <w:rFonts w:ascii="Liberation Sans" w:hAnsi="Liberation Sans"/>
                <w:sz w:val="15"/>
              </w:rPr>
              <w:t>Go-live</w:t>
            </w:r>
          </w:p>
        </w:tc>
        <w:tc>
          <w:tcPr>
            <w:tcW w:type="dxa" w:w="3360"/>
            <w:vAlign w:val="top"/>
            <w:tcMar>
              <w:top w:w="70" w:type="dxa"/>
              <w:start w:w="90" w:type="dxa"/>
              <w:bottom w:w="70" w:type="dxa"/>
              <w:end w:w="90" w:type="dxa"/>
            </w:tcMar>
            <w:shd w:fill="F7F9FB"/>
          </w:tcPr>
          <w:p>
            <w:pPr>
              <w:spacing w:after="0"/>
            </w:pPr>
            <w:r>
              <w:rPr>
                <w:rFonts w:ascii="Liberation Sans" w:hAnsi="Liberation Sans"/>
                <w:sz w:val="15"/>
              </w:rPr>
              <w:t>Promote final reviewed ruleset</w:t>
            </w:r>
          </w:p>
        </w:tc>
        <w:tc>
          <w:tcPr>
            <w:tcW w:type="dxa" w:w="3360"/>
            <w:vAlign w:val="top"/>
            <w:tcMar>
              <w:top w:w="70" w:type="dxa"/>
              <w:start w:w="90" w:type="dxa"/>
              <w:bottom w:w="70" w:type="dxa"/>
              <w:end w:w="90" w:type="dxa"/>
            </w:tcMar>
            <w:shd w:fill="F7F9FB"/>
          </w:tcPr>
          <w:p>
            <w:pPr>
              <w:spacing w:after="0"/>
            </w:pPr>
            <w:r>
              <w:rPr>
                <w:rFonts w:ascii="Liberation Sans" w:hAnsi="Liberation Sans"/>
                <w:sz w:val="15"/>
              </w:rPr>
              <w:t>release package</w:t>
            </w:r>
          </w:p>
        </w:tc>
      </w:tr>
      <w:tr>
        <w:tc>
          <w:tcPr>
            <w:tcW w:type="dxa" w:w="3360"/>
            <w:vAlign w:val="top"/>
            <w:tcMar>
              <w:top w:w="70" w:type="dxa"/>
              <w:start w:w="90" w:type="dxa"/>
              <w:bottom w:w="70" w:type="dxa"/>
              <w:end w:w="90" w:type="dxa"/>
            </w:tcMar>
          </w:tcPr>
          <w:p>
            <w:pPr>
              <w:spacing w:after="0"/>
            </w:pPr>
            <w:r>
              <w:rPr>
                <w:rFonts w:ascii="Liberation Sans" w:hAnsi="Liberation Sans"/>
                <w:sz w:val="15"/>
              </w:rPr>
              <w:t>Monitor</w:t>
            </w:r>
          </w:p>
        </w:tc>
        <w:tc>
          <w:tcPr>
            <w:tcW w:type="dxa" w:w="3360"/>
            <w:vAlign w:val="top"/>
            <w:tcMar>
              <w:top w:w="70" w:type="dxa"/>
              <w:start w:w="90" w:type="dxa"/>
              <w:bottom w:w="70" w:type="dxa"/>
              <w:end w:w="90" w:type="dxa"/>
            </w:tcMar>
          </w:tcPr>
          <w:p>
            <w:pPr>
              <w:spacing w:after="0"/>
            </w:pPr>
            <w:r>
              <w:rPr>
                <w:rFonts w:ascii="Liberation Sans" w:hAnsi="Liberation Sans"/>
                <w:sz w:val="15"/>
              </w:rPr>
              <w:t>Detect amendments/technical corrections</w:t>
            </w:r>
          </w:p>
        </w:tc>
        <w:tc>
          <w:tcPr>
            <w:tcW w:type="dxa" w:w="3360"/>
            <w:vAlign w:val="top"/>
            <w:tcMar>
              <w:top w:w="70" w:type="dxa"/>
              <w:start w:w="90" w:type="dxa"/>
              <w:bottom w:w="70" w:type="dxa"/>
              <w:end w:w="90" w:type="dxa"/>
            </w:tcMar>
          </w:tcPr>
          <w:p>
            <w:pPr>
              <w:spacing w:after="0"/>
            </w:pPr>
            <w:r>
              <w:rPr>
                <w:rFonts w:ascii="Liberation Sans" w:hAnsi="Liberation Sans"/>
                <w:sz w:val="15"/>
              </w:rPr>
              <w:t>new change event</w:t>
            </w:r>
          </w:p>
        </w:tc>
      </w:tr>
    </w:tbl>
    <w:p>
      <w:pPr>
        <w:spacing w:after="20"/>
      </w:pPr>
    </w:p>
    <w:p>
      <w:r>
        <w:br w:type="page"/>
      </w:r>
    </w:p>
    <w:p>
      <w:pPr>
        <w:pStyle w:val="Heading1"/>
      </w:pPr>
      <w:r>
        <w:t>11. Enterprise architecture, security and deployment</w:t>
      </w:r>
    </w:p>
    <w:p>
      <w:pPr>
        <w:pStyle w:val="Heading2"/>
      </w:pPr>
      <w:r>
        <w:t>11.1 Deployment modes</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tblHeader w:val="true"/>
        </w:trPr>
        <w:tc>
          <w:tcPr>
            <w:tcW w:type="dxa" w:w="2520"/>
            <w:shd w:fill="17365D"/>
            <w:tcMar>
              <w:top w:w="70" w:type="dxa"/>
              <w:start w:w="90" w:type="dxa"/>
              <w:bottom w:w="70" w:type="dxa"/>
              <w:end w:w="90" w:type="dxa"/>
            </w:tcMar>
          </w:tcPr>
          <w:p>
            <w:r>
              <w:rPr>
                <w:b/>
                <w:color w:val="FFFFFF"/>
                <w:sz w:val="16"/>
              </w:rPr>
              <w:t>Mode</w:t>
            </w:r>
          </w:p>
        </w:tc>
        <w:tc>
          <w:tcPr>
            <w:tcW w:type="dxa" w:w="2520"/>
            <w:shd w:fill="17365D"/>
            <w:tcMar>
              <w:top w:w="70" w:type="dxa"/>
              <w:start w:w="90" w:type="dxa"/>
              <w:bottom w:w="70" w:type="dxa"/>
              <w:end w:w="90" w:type="dxa"/>
            </w:tcMar>
          </w:tcPr>
          <w:p>
            <w:r>
              <w:rPr>
                <w:b/>
                <w:color w:val="FFFFFF"/>
                <w:sz w:val="16"/>
              </w:rPr>
              <w:t>Target</w:t>
            </w:r>
          </w:p>
        </w:tc>
        <w:tc>
          <w:tcPr>
            <w:tcW w:type="dxa" w:w="2520"/>
            <w:shd w:fill="17365D"/>
            <w:tcMar>
              <w:top w:w="70" w:type="dxa"/>
              <w:start w:w="90" w:type="dxa"/>
              <w:bottom w:w="70" w:type="dxa"/>
              <w:end w:w="90" w:type="dxa"/>
            </w:tcMar>
          </w:tcPr>
          <w:p>
            <w:r>
              <w:rPr>
                <w:b/>
                <w:color w:val="FFFFFF"/>
                <w:sz w:val="16"/>
              </w:rPr>
              <w:t>Data location</w:t>
            </w:r>
          </w:p>
        </w:tc>
        <w:tc>
          <w:tcPr>
            <w:tcW w:type="dxa" w:w="2520"/>
            <w:shd w:fill="17365D"/>
            <w:tcMar>
              <w:top w:w="70" w:type="dxa"/>
              <w:start w:w="90" w:type="dxa"/>
              <w:bottom w:w="70" w:type="dxa"/>
              <w:end w:w="90" w:type="dxa"/>
            </w:tcMar>
          </w:tcPr>
          <w:p>
            <w:r>
              <w:rPr>
                <w:b/>
                <w:color w:val="FFFFFF"/>
                <w:sz w:val="16"/>
              </w:rPr>
              <w:t>Notes</w:t>
            </w:r>
          </w:p>
        </w:tc>
      </w:tr>
      <w:tr>
        <w:tc>
          <w:tcPr>
            <w:tcW w:type="dxa" w:w="2520"/>
            <w:vAlign w:val="top"/>
            <w:tcMar>
              <w:top w:w="70" w:type="dxa"/>
              <w:start w:w="90" w:type="dxa"/>
              <w:bottom w:w="70" w:type="dxa"/>
              <w:end w:w="90" w:type="dxa"/>
            </w:tcMar>
          </w:tcPr>
          <w:p>
            <w:pPr>
              <w:spacing w:after="0"/>
            </w:pPr>
            <w:r>
              <w:rPr>
                <w:rFonts w:ascii="Liberation Sans" w:hAnsi="Liberation Sans"/>
                <w:sz w:val="16"/>
              </w:rPr>
              <w:t>SaaS</w:t>
            </w:r>
          </w:p>
        </w:tc>
        <w:tc>
          <w:tcPr>
            <w:tcW w:type="dxa" w:w="2520"/>
            <w:vAlign w:val="top"/>
            <w:tcMar>
              <w:top w:w="70" w:type="dxa"/>
              <w:start w:w="90" w:type="dxa"/>
              <w:bottom w:w="70" w:type="dxa"/>
              <w:end w:w="90" w:type="dxa"/>
            </w:tcMar>
          </w:tcPr>
          <w:p>
            <w:pPr>
              <w:spacing w:after="0"/>
            </w:pPr>
            <w:r>
              <w:rPr>
                <w:rFonts w:ascii="Liberation Sans" w:hAnsi="Liberation Sans"/>
                <w:sz w:val="16"/>
              </w:rPr>
              <w:t>Consultancies / smaller institutions</w:t>
            </w:r>
          </w:p>
        </w:tc>
        <w:tc>
          <w:tcPr>
            <w:tcW w:type="dxa" w:w="2520"/>
            <w:vAlign w:val="top"/>
            <w:tcMar>
              <w:top w:w="70" w:type="dxa"/>
              <w:start w:w="90" w:type="dxa"/>
              <w:bottom w:w="70" w:type="dxa"/>
              <w:end w:w="90" w:type="dxa"/>
            </w:tcMar>
          </w:tcPr>
          <w:p>
            <w:pPr>
              <w:spacing w:after="0"/>
            </w:pPr>
            <w:r>
              <w:rPr>
                <w:rFonts w:ascii="Liberation Sans" w:hAnsi="Liberation Sans"/>
                <w:sz w:val="16"/>
              </w:rPr>
              <w:t>Vendor cloud</w:t>
            </w:r>
          </w:p>
        </w:tc>
        <w:tc>
          <w:tcPr>
            <w:tcW w:type="dxa" w:w="2520"/>
            <w:vAlign w:val="top"/>
            <w:tcMar>
              <w:top w:w="70" w:type="dxa"/>
              <w:start w:w="90" w:type="dxa"/>
              <w:bottom w:w="70" w:type="dxa"/>
              <w:end w:w="90" w:type="dxa"/>
            </w:tcMar>
          </w:tcPr>
          <w:p>
            <w:pPr>
              <w:spacing w:after="0"/>
            </w:pPr>
            <w:r>
              <w:rPr>
                <w:rFonts w:ascii="Liberation Sans" w:hAnsi="Liberation Sans"/>
                <w:sz w:val="16"/>
              </w:rPr>
              <w:t>Fastest pilot; strong tenant isolation</w:t>
            </w:r>
          </w:p>
        </w:tc>
      </w:tr>
      <w:tr>
        <w:tc>
          <w:tcPr>
            <w:tcW w:type="dxa" w:w="2520"/>
            <w:vAlign w:val="top"/>
            <w:tcMar>
              <w:top w:w="70" w:type="dxa"/>
              <w:start w:w="90" w:type="dxa"/>
              <w:bottom w:w="70" w:type="dxa"/>
              <w:end w:w="90" w:type="dxa"/>
            </w:tcMar>
            <w:shd w:fill="F7F9FB"/>
          </w:tcPr>
          <w:p>
            <w:pPr>
              <w:spacing w:after="0"/>
            </w:pPr>
            <w:r>
              <w:rPr>
                <w:rFonts w:ascii="Liberation Sans" w:hAnsi="Liberation Sans"/>
                <w:sz w:val="16"/>
              </w:rPr>
              <w:t>Customer VPC</w:t>
            </w:r>
          </w:p>
        </w:tc>
        <w:tc>
          <w:tcPr>
            <w:tcW w:type="dxa" w:w="2520"/>
            <w:vAlign w:val="top"/>
            <w:tcMar>
              <w:top w:w="70" w:type="dxa"/>
              <w:start w:w="90" w:type="dxa"/>
              <w:bottom w:w="70" w:type="dxa"/>
              <w:end w:w="90" w:type="dxa"/>
            </w:tcMar>
            <w:shd w:fill="F7F9FB"/>
          </w:tcPr>
          <w:p>
            <w:pPr>
              <w:spacing w:after="0"/>
            </w:pPr>
            <w:r>
              <w:rPr>
                <w:rFonts w:ascii="Liberation Sans" w:hAnsi="Liberation Sans"/>
                <w:sz w:val="16"/>
              </w:rPr>
              <w:t>Regional/large banks</w:t>
            </w:r>
          </w:p>
        </w:tc>
        <w:tc>
          <w:tcPr>
            <w:tcW w:type="dxa" w:w="2520"/>
            <w:vAlign w:val="top"/>
            <w:tcMar>
              <w:top w:w="70" w:type="dxa"/>
              <w:start w:w="90" w:type="dxa"/>
              <w:bottom w:w="70" w:type="dxa"/>
              <w:end w:w="90" w:type="dxa"/>
            </w:tcMar>
            <w:shd w:fill="F7F9FB"/>
          </w:tcPr>
          <w:p>
            <w:pPr>
              <w:spacing w:after="0"/>
            </w:pPr>
            <w:r>
              <w:rPr>
                <w:rFonts w:ascii="Liberation Sans" w:hAnsi="Liberation Sans"/>
                <w:sz w:val="16"/>
              </w:rPr>
              <w:t>Customer cloud boundary</w:t>
            </w:r>
          </w:p>
        </w:tc>
        <w:tc>
          <w:tcPr>
            <w:tcW w:type="dxa" w:w="2520"/>
            <w:vAlign w:val="top"/>
            <w:tcMar>
              <w:top w:w="70" w:type="dxa"/>
              <w:start w:w="90" w:type="dxa"/>
              <w:bottom w:w="70" w:type="dxa"/>
              <w:end w:w="90" w:type="dxa"/>
            </w:tcMar>
            <w:shd w:fill="F7F9FB"/>
          </w:tcPr>
          <w:p>
            <w:pPr>
              <w:spacing w:after="0"/>
            </w:pPr>
            <w:r>
              <w:rPr>
                <w:rFonts w:ascii="Liberation Sans" w:hAnsi="Liberation Sans"/>
                <w:sz w:val="16"/>
              </w:rPr>
              <w:t>Preferred enterprise path</w:t>
            </w:r>
          </w:p>
        </w:tc>
      </w:tr>
      <w:tr>
        <w:tc>
          <w:tcPr>
            <w:tcW w:type="dxa" w:w="2520"/>
            <w:vAlign w:val="top"/>
            <w:tcMar>
              <w:top w:w="70" w:type="dxa"/>
              <w:start w:w="90" w:type="dxa"/>
              <w:bottom w:w="70" w:type="dxa"/>
              <w:end w:w="90" w:type="dxa"/>
            </w:tcMar>
          </w:tcPr>
          <w:p>
            <w:pPr>
              <w:spacing w:after="0"/>
            </w:pPr>
            <w:r>
              <w:rPr>
                <w:rFonts w:ascii="Liberation Sans" w:hAnsi="Liberation Sans"/>
                <w:sz w:val="16"/>
              </w:rPr>
              <w:t>On-prem / private Kubernetes</w:t>
            </w:r>
          </w:p>
        </w:tc>
        <w:tc>
          <w:tcPr>
            <w:tcW w:type="dxa" w:w="2520"/>
            <w:vAlign w:val="top"/>
            <w:tcMar>
              <w:top w:w="70" w:type="dxa"/>
              <w:start w:w="90" w:type="dxa"/>
              <w:bottom w:w="70" w:type="dxa"/>
              <w:end w:w="90" w:type="dxa"/>
            </w:tcMar>
          </w:tcPr>
          <w:p>
            <w:pPr>
              <w:spacing w:after="0"/>
            </w:pPr>
            <w:r>
              <w:rPr>
                <w:rFonts w:ascii="Liberation Sans" w:hAnsi="Liberation Sans"/>
                <w:sz w:val="16"/>
              </w:rPr>
              <w:t>Highly restricted institutions</w:t>
            </w:r>
          </w:p>
        </w:tc>
        <w:tc>
          <w:tcPr>
            <w:tcW w:type="dxa" w:w="2520"/>
            <w:vAlign w:val="top"/>
            <w:tcMar>
              <w:top w:w="70" w:type="dxa"/>
              <w:start w:w="90" w:type="dxa"/>
              <w:bottom w:w="70" w:type="dxa"/>
              <w:end w:w="90" w:type="dxa"/>
            </w:tcMar>
          </w:tcPr>
          <w:p>
            <w:pPr>
              <w:spacing w:after="0"/>
            </w:pPr>
            <w:r>
              <w:rPr>
                <w:rFonts w:ascii="Liberation Sans" w:hAnsi="Liberation Sans"/>
                <w:sz w:val="16"/>
              </w:rPr>
              <w:t>Bank data center</w:t>
            </w:r>
          </w:p>
        </w:tc>
        <w:tc>
          <w:tcPr>
            <w:tcW w:type="dxa" w:w="2520"/>
            <w:vAlign w:val="top"/>
            <w:tcMar>
              <w:top w:w="70" w:type="dxa"/>
              <w:start w:w="90" w:type="dxa"/>
              <w:bottom w:w="70" w:type="dxa"/>
              <w:end w:w="90" w:type="dxa"/>
            </w:tcMar>
          </w:tcPr>
          <w:p>
            <w:pPr>
              <w:spacing w:after="0"/>
            </w:pPr>
            <w:r>
              <w:rPr>
                <w:rFonts w:ascii="Liberation Sans" w:hAnsi="Liberation Sans"/>
                <w:sz w:val="16"/>
              </w:rPr>
              <w:t>Longer deployment but supports strict residency/control</w:t>
            </w:r>
          </w:p>
        </w:tc>
      </w:tr>
      <w:tr>
        <w:tc>
          <w:tcPr>
            <w:tcW w:type="dxa" w:w="2520"/>
            <w:vAlign w:val="top"/>
            <w:tcMar>
              <w:top w:w="70" w:type="dxa"/>
              <w:start w:w="90" w:type="dxa"/>
              <w:bottom w:w="70" w:type="dxa"/>
              <w:end w:w="90" w:type="dxa"/>
            </w:tcMar>
            <w:shd w:fill="F7F9FB"/>
          </w:tcPr>
          <w:p>
            <w:pPr>
              <w:spacing w:after="0"/>
            </w:pPr>
            <w:r>
              <w:rPr>
                <w:rFonts w:ascii="Liberation Sans" w:hAnsi="Liberation Sans"/>
                <w:sz w:val="16"/>
              </w:rPr>
              <w:t>Compute-in-place</w:t>
            </w:r>
          </w:p>
        </w:tc>
        <w:tc>
          <w:tcPr>
            <w:tcW w:type="dxa" w:w="2520"/>
            <w:vAlign w:val="top"/>
            <w:tcMar>
              <w:top w:w="70" w:type="dxa"/>
              <w:start w:w="90" w:type="dxa"/>
              <w:bottom w:w="70" w:type="dxa"/>
              <w:end w:w="90" w:type="dxa"/>
            </w:tcMar>
            <w:shd w:fill="F7F9FB"/>
          </w:tcPr>
          <w:p>
            <w:pPr>
              <w:spacing w:after="0"/>
            </w:pPr>
            <w:r>
              <w:rPr>
                <w:rFonts w:ascii="Liberation Sans" w:hAnsi="Liberation Sans"/>
                <w:sz w:val="16"/>
              </w:rPr>
              <w:t>Banks with existing Spark/warehouse</w:t>
            </w:r>
          </w:p>
        </w:tc>
        <w:tc>
          <w:tcPr>
            <w:tcW w:type="dxa" w:w="2520"/>
            <w:vAlign w:val="top"/>
            <w:tcMar>
              <w:top w:w="70" w:type="dxa"/>
              <w:start w:w="90" w:type="dxa"/>
              <w:bottom w:w="70" w:type="dxa"/>
              <w:end w:w="90" w:type="dxa"/>
            </w:tcMar>
            <w:shd w:fill="F7F9FB"/>
          </w:tcPr>
          <w:p>
            <w:pPr>
              <w:spacing w:after="0"/>
            </w:pPr>
            <w:r>
              <w:rPr>
                <w:rFonts w:ascii="Liberation Sans" w:hAnsi="Liberation Sans"/>
                <w:sz w:val="16"/>
              </w:rPr>
              <w:t>Bank-managed platform</w:t>
            </w:r>
          </w:p>
        </w:tc>
        <w:tc>
          <w:tcPr>
            <w:tcW w:type="dxa" w:w="2520"/>
            <w:vAlign w:val="top"/>
            <w:tcMar>
              <w:top w:w="70" w:type="dxa"/>
              <w:start w:w="90" w:type="dxa"/>
              <w:bottom w:w="70" w:type="dxa"/>
              <w:end w:w="90" w:type="dxa"/>
            </w:tcMar>
            <w:shd w:fill="F7F9FB"/>
          </w:tcPr>
          <w:p>
            <w:pPr>
              <w:spacing w:after="0"/>
            </w:pPr>
            <w:r>
              <w:rPr>
                <w:rFonts w:ascii="Liberation Sans" w:hAnsi="Liberation Sans"/>
                <w:sz w:val="16"/>
              </w:rPr>
              <w:t>Platform submits versioned calculation jobs to bank compute</w:t>
            </w:r>
          </w:p>
        </w:tc>
      </w:tr>
    </w:tbl>
    <w:p>
      <w:pPr>
        <w:spacing w:after="20"/>
      </w:pPr>
    </w:p>
    <w:p>
      <w:pPr>
        <w:pStyle w:val="Heading2"/>
      </w:pPr>
      <w:r>
        <w:t>11.2 Non-negotiable controls</w:t>
      </w:r>
    </w:p>
    <w:p>
      <w:pPr>
        <w:pStyle w:val="ListBullet"/>
        <w:spacing w:after="40"/>
      </w:pPr>
      <w:r>
        <w:rPr>
          <w:rFonts w:ascii="Liberation Sans" w:hAnsi="Liberation Sans"/>
          <w:sz w:val="18"/>
        </w:rPr>
        <w:t>Encryption in transit and at rest; customer-managed keys where required.</w:t>
      </w:r>
    </w:p>
    <w:p>
      <w:pPr>
        <w:pStyle w:val="ListBullet"/>
        <w:spacing w:after="40"/>
      </w:pPr>
      <w:r>
        <w:rPr>
          <w:rFonts w:ascii="Liberation Sans" w:hAnsi="Liberation Sans"/>
          <w:sz w:val="18"/>
        </w:rPr>
        <w:t>RBAC/ABAC, separation of duties, four-eyes promotion and immutable audit logs.</w:t>
      </w:r>
    </w:p>
    <w:p>
      <w:pPr>
        <w:pStyle w:val="ListBullet"/>
        <w:spacing w:after="40"/>
      </w:pPr>
      <w:r>
        <w:rPr>
          <w:rFonts w:ascii="Liberation Sans" w:hAnsi="Liberation Sans"/>
          <w:sz w:val="18"/>
        </w:rPr>
        <w:t>Input/output dataset hashing and reproducible calculation runs.</w:t>
      </w:r>
    </w:p>
    <w:p>
      <w:pPr>
        <w:pStyle w:val="ListBullet"/>
        <w:spacing w:after="40"/>
      </w:pPr>
      <w:r>
        <w:rPr>
          <w:rFonts w:ascii="Liberation Sans" w:hAnsi="Liberation Sans"/>
          <w:sz w:val="18"/>
        </w:rPr>
        <w:t>Secrets management and environment isolation.</w:t>
      </w:r>
    </w:p>
    <w:p>
      <w:pPr>
        <w:pStyle w:val="ListBullet"/>
        <w:spacing w:after="40"/>
      </w:pPr>
      <w:r>
        <w:rPr>
          <w:rFonts w:ascii="Liberation Sans" w:hAnsi="Liberation Sans"/>
          <w:sz w:val="18"/>
        </w:rPr>
        <w:t>Model/agent logs with PII/data minimization and configurable retention.</w:t>
      </w:r>
    </w:p>
    <w:p>
      <w:pPr>
        <w:pStyle w:val="ListBullet"/>
        <w:spacing w:after="40"/>
      </w:pPr>
      <w:r>
        <w:rPr>
          <w:rFonts w:ascii="Liberation Sans" w:hAnsi="Liberation Sans"/>
          <w:sz w:val="18"/>
        </w:rPr>
        <w:t>Software supply-chain controls, dependency scanning and signed releases.</w:t>
      </w:r>
    </w:p>
    <w:p>
      <w:pPr>
        <w:pStyle w:val="ListBullet"/>
        <w:spacing w:after="40"/>
      </w:pPr>
      <w:r>
        <w:rPr>
          <w:rFonts w:ascii="Liberation Sans" w:hAnsi="Liberation Sans"/>
          <w:sz w:val="18"/>
        </w:rPr>
        <w:t>Disaster recovery, job idempotency and restartable portfolio calculation stages.</w:t>
      </w:r>
    </w:p>
    <w:p>
      <w:pPr>
        <w:pStyle w:val="ListBullet"/>
        <w:spacing w:after="40"/>
      </w:pPr>
      <w:r>
        <w:rPr>
          <w:rFonts w:ascii="Liberation Sans" w:hAnsi="Liberation Sans"/>
          <w:sz w:val="18"/>
        </w:rPr>
        <w:t>Rule/content provenance and explicit proposed/final status to prevent draft guidance from being treated as in-force law.</w:t>
      </w:r>
    </w:p>
    <w:p>
      <w:r>
        <w:br w:type="page"/>
      </w:r>
    </w:p>
    <w:p>
      <w:pPr>
        <w:pStyle w:val="Heading1"/>
      </w:pPr>
      <w:r>
        <w:t>12. Detailed implementation roadmap</w:t>
      </w:r>
    </w:p>
    <w:p>
      <w:pPr>
        <w:jc w:val="center"/>
      </w:pPr>
      <w:r>
        <w:drawing>
          <wp:inline xmlns:a="http://schemas.openxmlformats.org/drawingml/2006/main" xmlns:pic="http://schemas.openxmlformats.org/drawingml/2006/picture">
            <wp:extent cx="6309360" cy="2618591"/>
            <wp:docPr id="4" name="Picture 4"/>
            <wp:cNvGraphicFramePr>
              <a:graphicFrameLocks noChangeAspect="1"/>
            </wp:cNvGraphicFramePr>
            <a:graphic>
              <a:graphicData uri="http://schemas.openxmlformats.org/drawingml/2006/picture">
                <pic:pic>
                  <pic:nvPicPr>
                    <pic:cNvPr id="0" name="roadmap.png"/>
                    <pic:cNvPicPr/>
                  </pic:nvPicPr>
                  <pic:blipFill>
                    <a:blip r:embed="rId14"/>
                    <a:stretch>
                      <a:fillRect/>
                    </a:stretch>
                  </pic:blipFill>
                  <pic:spPr>
                    <a:xfrm>
                      <a:off x="0" y="0"/>
                      <a:ext cx="6309360" cy="2618591"/>
                    </a:xfrm>
                    <a:prstGeom prst="rect"/>
                  </pic:spPr>
                </pic:pic>
              </a:graphicData>
            </a:graphic>
          </wp:inline>
        </w:drawing>
      </w:r>
    </w:p>
    <w:p>
      <w:pPr>
        <w:jc w:val="center"/>
      </w:pPr>
      <w:r>
        <w:rPr>
          <w:rFonts w:ascii="Liberation Sans" w:hAnsi="Liberation Sans"/>
          <w:b/>
          <w:color w:val="5B6573"/>
          <w:sz w:val="16"/>
        </w:rPr>
        <w:t>Figure 4 — Recommended 18-month delivery sequence</w:t>
      </w:r>
    </w:p>
    <w:p>
      <w:pPr>
        <w:pStyle w:val="Heading2"/>
      </w:pPr>
      <w:r>
        <w:t>Phase 0 — Baseline assessment (Weeks 1–2)</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shd w:fill="17365D"/>
            <w:tcMar>
              <w:top w:w="70" w:type="dxa"/>
              <w:start w:w="90" w:type="dxa"/>
              <w:bottom w:w="70" w:type="dxa"/>
              <w:end w:w="90" w:type="dxa"/>
            </w:tcMar>
          </w:tcPr>
          <w:p>
            <w:r>
              <w:rPr>
                <w:b/>
                <w:color w:val="FFFFFF"/>
                <w:sz w:val="15"/>
              </w:rPr>
              <w:t>Workstream</w:t>
            </w:r>
          </w:p>
        </w:tc>
        <w:tc>
          <w:tcPr>
            <w:tcW w:type="dxa" w:w="3360"/>
            <w:shd w:fill="17365D"/>
            <w:tcMar>
              <w:top w:w="70" w:type="dxa"/>
              <w:start w:w="90" w:type="dxa"/>
              <w:bottom w:w="70" w:type="dxa"/>
              <w:end w:w="90" w:type="dxa"/>
            </w:tcMar>
          </w:tcPr>
          <w:p>
            <w:r>
              <w:rPr>
                <w:b/>
                <w:color w:val="FFFFFF"/>
                <w:sz w:val="15"/>
              </w:rPr>
              <w:t>Detailed actions</w:t>
            </w:r>
          </w:p>
        </w:tc>
        <w:tc>
          <w:tcPr>
            <w:tcW w:type="dxa" w:w="3360"/>
            <w:shd w:fill="17365D"/>
            <w:tcMar>
              <w:top w:w="70" w:type="dxa"/>
              <w:start w:w="90" w:type="dxa"/>
              <w:bottom w:w="70" w:type="dxa"/>
              <w:end w:w="90" w:type="dxa"/>
            </w:tcMar>
          </w:tcPr>
          <w:p>
            <w:r>
              <w:rPr>
                <w:b/>
                <w:color w:val="FFFFFF"/>
                <w:sz w:val="15"/>
              </w:rPr>
              <w:t>Deliverable / exit criterion</w:t>
            </w:r>
          </w:p>
        </w:tc>
      </w:tr>
      <w:tr>
        <w:tc>
          <w:tcPr>
            <w:tcW w:type="dxa" w:w="3360"/>
            <w:vAlign w:val="top"/>
            <w:tcMar>
              <w:top w:w="70" w:type="dxa"/>
              <w:start w:w="90" w:type="dxa"/>
              <w:bottom w:w="70" w:type="dxa"/>
              <w:end w:w="90" w:type="dxa"/>
            </w:tcMar>
          </w:tcPr>
          <w:p>
            <w:pPr>
              <w:spacing w:after="0"/>
            </w:pPr>
            <w:r>
              <w:rPr>
                <w:rFonts w:ascii="Liberation Sans" w:hAnsi="Liberation Sans"/>
                <w:sz w:val="15"/>
              </w:rPr>
              <w:t>Repository review</w:t>
            </w:r>
          </w:p>
        </w:tc>
        <w:tc>
          <w:tcPr>
            <w:tcW w:type="dxa" w:w="3360"/>
            <w:vAlign w:val="top"/>
            <w:tcMar>
              <w:top w:w="70" w:type="dxa"/>
              <w:start w:w="90" w:type="dxa"/>
              <w:bottom w:w="70" w:type="dxa"/>
              <w:end w:w="90" w:type="dxa"/>
            </w:tcMar>
          </w:tcPr>
          <w:p>
            <w:pPr>
              <w:spacing w:after="0"/>
            </w:pPr>
            <w:r>
              <w:rPr>
                <w:rFonts w:ascii="Liberation Sans" w:hAnsi="Liberation Sans"/>
                <w:sz w:val="15"/>
              </w:rPr>
              <w:t>Inventory modules, APIs, dependencies, data flows, rule code, reporting mappings</w:t>
            </w:r>
          </w:p>
        </w:tc>
        <w:tc>
          <w:tcPr>
            <w:tcW w:type="dxa" w:w="3360"/>
            <w:vAlign w:val="top"/>
            <w:tcMar>
              <w:top w:w="70" w:type="dxa"/>
              <w:start w:w="90" w:type="dxa"/>
              <w:bottom w:w="70" w:type="dxa"/>
              <w:end w:w="90" w:type="dxa"/>
            </w:tcMar>
          </w:tcPr>
          <w:p>
            <w:pPr>
              <w:spacing w:after="0"/>
            </w:pPr>
            <w:r>
              <w:rPr>
                <w:rFonts w:ascii="Liberation Sans" w:hAnsi="Liberation Sans"/>
                <w:sz w:val="15"/>
              </w:rPr>
              <w:t>Current-state architecture map</w:t>
            </w:r>
          </w:p>
        </w:tc>
      </w:tr>
      <w:tr>
        <w:tc>
          <w:tcPr>
            <w:tcW w:type="dxa" w:w="3360"/>
            <w:vAlign w:val="top"/>
            <w:tcMar>
              <w:top w:w="70" w:type="dxa"/>
              <w:start w:w="90" w:type="dxa"/>
              <w:bottom w:w="70" w:type="dxa"/>
              <w:end w:w="90" w:type="dxa"/>
            </w:tcMar>
            <w:shd w:fill="F7F9FB"/>
          </w:tcPr>
          <w:p>
            <w:pPr>
              <w:spacing w:after="0"/>
            </w:pPr>
            <w:r>
              <w:rPr>
                <w:rFonts w:ascii="Liberation Sans" w:hAnsi="Liberation Sans"/>
                <w:sz w:val="15"/>
              </w:rPr>
              <w:t>UDM review</w:t>
            </w:r>
          </w:p>
        </w:tc>
        <w:tc>
          <w:tcPr>
            <w:tcW w:type="dxa" w:w="3360"/>
            <w:vAlign w:val="top"/>
            <w:tcMar>
              <w:top w:w="70" w:type="dxa"/>
              <w:start w:w="90" w:type="dxa"/>
              <w:bottom w:w="70" w:type="dxa"/>
              <w:end w:w="90" w:type="dxa"/>
            </w:tcMar>
            <w:shd w:fill="F7F9FB"/>
          </w:tcPr>
          <w:p>
            <w:pPr>
              <w:spacing w:after="0"/>
            </w:pPr>
            <w:r>
              <w:rPr>
                <w:rFonts w:ascii="Liberation Sans" w:hAnsi="Liberation Sans"/>
                <w:sz w:val="15"/>
              </w:rPr>
              <w:t>Profile entities/fields/constraints and jurisdiction coupling</w:t>
            </w:r>
          </w:p>
        </w:tc>
        <w:tc>
          <w:tcPr>
            <w:tcW w:type="dxa" w:w="3360"/>
            <w:vAlign w:val="top"/>
            <w:tcMar>
              <w:top w:w="70" w:type="dxa"/>
              <w:start w:w="90" w:type="dxa"/>
              <w:bottom w:w="70" w:type="dxa"/>
              <w:end w:w="90" w:type="dxa"/>
            </w:tcMar>
            <w:shd w:fill="F7F9FB"/>
          </w:tcPr>
          <w:p>
            <w:pPr>
              <w:spacing w:after="0"/>
            </w:pPr>
            <w:r>
              <w:rPr>
                <w:rFonts w:ascii="Liberation Sans" w:hAnsi="Liberation Sans"/>
                <w:sz w:val="15"/>
              </w:rPr>
              <w:t>UDM gap register</w:t>
            </w:r>
          </w:p>
        </w:tc>
      </w:tr>
      <w:tr>
        <w:tc>
          <w:tcPr>
            <w:tcW w:type="dxa" w:w="3360"/>
            <w:vAlign w:val="top"/>
            <w:tcMar>
              <w:top w:w="70" w:type="dxa"/>
              <w:start w:w="90" w:type="dxa"/>
              <w:bottom w:w="70" w:type="dxa"/>
              <w:end w:w="90" w:type="dxa"/>
            </w:tcMar>
          </w:tcPr>
          <w:p>
            <w:pPr>
              <w:spacing w:after="0"/>
            </w:pPr>
            <w:r>
              <w:rPr>
                <w:rFonts w:ascii="Liberation Sans" w:hAnsi="Liberation Sans"/>
                <w:sz w:val="15"/>
              </w:rPr>
              <w:t>Engine review</w:t>
            </w:r>
          </w:p>
        </w:tc>
        <w:tc>
          <w:tcPr>
            <w:tcW w:type="dxa" w:w="3360"/>
            <w:vAlign w:val="top"/>
            <w:tcMar>
              <w:top w:w="70" w:type="dxa"/>
              <w:start w:w="90" w:type="dxa"/>
              <w:bottom w:w="70" w:type="dxa"/>
              <w:end w:w="90" w:type="dxa"/>
            </w:tcMar>
          </w:tcPr>
          <w:p>
            <w:pPr>
              <w:spacing w:after="0"/>
            </w:pPr>
            <w:r>
              <w:rPr>
                <w:rFonts w:ascii="Liberation Sans" w:hAnsi="Liberation Sans"/>
                <w:sz w:val="15"/>
              </w:rPr>
              <w:t>Trace classification → EAD/CCF/CRM/RW/RWA/capital</w:t>
            </w:r>
          </w:p>
        </w:tc>
        <w:tc>
          <w:tcPr>
            <w:tcW w:type="dxa" w:w="3360"/>
            <w:vAlign w:val="top"/>
            <w:tcMar>
              <w:top w:w="70" w:type="dxa"/>
              <w:start w:w="90" w:type="dxa"/>
              <w:bottom w:w="70" w:type="dxa"/>
              <w:end w:w="90" w:type="dxa"/>
            </w:tcMar>
          </w:tcPr>
          <w:p>
            <w:pPr>
              <w:spacing w:after="0"/>
            </w:pPr>
            <w:r>
              <w:rPr>
                <w:rFonts w:ascii="Liberation Sans" w:hAnsi="Liberation Sans"/>
                <w:sz w:val="15"/>
              </w:rPr>
              <w:t>Rule-to-code inventory</w:t>
            </w:r>
          </w:p>
        </w:tc>
      </w:tr>
      <w:tr>
        <w:tc>
          <w:tcPr>
            <w:tcW w:type="dxa" w:w="3360"/>
            <w:vAlign w:val="top"/>
            <w:tcMar>
              <w:top w:w="70" w:type="dxa"/>
              <w:start w:w="90" w:type="dxa"/>
              <w:bottom w:w="70" w:type="dxa"/>
              <w:end w:w="90" w:type="dxa"/>
            </w:tcMar>
            <w:shd w:fill="F7F9FB"/>
          </w:tcPr>
          <w:p>
            <w:pPr>
              <w:spacing w:after="0"/>
            </w:pPr>
            <w:r>
              <w:rPr>
                <w:rFonts w:ascii="Liberation Sans" w:hAnsi="Liberation Sans"/>
                <w:sz w:val="15"/>
              </w:rPr>
              <w:t>FFIEC review</w:t>
            </w:r>
          </w:p>
        </w:tc>
        <w:tc>
          <w:tcPr>
            <w:tcW w:type="dxa" w:w="3360"/>
            <w:vAlign w:val="top"/>
            <w:tcMar>
              <w:top w:w="70" w:type="dxa"/>
              <w:start w:w="90" w:type="dxa"/>
              <w:bottom w:w="70" w:type="dxa"/>
              <w:end w:w="90" w:type="dxa"/>
            </w:tcMar>
            <w:shd w:fill="F7F9FB"/>
          </w:tcPr>
          <w:p>
            <w:pPr>
              <w:spacing w:after="0"/>
            </w:pPr>
            <w:r>
              <w:rPr>
                <w:rFonts w:ascii="Liberation Sans" w:hAnsi="Liberation Sans"/>
                <w:sz w:val="15"/>
              </w:rPr>
              <w:t>Trace calculation outputs to FFIEC 101 schedules/cells</w:t>
            </w:r>
          </w:p>
        </w:tc>
        <w:tc>
          <w:tcPr>
            <w:tcW w:type="dxa" w:w="3360"/>
            <w:vAlign w:val="top"/>
            <w:tcMar>
              <w:top w:w="70" w:type="dxa"/>
              <w:start w:w="90" w:type="dxa"/>
              <w:bottom w:w="70" w:type="dxa"/>
              <w:end w:w="90" w:type="dxa"/>
            </w:tcMar>
            <w:shd w:fill="F7F9FB"/>
          </w:tcPr>
          <w:p>
            <w:pPr>
              <w:spacing w:after="0"/>
            </w:pPr>
            <w:r>
              <w:rPr>
                <w:rFonts w:ascii="Liberation Sans" w:hAnsi="Liberation Sans"/>
                <w:sz w:val="15"/>
              </w:rPr>
              <w:t>Reporting lineage inventory</w:t>
            </w:r>
          </w:p>
        </w:tc>
      </w:tr>
      <w:tr>
        <w:tc>
          <w:tcPr>
            <w:tcW w:type="dxa" w:w="3360"/>
            <w:vAlign w:val="top"/>
            <w:tcMar>
              <w:top w:w="70" w:type="dxa"/>
              <w:start w:w="90" w:type="dxa"/>
              <w:bottom w:w="70" w:type="dxa"/>
              <w:end w:w="90" w:type="dxa"/>
            </w:tcMar>
          </w:tcPr>
          <w:p>
            <w:pPr>
              <w:spacing w:after="0"/>
            </w:pPr>
            <w:r>
              <w:rPr>
                <w:rFonts w:ascii="Liberation Sans" w:hAnsi="Liberation Sans"/>
                <w:sz w:val="15"/>
              </w:rPr>
              <w:t>Performance baseline</w:t>
            </w:r>
          </w:p>
        </w:tc>
        <w:tc>
          <w:tcPr>
            <w:tcW w:type="dxa" w:w="3360"/>
            <w:vAlign w:val="top"/>
            <w:tcMar>
              <w:top w:w="70" w:type="dxa"/>
              <w:start w:w="90" w:type="dxa"/>
              <w:bottom w:w="70" w:type="dxa"/>
              <w:end w:w="90" w:type="dxa"/>
            </w:tcMar>
          </w:tcPr>
          <w:p>
            <w:pPr>
              <w:spacing w:after="0"/>
            </w:pPr>
            <w:r>
              <w:rPr>
                <w:rFonts w:ascii="Liberation Sans" w:hAnsi="Liberation Sans"/>
                <w:sz w:val="15"/>
              </w:rPr>
              <w:t>Run current engine at 10K/100K/1M where practical</w:t>
            </w:r>
          </w:p>
        </w:tc>
        <w:tc>
          <w:tcPr>
            <w:tcW w:type="dxa" w:w="3360"/>
            <w:vAlign w:val="top"/>
            <w:tcMar>
              <w:top w:w="70" w:type="dxa"/>
              <w:start w:w="90" w:type="dxa"/>
              <w:bottom w:w="70" w:type="dxa"/>
              <w:end w:w="90" w:type="dxa"/>
            </w:tcMar>
          </w:tcPr>
          <w:p>
            <w:pPr>
              <w:spacing w:after="0"/>
            </w:pPr>
            <w:r>
              <w:rPr>
                <w:rFonts w:ascii="Liberation Sans" w:hAnsi="Liberation Sans"/>
                <w:sz w:val="15"/>
              </w:rPr>
              <w:t>Baseline benchmark report</w:t>
            </w:r>
          </w:p>
        </w:tc>
      </w:tr>
      <w:tr>
        <w:tc>
          <w:tcPr>
            <w:tcW w:type="dxa" w:w="3360"/>
            <w:vAlign w:val="top"/>
            <w:tcMar>
              <w:top w:w="70" w:type="dxa"/>
              <w:start w:w="90" w:type="dxa"/>
              <w:bottom w:w="70" w:type="dxa"/>
              <w:end w:w="90" w:type="dxa"/>
            </w:tcMar>
            <w:shd w:fill="F7F9FB"/>
          </w:tcPr>
          <w:p>
            <w:pPr>
              <w:spacing w:after="0"/>
            </w:pPr>
            <w:r>
              <w:rPr>
                <w:rFonts w:ascii="Liberation Sans" w:hAnsi="Liberation Sans"/>
                <w:sz w:val="15"/>
              </w:rPr>
              <w:t>Quality baseline</w:t>
            </w:r>
          </w:p>
        </w:tc>
        <w:tc>
          <w:tcPr>
            <w:tcW w:type="dxa" w:w="3360"/>
            <w:vAlign w:val="top"/>
            <w:tcMar>
              <w:top w:w="70" w:type="dxa"/>
              <w:start w:w="90" w:type="dxa"/>
              <w:bottom w:w="70" w:type="dxa"/>
              <w:end w:w="90" w:type="dxa"/>
            </w:tcMar>
            <w:shd w:fill="F7F9FB"/>
          </w:tcPr>
          <w:p>
            <w:pPr>
              <w:spacing w:after="0"/>
            </w:pPr>
            <w:r>
              <w:rPr>
                <w:rFonts w:ascii="Liberation Sans" w:hAnsi="Liberation Sans"/>
                <w:sz w:val="15"/>
              </w:rPr>
              <w:t>Run current test suite; identify missing golden cases</w:t>
            </w:r>
          </w:p>
        </w:tc>
        <w:tc>
          <w:tcPr>
            <w:tcW w:type="dxa" w:w="3360"/>
            <w:vAlign w:val="top"/>
            <w:tcMar>
              <w:top w:w="70" w:type="dxa"/>
              <w:start w:w="90" w:type="dxa"/>
              <w:bottom w:w="70" w:type="dxa"/>
              <w:end w:w="90" w:type="dxa"/>
            </w:tcMar>
            <w:shd w:fill="F7F9FB"/>
          </w:tcPr>
          <w:p>
            <w:pPr>
              <w:spacing w:after="0"/>
            </w:pPr>
            <w:r>
              <w:rPr>
                <w:rFonts w:ascii="Liberation Sans" w:hAnsi="Liberation Sans"/>
                <w:sz w:val="15"/>
              </w:rPr>
              <w:t>Test coverage heatmap</w:t>
            </w:r>
          </w:p>
        </w:tc>
      </w:tr>
    </w:tbl>
    <w:p>
      <w:pPr>
        <w:spacing w:after="20"/>
      </w:pPr>
    </w:p>
    <w:p>
      <w:pPr>
        <w:pStyle w:val="Heading2"/>
      </w:pPr>
      <w:r>
        <w:t>Phase 1 — Correctness foundation (Weeks 2–8)</w:t>
      </w:r>
    </w:p>
    <w:p>
      <w:pPr>
        <w:pStyle w:val="ListBullet"/>
        <w:spacing w:after="40"/>
      </w:pPr>
      <w:r>
        <w:rPr>
          <w:rFonts w:ascii="Liberation Sans" w:hAnsi="Liberation Sans"/>
          <w:sz w:val="18"/>
        </w:rPr>
        <w:t>Create `ruleset`, `rule`, `rule_version`, `calculation_run`, `calculation_step`, `evidence_reference`, `data_quality_exception` and `test_case` schemas.</w:t>
      </w:r>
    </w:p>
    <w:p>
      <w:pPr>
        <w:pStyle w:val="ListBullet"/>
        <w:spacing w:after="40"/>
      </w:pPr>
      <w:r>
        <w:rPr>
          <w:rFonts w:ascii="Liberation Sans" w:hAnsi="Liberation Sans"/>
          <w:sz w:val="18"/>
        </w:rPr>
        <w:t>Introduce immutable calculation-run context and input snapshot hashes.</w:t>
      </w:r>
    </w:p>
    <w:p>
      <w:pPr>
        <w:pStyle w:val="ListBullet"/>
        <w:spacing w:after="40"/>
      </w:pPr>
      <w:r>
        <w:rPr>
          <w:rFonts w:ascii="Liberation Sans" w:hAnsi="Liberation Sans"/>
          <w:sz w:val="18"/>
        </w:rPr>
        <w:t>Build Golden Regulatory Portfolio v1: prioritize all currently implemented credit-risk branches.</w:t>
      </w:r>
    </w:p>
    <w:p>
      <w:pPr>
        <w:pStyle w:val="ListBullet"/>
        <w:spacing w:after="40"/>
      </w:pPr>
      <w:r>
        <w:rPr>
          <w:rFonts w:ascii="Liberation Sans" w:hAnsi="Liberation Sans"/>
          <w:sz w:val="18"/>
        </w:rPr>
        <w:t>Create rule/boundary/property/regression test harness in pytest.</w:t>
      </w:r>
    </w:p>
    <w:p>
      <w:pPr>
        <w:pStyle w:val="ListBullet"/>
        <w:spacing w:after="40"/>
      </w:pPr>
      <w:r>
        <w:rPr>
          <w:rFonts w:ascii="Liberation Sans" w:hAnsi="Liberation Sans"/>
          <w:sz w:val="18"/>
        </w:rPr>
        <w:t>Create synthetic portfolio generator v1 and dirty-data scenarios.</w:t>
      </w:r>
    </w:p>
    <w:p>
      <w:pPr>
        <w:pStyle w:val="ListBullet"/>
        <w:spacing w:after="40"/>
      </w:pPr>
      <w:r>
        <w:rPr>
          <w:rFonts w:ascii="Liberation Sans" w:hAnsi="Liberation Sans"/>
          <w:sz w:val="18"/>
        </w:rPr>
        <w:t>Refactor row loops toward vectorized expressions where feasible without changing results.</w:t>
      </w:r>
    </w:p>
    <w:tbl>
      <w:tblPr>
        <w:tblW w:type="auto" w:w="0"/>
        <w:jc w:val="center"/>
        <w:tblLayout w:type="fixed"/>
        <w:tblLook w:firstColumn="1" w:firstRow="1" w:lastColumn="0" w:lastRow="0" w:noHBand="0" w:noVBand="1" w:val="04A0"/>
      </w:tblPr>
      <w:tblGrid>
        <w:gridCol w:w="9792"/>
      </w:tblGrid>
      <w:tr>
        <w:tc>
          <w:tcPr>
            <w:tcW w:type="dxa" w:w="10080"/>
            <w:shd w:fill="E2F0D9"/>
            <w:tcMar>
              <w:top w:w="120" w:type="dxa"/>
              <w:start w:w="150" w:type="dxa"/>
              <w:bottom w:w="120" w:type="dxa"/>
              <w:end w:w="150" w:type="dxa"/>
            </w:tcMar>
          </w:tcPr>
          <w:p>
            <w:r>
              <w:rPr>
                <w:rFonts w:ascii="Liberation Sans" w:hAnsi="Liberation Sans"/>
                <w:b/>
                <w:color w:val="17365D"/>
                <w:sz w:val="20"/>
              </w:rPr>
              <w:t>Exit gate: current Python engine reproduces all approved golden outputs; every unexplained difference is zero.</w:t>
            </w:r>
          </w:p>
        </w:tc>
      </w:tr>
    </w:tbl>
    <w:p>
      <w:pPr>
        <w:pStyle w:val="Heading2"/>
      </w:pPr>
      <w:r>
        <w:t>Phase 2 — Regulatory graph + U.S. rule versioning (Weeks 5–12)</w:t>
      </w:r>
    </w:p>
    <w:p>
      <w:pPr>
        <w:pStyle w:val="ListBullet"/>
        <w:spacing w:after="40"/>
      </w:pPr>
      <w:r>
        <w:rPr>
          <w:rFonts w:ascii="Liberation Sans" w:hAnsi="Liberation Sans"/>
          <w:sz w:val="18"/>
        </w:rPr>
        <w:t>Model BCBS SCO/CAP/RBC/CRE/DIS nodes needed for in-scope credit risk.</w:t>
      </w:r>
    </w:p>
    <w:p>
      <w:pPr>
        <w:pStyle w:val="ListBullet"/>
        <w:spacing w:after="40"/>
      </w:pPr>
      <w:r>
        <w:rPr>
          <w:rFonts w:ascii="Liberation Sans" w:hAnsi="Liberation Sans"/>
          <w:sz w:val="18"/>
        </w:rPr>
        <w:t>Ingest official March 2026 U.S. proposal and map in-scope provisions to BCBS canonical concepts. [R2]</w:t>
      </w:r>
    </w:p>
    <w:p>
      <w:pPr>
        <w:pStyle w:val="ListBullet"/>
        <w:spacing w:after="40"/>
      </w:pPr>
      <w:r>
        <w:rPr>
          <w:rFonts w:ascii="Liberation Sans" w:hAnsi="Liberation Sans"/>
          <w:sz w:val="18"/>
        </w:rPr>
        <w:t>Create current-U.S. vs `US_NPR_2026_03` rulesets with explicit proposed status.</w:t>
      </w:r>
    </w:p>
    <w:p>
      <w:pPr>
        <w:pStyle w:val="ListBullet"/>
        <w:spacing w:after="40"/>
      </w:pPr>
      <w:r>
        <w:rPr>
          <w:rFonts w:ascii="Liberation Sans" w:hAnsi="Liberation Sans"/>
          <w:sz w:val="18"/>
        </w:rPr>
        <w:t>Build regulatory diff service with human review workflow.</w:t>
      </w:r>
    </w:p>
    <w:p>
      <w:pPr>
        <w:pStyle w:val="ListBullet"/>
        <w:spacing w:after="40"/>
      </w:pPr>
      <w:r>
        <w:rPr>
          <w:rFonts w:ascii="Liberation Sans" w:hAnsi="Liberation Sans"/>
          <w:sz w:val="18"/>
        </w:rPr>
        <w:t>Connect changed rules to UDM fields, product taxonomy, calculation modules and tests.</w:t>
      </w:r>
    </w:p>
    <w:tbl>
      <w:tblPr>
        <w:tblW w:type="auto" w:w="0"/>
        <w:jc w:val="center"/>
        <w:tblLayout w:type="fixed"/>
        <w:tblLook w:firstColumn="1" w:firstRow="1" w:lastColumn="0" w:lastRow="0" w:noHBand="0" w:noVBand="1" w:val="04A0"/>
      </w:tblPr>
      <w:tblGrid>
        <w:gridCol w:w="9792"/>
      </w:tblGrid>
      <w:tr>
        <w:tc>
          <w:tcPr>
            <w:tcW w:type="dxa" w:w="10080"/>
            <w:shd w:fill="E2F0D9"/>
            <w:tcMar>
              <w:top w:w="120" w:type="dxa"/>
              <w:start w:w="150" w:type="dxa"/>
              <w:bottom w:w="120" w:type="dxa"/>
              <w:end w:w="150" w:type="dxa"/>
            </w:tcMar>
          </w:tcPr>
          <w:p>
            <w:r>
              <w:rPr>
                <w:rFonts w:ascii="Liberation Sans" w:hAnsi="Liberation Sans"/>
                <w:b/>
                <w:color w:val="17365D"/>
                <w:sz w:val="20"/>
              </w:rPr>
              <w:t>Exit gate: every in-scope changed rule can be traced Source → BCBS concept → U.S. version → UDM fields → calculation → tests.</w:t>
            </w:r>
          </w:p>
        </w:tc>
      </w:tr>
    </w:tbl>
    <w:p>
      <w:pPr>
        <w:pStyle w:val="Heading2"/>
      </w:pPr>
      <w:r>
        <w:t>Phase 3 — Capital Change Analyzer MVP (Weeks 9–18)</w:t>
      </w:r>
    </w:p>
    <w:p>
      <w:pPr>
        <w:pStyle w:val="ListBullet"/>
        <w:spacing w:after="40"/>
      </w:pPr>
      <w:r>
        <w:rPr>
          <w:rFonts w:ascii="Liberation Sans" w:hAnsi="Liberation Sans"/>
          <w:sz w:val="18"/>
        </w:rPr>
        <w:t>Dual-run current vs proposed rules on the same portfolio snapshot.</w:t>
      </w:r>
    </w:p>
    <w:p>
      <w:pPr>
        <w:pStyle w:val="ListBullet"/>
        <w:spacing w:after="40"/>
      </w:pPr>
      <w:r>
        <w:rPr>
          <w:rFonts w:ascii="Liberation Sans" w:hAnsi="Liberation Sans"/>
          <w:sz w:val="18"/>
        </w:rPr>
        <w:t>Build exposure/product/legal-entity/portfolio delta datasets and materiality ranking.</w:t>
      </w:r>
    </w:p>
    <w:p>
      <w:pPr>
        <w:pStyle w:val="ListBullet"/>
        <w:spacing w:after="40"/>
      </w:pPr>
      <w:r>
        <w:rPr>
          <w:rFonts w:ascii="Liberation Sans" w:hAnsi="Liberation Sans"/>
          <w:sz w:val="18"/>
        </w:rPr>
        <w:t>Create data-readiness dashboard showing missing/ambiguous required fields.</w:t>
      </w:r>
    </w:p>
    <w:p>
      <w:pPr>
        <w:pStyle w:val="ListBullet"/>
        <w:spacing w:after="40"/>
      </w:pPr>
      <w:r>
        <w:rPr>
          <w:rFonts w:ascii="Liberation Sans" w:hAnsi="Liberation Sans"/>
          <w:sz w:val="18"/>
        </w:rPr>
        <w:t>Create AI RWA investigator using only structured results, rules and evidence.</w:t>
      </w:r>
    </w:p>
    <w:p>
      <w:pPr>
        <w:pStyle w:val="ListBullet"/>
        <w:spacing w:after="40"/>
      </w:pPr>
      <w:r>
        <w:rPr>
          <w:rFonts w:ascii="Liberation Sans" w:hAnsi="Liberation Sans"/>
          <w:sz w:val="18"/>
        </w:rPr>
        <w:t>Generate implementation-impact views and exportable test/evidence pack.</w:t>
      </w:r>
    </w:p>
    <w:p>
      <w:pPr>
        <w:pStyle w:val="ListBullet"/>
        <w:spacing w:after="40"/>
      </w:pPr>
      <w:r>
        <w:rPr>
          <w:rFonts w:ascii="Liberation Sans" w:hAnsi="Liberation Sans"/>
          <w:sz w:val="18"/>
        </w:rPr>
        <w:t>Create demo synthetic portfolio (100K–1M records) with known meaningful deltas.</w:t>
      </w:r>
    </w:p>
    <w:tbl>
      <w:tblPr>
        <w:tblW w:type="auto" w:w="0"/>
        <w:jc w:val="center"/>
        <w:tblLayout w:type="fixed"/>
        <w:tblLook w:firstColumn="1" w:firstRow="1" w:lastColumn="0" w:lastRow="0" w:noHBand="0" w:noVBand="1" w:val="04A0"/>
      </w:tblPr>
      <w:tblGrid>
        <w:gridCol w:w="9792"/>
      </w:tblGrid>
      <w:tr>
        <w:tc>
          <w:tcPr>
            <w:tcW w:type="dxa" w:w="10080"/>
            <w:shd w:fill="E2F0D9"/>
            <w:tcMar>
              <w:top w:w="120" w:type="dxa"/>
              <w:start w:w="150" w:type="dxa"/>
              <w:bottom w:w="120" w:type="dxa"/>
              <w:end w:w="150" w:type="dxa"/>
            </w:tcMar>
          </w:tcPr>
          <w:p>
            <w:r>
              <w:rPr>
                <w:rFonts w:ascii="Liberation Sans" w:hAnsi="Liberation Sans"/>
                <w:b/>
                <w:color w:val="17365D"/>
                <w:sz w:val="20"/>
              </w:rPr>
              <w:t>Exit gate: a prospect can upload the demo portfolio and receive reproducible rule changes, data gaps, ΔRWA/Δcapital, explanations and test evidence.</w:t>
            </w:r>
          </w:p>
        </w:tc>
      </w:tr>
    </w:tbl>
    <w:p>
      <w:pPr>
        <w:pStyle w:val="Heading2"/>
      </w:pPr>
      <w:r>
        <w:t>Phase 4 — Capital Assurance / bank-engine reconciliation (Months 5–9)</w:t>
      </w:r>
    </w:p>
    <w:p>
      <w:pPr>
        <w:pStyle w:val="ListBullet"/>
        <w:spacing w:after="40"/>
      </w:pPr>
      <w:r>
        <w:rPr>
          <w:rFonts w:ascii="Liberation Sans" w:hAnsi="Liberation Sans"/>
          <w:sz w:val="18"/>
        </w:rPr>
        <w:t>Define standard result-ingestion format for bank/incumbent-engine outputs.</w:t>
      </w:r>
    </w:p>
    <w:p>
      <w:pPr>
        <w:pStyle w:val="ListBullet"/>
        <w:spacing w:after="40"/>
      </w:pPr>
      <w:r>
        <w:rPr>
          <w:rFonts w:ascii="Liberation Sans" w:hAnsi="Liberation Sans"/>
          <w:sz w:val="18"/>
        </w:rPr>
        <w:t>Build matching and reconciliation logic at exposure and aggregate levels.</w:t>
      </w:r>
    </w:p>
    <w:p>
      <w:pPr>
        <w:pStyle w:val="ListBullet"/>
        <w:spacing w:after="40"/>
      </w:pPr>
      <w:r>
        <w:rPr>
          <w:rFonts w:ascii="Liberation Sans" w:hAnsi="Liberation Sans"/>
          <w:sz w:val="18"/>
        </w:rPr>
        <w:t>Implement difference taxonomy: classification, CCF, EAD, CRM, RW, rule version, rounding, source-data and reporting mapping.</w:t>
      </w:r>
    </w:p>
    <w:p>
      <w:pPr>
        <w:pStyle w:val="ListBullet"/>
        <w:spacing w:after="40"/>
      </w:pPr>
      <w:r>
        <w:rPr>
          <w:rFonts w:ascii="Liberation Sans" w:hAnsi="Liberation Sans"/>
          <w:sz w:val="18"/>
        </w:rPr>
        <w:t>Add materiality thresholds, investigation queues and evidence attachments.</w:t>
      </w:r>
    </w:p>
    <w:p>
      <w:pPr>
        <w:pStyle w:val="ListBullet"/>
        <w:spacing w:after="40"/>
      </w:pPr>
      <w:r>
        <w:rPr>
          <w:rFonts w:ascii="Liberation Sans" w:hAnsi="Liberation Sans"/>
          <w:sz w:val="18"/>
        </w:rPr>
        <w:t>Pilot with synthetic “incumbent” outputs first, then a sanitized real portfolio if available.</w:t>
      </w:r>
    </w:p>
    <w:p>
      <w:pPr>
        <w:pStyle w:val="Heading2"/>
      </w:pPr>
      <w:r>
        <w:t>Phase 5 — Scale adapter and enterprise hardening (Months 7–12)</w:t>
      </w:r>
    </w:p>
    <w:p>
      <w:pPr>
        <w:pStyle w:val="ListBullet"/>
        <w:spacing w:after="40"/>
      </w:pPr>
      <w:r>
        <w:rPr>
          <w:rFonts w:ascii="Liberation Sans" w:hAnsi="Liberation Sans"/>
          <w:sz w:val="18"/>
        </w:rPr>
        <w:t>Benchmark 1M/10M/50M/100M workloads and identify distributed break-even point.</w:t>
      </w:r>
    </w:p>
    <w:p>
      <w:pPr>
        <w:pStyle w:val="ListBullet"/>
        <w:spacing w:after="40"/>
      </w:pPr>
      <w:r>
        <w:rPr>
          <w:rFonts w:ascii="Liberation Sans" w:hAnsi="Liberation Sans"/>
          <w:sz w:val="18"/>
        </w:rPr>
        <w:t>Implement PySpark adapter only for workloads that fail target SLA/cost on local/vectorized engine.</w:t>
      </w:r>
    </w:p>
    <w:p>
      <w:pPr>
        <w:pStyle w:val="ListBullet"/>
        <w:spacing w:after="40"/>
      </w:pPr>
      <w:r>
        <w:rPr>
          <w:rFonts w:ascii="Liberation Sans" w:hAnsi="Liberation Sans"/>
          <w:sz w:val="18"/>
        </w:rPr>
        <w:t>Require Python ↔ Spark equality on Golden Portfolio and sampled large portfolios.</w:t>
      </w:r>
    </w:p>
    <w:p>
      <w:pPr>
        <w:pStyle w:val="ListBullet"/>
        <w:spacing w:after="40"/>
      </w:pPr>
      <w:r>
        <w:rPr>
          <w:rFonts w:ascii="Liberation Sans" w:hAnsi="Liberation Sans"/>
          <w:sz w:val="18"/>
        </w:rPr>
        <w:t>Add VPC/private deployment patterns, SSO, secrets, observability, job restart, data retention and audit export.</w:t>
      </w:r>
    </w:p>
    <w:p>
      <w:pPr>
        <w:pStyle w:val="Heading2"/>
      </w:pPr>
      <w:r>
        <w:t>Phase 6 — First international pack (Months 10–15)</w:t>
      </w:r>
    </w:p>
    <w:p>
      <w:r>
        <w:rPr>
          <w:rFonts w:ascii="Liberation Sans" w:hAnsi="Liberation Sans"/>
          <w:sz w:val="19"/>
        </w:rPr>
        <w:t>Select Saudi Arabia or UAE based on first customer/channel. Saudi provides a concrete quarterly Q17 reporting linkage and Basel III post-crisis credit-risk framework; UAE offers a Basel-based CBUAE capital framework. [R6][R7][R8]</w:t>
      </w:r>
    </w:p>
    <w:p>
      <w:pPr>
        <w:pStyle w:val="ListBullet"/>
        <w:spacing w:after="40"/>
      </w:pPr>
      <w:r>
        <w:rPr>
          <w:rFonts w:ascii="Liberation Sans" w:hAnsi="Liberation Sans"/>
          <w:sz w:val="18"/>
        </w:rPr>
        <w:t>Create jurisdiction source corpus and BCBS crosswalk.</w:t>
      </w:r>
    </w:p>
    <w:p>
      <w:pPr>
        <w:pStyle w:val="ListBullet"/>
        <w:spacing w:after="40"/>
      </w:pPr>
      <w:r>
        <w:rPr>
          <w:rFonts w:ascii="Liberation Sans" w:hAnsi="Liberation Sans"/>
          <w:sz w:val="18"/>
        </w:rPr>
        <w:t>Implement only the credit-risk rules needed by the first target customer segment.</w:t>
      </w:r>
    </w:p>
    <w:p>
      <w:pPr>
        <w:pStyle w:val="ListBullet"/>
        <w:spacing w:after="40"/>
      </w:pPr>
      <w:r>
        <w:rPr>
          <w:rFonts w:ascii="Liberation Sans" w:hAnsi="Liberation Sans"/>
          <w:sz w:val="18"/>
        </w:rPr>
        <w:t>Add jurisdiction report mapping (Q17 or relevant UAE returns) independently from core calculations.</w:t>
      </w:r>
    </w:p>
    <w:p>
      <w:pPr>
        <w:pStyle w:val="Heading2"/>
      </w:pPr>
      <w:r>
        <w:t>Phase 7 — Regulatory Radar / workflow expansion (Months 12–18)</w:t>
      </w:r>
    </w:p>
    <w:p>
      <w:pPr>
        <w:pStyle w:val="ListBullet"/>
        <w:spacing w:after="40"/>
      </w:pPr>
      <w:r>
        <w:rPr>
          <w:rFonts w:ascii="Liberation Sans" w:hAnsi="Liberation Sans"/>
          <w:sz w:val="18"/>
        </w:rPr>
        <w:t>Add automated official-source monitoring and change alerts.</w:t>
      </w:r>
    </w:p>
    <w:p>
      <w:pPr>
        <w:pStyle w:val="ListBullet"/>
        <w:spacing w:after="40"/>
      </w:pPr>
      <w:r>
        <w:rPr>
          <w:rFonts w:ascii="Liberation Sans" w:hAnsi="Liberation Sans"/>
          <w:sz w:val="18"/>
        </w:rPr>
        <w:t>Add obligation/action extraction, owner assignment, approvals and implementation project views.</w:t>
      </w:r>
    </w:p>
    <w:p>
      <w:pPr>
        <w:pStyle w:val="ListBullet"/>
        <w:spacing w:after="40"/>
      </w:pPr>
      <w:r>
        <w:rPr>
          <w:rFonts w:ascii="Liberation Sans" w:hAnsi="Liberation Sans"/>
          <w:sz w:val="18"/>
        </w:rPr>
        <w:t>Do not attempt to replicate the global content breadth of CUBE/FinregE; license/partner for content breadth when economically sensible.</w:t>
      </w:r>
    </w:p>
    <w:p>
      <w:r>
        <w:br w:type="page"/>
      </w:r>
    </w:p>
    <w:p>
      <w:pPr>
        <w:pStyle w:val="Heading1"/>
      </w:pPr>
      <w:r>
        <w:t>13. Immediate next steps — detailed 30/60/90-day plan</w:t>
      </w:r>
    </w:p>
    <w:p>
      <w:pPr>
        <w:pStyle w:val="Heading2"/>
      </w:pPr>
      <w:r>
        <w:t>Days 0–10: product and code baseline</w:t>
      </w:r>
    </w:p>
    <w:p>
      <w:pPr>
        <w:pStyle w:val="ListNumber"/>
        <w:spacing w:after="40"/>
      </w:pPr>
      <w:r>
        <w:rPr>
          <w:rFonts w:ascii="Liberation Sans" w:hAnsi="Liberation Sans"/>
          <w:sz w:val="18"/>
        </w:rPr>
        <w:t>Upload or inventory the current Python repository, README/design notes, dependency file, UDM schema/DDL, sample exposure files, ERBA outputs and FFIEC 101 mappings.</w:t>
      </w:r>
    </w:p>
    <w:p>
      <w:pPr>
        <w:pStyle w:val="ListNumber"/>
        <w:spacing w:after="40"/>
      </w:pPr>
      <w:r>
        <w:rPr>
          <w:rFonts w:ascii="Liberation Sans" w:hAnsi="Liberation Sans"/>
          <w:sz w:val="18"/>
        </w:rPr>
        <w:t>Produce module-by-module current-state map: ingest → validation → classification → EAD/CCF/CRM → RW → RWA → capital → reporting.</w:t>
      </w:r>
    </w:p>
    <w:p>
      <w:pPr>
        <w:pStyle w:val="ListNumber"/>
        <w:spacing w:after="40"/>
      </w:pPr>
      <w:r>
        <w:rPr>
          <w:rFonts w:ascii="Liberation Sans" w:hAnsi="Liberation Sans"/>
          <w:sz w:val="18"/>
        </w:rPr>
        <w:t>Create a rule inventory spreadsheet/table with rule ID, jurisdiction, source, code function/module, UDM inputs, outputs and existing tests.</w:t>
      </w:r>
    </w:p>
    <w:p>
      <w:pPr>
        <w:pStyle w:val="ListNumber"/>
        <w:spacing w:after="40"/>
      </w:pPr>
      <w:r>
        <w:rPr>
          <w:rFonts w:ascii="Liberation Sans" w:hAnsi="Liberation Sans"/>
          <w:sz w:val="18"/>
        </w:rPr>
        <w:t>Tag every existing implementation as current-law, proposal, assumption or configuration. This is critical because the March 2026 NPR is proposed, not final. [R2]</w:t>
      </w:r>
    </w:p>
    <w:p>
      <w:pPr>
        <w:pStyle w:val="ListNumber"/>
        <w:spacing w:after="40"/>
      </w:pPr>
      <w:r>
        <w:rPr>
          <w:rFonts w:ascii="Liberation Sans" w:hAnsi="Liberation Sans"/>
          <w:sz w:val="18"/>
        </w:rPr>
        <w:t>Capture performance baseline using fixed 10K/100K/1M synthetic datasets.</w:t>
      </w:r>
    </w:p>
    <w:p>
      <w:pPr>
        <w:pStyle w:val="Heading2"/>
      </w:pPr>
      <w:r>
        <w:t>Days 10–30: testing and versioning foundation</w:t>
      </w:r>
    </w:p>
    <w:p>
      <w:pPr>
        <w:pStyle w:val="ListNumber"/>
        <w:spacing w:after="40"/>
      </w:pPr>
      <w:r>
        <w:rPr>
          <w:rFonts w:ascii="Liberation Sans" w:hAnsi="Liberation Sans"/>
          <w:sz w:val="18"/>
        </w:rPr>
        <w:t>Implement immutable `ruleset_id` and `calculation_run` context through the full engine.</w:t>
      </w:r>
    </w:p>
    <w:p>
      <w:pPr>
        <w:pStyle w:val="ListNumber"/>
        <w:spacing w:after="40"/>
      </w:pPr>
      <w:r>
        <w:rPr>
          <w:rFonts w:ascii="Liberation Sans" w:hAnsi="Liberation Sans"/>
          <w:sz w:val="18"/>
        </w:rPr>
        <w:t>Build Golden Portfolio v0.1 with at least one happy-path and boundary scenario per implemented rule branch.</w:t>
      </w:r>
    </w:p>
    <w:p>
      <w:pPr>
        <w:pStyle w:val="ListNumber"/>
        <w:spacing w:after="40"/>
      </w:pPr>
      <w:r>
        <w:rPr>
          <w:rFonts w:ascii="Liberation Sans" w:hAnsi="Liberation Sans"/>
          <w:sz w:val="18"/>
        </w:rPr>
        <w:t>Add automated test layers T1–T6 and CI gating.</w:t>
      </w:r>
    </w:p>
    <w:p>
      <w:pPr>
        <w:pStyle w:val="ListNumber"/>
        <w:spacing w:after="40"/>
      </w:pPr>
      <w:r>
        <w:rPr>
          <w:rFonts w:ascii="Liberation Sans" w:hAnsi="Liberation Sans"/>
          <w:sz w:val="18"/>
        </w:rPr>
        <w:t>Create Synthetic Portfolio Generator v0.1 with deterministic seeds, scenario tags and dirty-data modes.</w:t>
      </w:r>
    </w:p>
    <w:p>
      <w:pPr>
        <w:pStyle w:val="ListNumber"/>
        <w:spacing w:after="40"/>
      </w:pPr>
      <w:r>
        <w:rPr>
          <w:rFonts w:ascii="Liberation Sans" w:hAnsi="Liberation Sans"/>
          <w:sz w:val="18"/>
        </w:rPr>
        <w:t>Separate FFIEC 101 mapping/configuration from the capital-calculation core.</w:t>
      </w:r>
    </w:p>
    <w:p>
      <w:pPr>
        <w:pStyle w:val="ListNumber"/>
        <w:spacing w:after="40"/>
      </w:pPr>
      <w:r>
        <w:rPr>
          <w:rFonts w:ascii="Liberation Sans" w:hAnsi="Liberation Sans"/>
          <w:sz w:val="18"/>
        </w:rPr>
        <w:t>Begin rule-definition refactor: move stable constants/thresholds/mappings into versioned configuration, leaving complex formulas in deterministic Python initially.</w:t>
      </w:r>
    </w:p>
    <w:p>
      <w:pPr>
        <w:pStyle w:val="Heading2"/>
      </w:pPr>
      <w:r>
        <w:t>Days 31–60: knowledge graph + NPR change model</w:t>
      </w:r>
    </w:p>
    <w:p>
      <w:pPr>
        <w:pStyle w:val="ListNumber"/>
        <w:spacing w:after="40"/>
      </w:pPr>
      <w:r>
        <w:rPr>
          <w:rFonts w:ascii="Liberation Sans" w:hAnsi="Liberation Sans"/>
          <w:sz w:val="18"/>
        </w:rPr>
        <w:t>Create BCBS canonical nodes for the exact credit-risk concepts already implemented; do not model the full Basel Framework yet.</w:t>
      </w:r>
    </w:p>
    <w:p>
      <w:pPr>
        <w:pStyle w:val="ListNumber"/>
        <w:spacing w:after="40"/>
      </w:pPr>
      <w:r>
        <w:rPr>
          <w:rFonts w:ascii="Liberation Sans" w:hAnsi="Liberation Sans"/>
          <w:sz w:val="18"/>
        </w:rPr>
        <w:t>Ingest March 2026 U.S. NPR metadata and in-scope sections from the official agencies; maintain document hashes and citations. [R2]</w:t>
      </w:r>
    </w:p>
    <w:p>
      <w:pPr>
        <w:pStyle w:val="ListNumber"/>
        <w:spacing w:after="40"/>
      </w:pPr>
      <w:r>
        <w:rPr>
          <w:rFonts w:ascii="Liberation Sans" w:hAnsi="Liberation Sans"/>
          <w:sz w:val="18"/>
        </w:rPr>
        <w:t>Build old/new rule crosswalk and reviewed change-event records.</w:t>
      </w:r>
    </w:p>
    <w:p>
      <w:pPr>
        <w:pStyle w:val="ListNumber"/>
        <w:spacing w:after="40"/>
      </w:pPr>
      <w:r>
        <w:rPr>
          <w:rFonts w:ascii="Liberation Sans" w:hAnsi="Liberation Sans"/>
          <w:sz w:val="18"/>
        </w:rPr>
        <w:t>Connect each changed rule to UDM fields, product/exposure classes and affected tests.</w:t>
      </w:r>
    </w:p>
    <w:p>
      <w:pPr>
        <w:pStyle w:val="ListNumber"/>
        <w:spacing w:after="40"/>
      </w:pPr>
      <w:r>
        <w:rPr>
          <w:rFonts w:ascii="Liberation Sans" w:hAnsi="Liberation Sans"/>
          <w:sz w:val="18"/>
        </w:rPr>
        <w:t>Implement current vs `US_NPR_2026_03` dual execution behind a single calculation API.</w:t>
      </w:r>
    </w:p>
    <w:p>
      <w:pPr>
        <w:pStyle w:val="Heading2"/>
      </w:pPr>
      <w:r>
        <w:t>Days 61–90: first commercial demo</w:t>
      </w:r>
    </w:p>
    <w:p>
      <w:pPr>
        <w:pStyle w:val="ListNumber"/>
        <w:spacing w:after="40"/>
      </w:pPr>
      <w:r>
        <w:rPr>
          <w:rFonts w:ascii="Liberation Sans" w:hAnsi="Liberation Sans"/>
          <w:sz w:val="18"/>
        </w:rPr>
        <w:t>Build ΔRWA engine with driver categories and exposure-to-portfolio rollups.</w:t>
      </w:r>
    </w:p>
    <w:p>
      <w:pPr>
        <w:pStyle w:val="ListNumber"/>
        <w:spacing w:after="40"/>
      </w:pPr>
      <w:r>
        <w:rPr>
          <w:rFonts w:ascii="Liberation Sans" w:hAnsi="Liberation Sans"/>
          <w:sz w:val="18"/>
        </w:rPr>
        <w:t>Build Data Readiness view: required, available, missing, inconsistent and ambiguous fields by change area.</w:t>
      </w:r>
    </w:p>
    <w:p>
      <w:pPr>
        <w:pStyle w:val="ListNumber"/>
        <w:spacing w:after="40"/>
      </w:pPr>
      <w:r>
        <w:rPr>
          <w:rFonts w:ascii="Liberation Sans" w:hAnsi="Liberation Sans"/>
          <w:sz w:val="18"/>
        </w:rPr>
        <w:t>Build AI explanation endpoint constrained to deterministic evidence and regulatory citations.</w:t>
      </w:r>
    </w:p>
    <w:p>
      <w:pPr>
        <w:pStyle w:val="ListNumber"/>
        <w:spacing w:after="40"/>
      </w:pPr>
      <w:r>
        <w:rPr>
          <w:rFonts w:ascii="Liberation Sans" w:hAnsi="Liberation Sans"/>
          <w:sz w:val="18"/>
        </w:rPr>
        <w:t>Generate an exportable “Capital Change Assessment” report from a 100K–1M synthetic bank portfolio.</w:t>
      </w:r>
    </w:p>
    <w:p>
      <w:pPr>
        <w:pStyle w:val="ListNumber"/>
        <w:spacing w:after="40"/>
      </w:pPr>
      <w:r>
        <w:rPr>
          <w:rFonts w:ascii="Liberation Sans" w:hAnsi="Liberation Sans"/>
          <w:sz w:val="18"/>
        </w:rPr>
        <w:t>Build six core UI screens: Regulatory Change Overview, Basel/U.S. Crosswalk, Product/Data Impact, Current-vs-Proposed RWA, Driver Investigation, Test/Evidence Pack.</w:t>
      </w:r>
    </w:p>
    <w:p>
      <w:pPr>
        <w:pStyle w:val="ListNumber"/>
        <w:spacing w:after="40"/>
      </w:pPr>
      <w:r>
        <w:rPr>
          <w:rFonts w:ascii="Liberation Sans" w:hAnsi="Liberation Sans"/>
          <w:sz w:val="18"/>
        </w:rPr>
        <w:t>Use the demo to interview 8–12 practitioners/consultants; measure willingness to pay for a portfolio impact assessment and vendor-neutral assurance pilot.</w:t>
      </w:r>
    </w:p>
    <w:p>
      <w:pPr>
        <w:pStyle w:val="Heading2"/>
      </w:pPr>
      <w:r>
        <w:t>Definition of “ready for first paid pilot”</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shd w:fill="17365D"/>
            <w:tcMar>
              <w:top w:w="70" w:type="dxa"/>
              <w:start w:w="90" w:type="dxa"/>
              <w:bottom w:w="70" w:type="dxa"/>
              <w:end w:w="90" w:type="dxa"/>
            </w:tcMar>
          </w:tcPr>
          <w:p>
            <w:r>
              <w:rPr>
                <w:b/>
                <w:color w:val="FFFFFF"/>
                <w:sz w:val="16"/>
              </w:rPr>
              <w:t>Gate</w:t>
            </w:r>
          </w:p>
        </w:tc>
        <w:tc>
          <w:tcPr>
            <w:tcW w:type="dxa" w:w="5040"/>
            <w:shd w:fill="17365D"/>
            <w:tcMar>
              <w:top w:w="70" w:type="dxa"/>
              <w:start w:w="90" w:type="dxa"/>
              <w:bottom w:w="70" w:type="dxa"/>
              <w:end w:w="90" w:type="dxa"/>
            </w:tcMar>
          </w:tcPr>
          <w:p>
            <w:r>
              <w:rPr>
                <w:b/>
                <w:color w:val="FFFFFF"/>
                <w:sz w:val="16"/>
              </w:rPr>
              <w:t>Minimum condition</w:t>
            </w:r>
          </w:p>
        </w:tc>
      </w:tr>
      <w:tr>
        <w:tc>
          <w:tcPr>
            <w:tcW w:type="dxa" w:w="5040"/>
            <w:vAlign w:val="top"/>
            <w:tcMar>
              <w:top w:w="70" w:type="dxa"/>
              <w:start w:w="90" w:type="dxa"/>
              <w:bottom w:w="70" w:type="dxa"/>
              <w:end w:w="90" w:type="dxa"/>
            </w:tcMar>
          </w:tcPr>
          <w:p>
            <w:pPr>
              <w:spacing w:after="0"/>
            </w:pPr>
            <w:r>
              <w:rPr>
                <w:rFonts w:ascii="Liberation Sans" w:hAnsi="Liberation Sans"/>
                <w:sz w:val="16"/>
              </w:rPr>
              <w:t>Correctness</w:t>
            </w:r>
          </w:p>
        </w:tc>
        <w:tc>
          <w:tcPr>
            <w:tcW w:type="dxa" w:w="5040"/>
            <w:vAlign w:val="top"/>
            <w:tcMar>
              <w:top w:w="70" w:type="dxa"/>
              <w:start w:w="90" w:type="dxa"/>
              <w:bottom w:w="70" w:type="dxa"/>
              <w:end w:w="90" w:type="dxa"/>
            </w:tcMar>
          </w:tcPr>
          <w:p>
            <w:pPr>
              <w:spacing w:after="0"/>
            </w:pPr>
            <w:r>
              <w:rPr>
                <w:rFonts w:ascii="Liberation Sans" w:hAnsi="Liberation Sans"/>
                <w:sz w:val="16"/>
              </w:rPr>
              <w:t>100% approved Golden Portfolio results; no unexplained regressions</w:t>
            </w:r>
          </w:p>
        </w:tc>
      </w:tr>
      <w:tr>
        <w:tc>
          <w:tcPr>
            <w:tcW w:type="dxa" w:w="5040"/>
            <w:vAlign w:val="top"/>
            <w:tcMar>
              <w:top w:w="70" w:type="dxa"/>
              <w:start w:w="90" w:type="dxa"/>
              <w:bottom w:w="70" w:type="dxa"/>
              <w:end w:w="90" w:type="dxa"/>
            </w:tcMar>
            <w:shd w:fill="F7F9FB"/>
          </w:tcPr>
          <w:p>
            <w:pPr>
              <w:spacing w:after="0"/>
            </w:pPr>
            <w:r>
              <w:rPr>
                <w:rFonts w:ascii="Liberation Sans" w:hAnsi="Liberation Sans"/>
                <w:sz w:val="16"/>
              </w:rPr>
              <w:t>Traceability</w:t>
            </w:r>
          </w:p>
        </w:tc>
        <w:tc>
          <w:tcPr>
            <w:tcW w:type="dxa" w:w="5040"/>
            <w:vAlign w:val="top"/>
            <w:tcMar>
              <w:top w:w="70" w:type="dxa"/>
              <w:start w:w="90" w:type="dxa"/>
              <w:bottom w:w="70" w:type="dxa"/>
              <w:end w:w="90" w:type="dxa"/>
            </w:tcMar>
            <w:shd w:fill="F7F9FB"/>
          </w:tcPr>
          <w:p>
            <w:pPr>
              <w:spacing w:after="0"/>
            </w:pPr>
            <w:r>
              <w:rPr>
                <w:rFonts w:ascii="Liberation Sans" w:hAnsi="Liberation Sans"/>
                <w:sz w:val="16"/>
              </w:rPr>
              <w:t>Every result resolves input snapshot, engine version, ruleset, rule IDs and sources</w:t>
            </w:r>
          </w:p>
        </w:tc>
      </w:tr>
      <w:tr>
        <w:tc>
          <w:tcPr>
            <w:tcW w:type="dxa" w:w="5040"/>
            <w:vAlign w:val="top"/>
            <w:tcMar>
              <w:top w:w="70" w:type="dxa"/>
              <w:start w:w="90" w:type="dxa"/>
              <w:bottom w:w="70" w:type="dxa"/>
              <w:end w:w="90" w:type="dxa"/>
            </w:tcMar>
          </w:tcPr>
          <w:p>
            <w:pPr>
              <w:spacing w:after="0"/>
            </w:pPr>
            <w:r>
              <w:rPr>
                <w:rFonts w:ascii="Liberation Sans" w:hAnsi="Liberation Sans"/>
                <w:sz w:val="16"/>
              </w:rPr>
              <w:t>Proposal labeling</w:t>
            </w:r>
          </w:p>
        </w:tc>
        <w:tc>
          <w:tcPr>
            <w:tcW w:type="dxa" w:w="5040"/>
            <w:vAlign w:val="top"/>
            <w:tcMar>
              <w:top w:w="70" w:type="dxa"/>
              <w:start w:w="90" w:type="dxa"/>
              <w:bottom w:w="70" w:type="dxa"/>
              <w:end w:w="90" w:type="dxa"/>
            </w:tcMar>
          </w:tcPr>
          <w:p>
            <w:pPr>
              <w:spacing w:after="0"/>
            </w:pPr>
            <w:r>
              <w:rPr>
                <w:rFonts w:ascii="Liberation Sans" w:hAnsi="Liberation Sans"/>
                <w:sz w:val="16"/>
              </w:rPr>
              <w:t>No proposed rule can be mistaken for in-force/final rule</w:t>
            </w:r>
          </w:p>
        </w:tc>
      </w:tr>
      <w:tr>
        <w:tc>
          <w:tcPr>
            <w:tcW w:type="dxa" w:w="5040"/>
            <w:vAlign w:val="top"/>
            <w:tcMar>
              <w:top w:w="70" w:type="dxa"/>
              <w:start w:w="90" w:type="dxa"/>
              <w:bottom w:w="70" w:type="dxa"/>
              <w:end w:w="90" w:type="dxa"/>
            </w:tcMar>
            <w:shd w:fill="F7F9FB"/>
          </w:tcPr>
          <w:p>
            <w:pPr>
              <w:spacing w:after="0"/>
            </w:pPr>
            <w:r>
              <w:rPr>
                <w:rFonts w:ascii="Liberation Sans" w:hAnsi="Liberation Sans"/>
                <w:sz w:val="16"/>
              </w:rPr>
              <w:t>Impact</w:t>
            </w:r>
          </w:p>
        </w:tc>
        <w:tc>
          <w:tcPr>
            <w:tcW w:type="dxa" w:w="5040"/>
            <w:vAlign w:val="top"/>
            <w:tcMar>
              <w:top w:w="70" w:type="dxa"/>
              <w:start w:w="90" w:type="dxa"/>
              <w:bottom w:w="70" w:type="dxa"/>
              <w:end w:w="90" w:type="dxa"/>
            </w:tcMar>
            <w:shd w:fill="F7F9FB"/>
          </w:tcPr>
          <w:p>
            <w:pPr>
              <w:spacing w:after="0"/>
            </w:pPr>
            <w:r>
              <w:rPr>
                <w:rFonts w:ascii="Liberation Sans" w:hAnsi="Liberation Sans"/>
                <w:sz w:val="16"/>
              </w:rPr>
              <w:t>Old/new execution and ΔRWA works on a realistic synthetic portfolio</w:t>
            </w:r>
          </w:p>
        </w:tc>
      </w:tr>
      <w:tr>
        <w:tc>
          <w:tcPr>
            <w:tcW w:type="dxa" w:w="5040"/>
            <w:vAlign w:val="top"/>
            <w:tcMar>
              <w:top w:w="70" w:type="dxa"/>
              <w:start w:w="90" w:type="dxa"/>
              <w:bottom w:w="70" w:type="dxa"/>
              <w:end w:w="90" w:type="dxa"/>
            </w:tcMar>
          </w:tcPr>
          <w:p>
            <w:pPr>
              <w:spacing w:after="0"/>
            </w:pPr>
            <w:r>
              <w:rPr>
                <w:rFonts w:ascii="Liberation Sans" w:hAnsi="Liberation Sans"/>
                <w:sz w:val="16"/>
              </w:rPr>
              <w:t>Evidence</w:t>
            </w:r>
          </w:p>
        </w:tc>
        <w:tc>
          <w:tcPr>
            <w:tcW w:type="dxa" w:w="5040"/>
            <w:vAlign w:val="top"/>
            <w:tcMar>
              <w:top w:w="70" w:type="dxa"/>
              <w:start w:w="90" w:type="dxa"/>
              <w:bottom w:w="70" w:type="dxa"/>
              <w:end w:w="90" w:type="dxa"/>
            </w:tcMar>
          </w:tcPr>
          <w:p>
            <w:pPr>
              <w:spacing w:after="0"/>
            </w:pPr>
            <w:r>
              <w:rPr>
                <w:rFonts w:ascii="Liberation Sans" w:hAnsi="Liberation Sans"/>
                <w:sz w:val="16"/>
              </w:rPr>
              <w:t>Exportable rule/test/result evidence pack</w:t>
            </w:r>
          </w:p>
        </w:tc>
      </w:tr>
      <w:tr>
        <w:tc>
          <w:tcPr>
            <w:tcW w:type="dxa" w:w="5040"/>
            <w:vAlign w:val="top"/>
            <w:tcMar>
              <w:top w:w="70" w:type="dxa"/>
              <w:start w:w="90" w:type="dxa"/>
              <w:bottom w:w="70" w:type="dxa"/>
              <w:end w:w="90" w:type="dxa"/>
            </w:tcMar>
            <w:shd w:fill="F7F9FB"/>
          </w:tcPr>
          <w:p>
            <w:pPr>
              <w:spacing w:after="0"/>
            </w:pPr>
            <w:r>
              <w:rPr>
                <w:rFonts w:ascii="Liberation Sans" w:hAnsi="Liberation Sans"/>
                <w:sz w:val="16"/>
              </w:rPr>
              <w:t>Security</w:t>
            </w:r>
          </w:p>
        </w:tc>
        <w:tc>
          <w:tcPr>
            <w:tcW w:type="dxa" w:w="5040"/>
            <w:vAlign w:val="top"/>
            <w:tcMar>
              <w:top w:w="70" w:type="dxa"/>
              <w:start w:w="90" w:type="dxa"/>
              <w:bottom w:w="70" w:type="dxa"/>
              <w:end w:w="90" w:type="dxa"/>
            </w:tcMar>
            <w:shd w:fill="F7F9FB"/>
          </w:tcPr>
          <w:p>
            <w:pPr>
              <w:spacing w:after="0"/>
            </w:pPr>
            <w:r>
              <w:rPr>
                <w:rFonts w:ascii="Liberation Sans" w:hAnsi="Liberation Sans"/>
                <w:sz w:val="16"/>
              </w:rPr>
              <w:t>Sanitized pilot process; encryption, access controls, audit logs</w:t>
            </w:r>
          </w:p>
        </w:tc>
      </w:tr>
      <w:tr>
        <w:tc>
          <w:tcPr>
            <w:tcW w:type="dxa" w:w="5040"/>
            <w:vAlign w:val="top"/>
            <w:tcMar>
              <w:top w:w="70" w:type="dxa"/>
              <w:start w:w="90" w:type="dxa"/>
              <w:bottom w:w="70" w:type="dxa"/>
              <w:end w:w="90" w:type="dxa"/>
            </w:tcMar>
          </w:tcPr>
          <w:p>
            <w:pPr>
              <w:spacing w:after="0"/>
            </w:pPr>
            <w:r>
              <w:rPr>
                <w:rFonts w:ascii="Liberation Sans" w:hAnsi="Liberation Sans"/>
                <w:sz w:val="16"/>
              </w:rPr>
              <w:t>Performance</w:t>
            </w:r>
          </w:p>
        </w:tc>
        <w:tc>
          <w:tcPr>
            <w:tcW w:type="dxa" w:w="5040"/>
            <w:vAlign w:val="top"/>
            <w:tcMar>
              <w:top w:w="70" w:type="dxa"/>
              <w:start w:w="90" w:type="dxa"/>
              <w:bottom w:w="70" w:type="dxa"/>
              <w:end w:w="90" w:type="dxa"/>
            </w:tcMar>
          </w:tcPr>
          <w:p>
            <w:pPr>
              <w:spacing w:after="0"/>
            </w:pPr>
            <w:r>
              <w:rPr>
                <w:rFonts w:ascii="Liberation Sans" w:hAnsi="Liberation Sans"/>
                <w:sz w:val="16"/>
              </w:rPr>
              <w:t>Documented SLA for agreed pilot portfolio size</w:t>
            </w:r>
          </w:p>
        </w:tc>
      </w:tr>
      <w:tr>
        <w:tc>
          <w:tcPr>
            <w:tcW w:type="dxa" w:w="5040"/>
            <w:vAlign w:val="top"/>
            <w:tcMar>
              <w:top w:w="70" w:type="dxa"/>
              <w:start w:w="90" w:type="dxa"/>
              <w:bottom w:w="70" w:type="dxa"/>
              <w:end w:w="90" w:type="dxa"/>
            </w:tcMar>
            <w:shd w:fill="F7F9FB"/>
          </w:tcPr>
          <w:p>
            <w:pPr>
              <w:spacing w:after="0"/>
            </w:pPr>
            <w:r>
              <w:rPr>
                <w:rFonts w:ascii="Liberation Sans" w:hAnsi="Liberation Sans"/>
                <w:sz w:val="16"/>
              </w:rPr>
              <w:t>Commercial</w:t>
            </w:r>
          </w:p>
        </w:tc>
        <w:tc>
          <w:tcPr>
            <w:tcW w:type="dxa" w:w="5040"/>
            <w:vAlign w:val="top"/>
            <w:tcMar>
              <w:top w:w="70" w:type="dxa"/>
              <w:start w:w="90" w:type="dxa"/>
              <w:bottom w:w="70" w:type="dxa"/>
              <w:end w:w="90" w:type="dxa"/>
            </w:tcMar>
            <w:shd w:fill="F7F9FB"/>
          </w:tcPr>
          <w:p>
            <w:pPr>
              <w:spacing w:after="0"/>
            </w:pPr>
            <w:r>
              <w:rPr>
                <w:rFonts w:ascii="Liberation Sans" w:hAnsi="Liberation Sans"/>
                <w:sz w:val="16"/>
              </w:rPr>
              <w:t>Clear pilot scope, inputs, deliverables and acceptance criteria</w:t>
            </w:r>
          </w:p>
        </w:tc>
      </w:tr>
    </w:tbl>
    <w:p>
      <w:pPr>
        <w:spacing w:after="20"/>
      </w:pPr>
    </w:p>
    <w:p>
      <w:r>
        <w:br w:type="page"/>
      </w:r>
    </w:p>
    <w:p>
      <w:pPr>
        <w:pStyle w:val="Heading1"/>
      </w:pPr>
      <w:r>
        <w:t>14. Go-to-market and monetization plan</w:t>
      </w:r>
    </w:p>
    <w:p>
      <w:pPr>
        <w:pStyle w:val="Heading2"/>
      </w:pPr>
      <w:r>
        <w:t>14.1 Do not start with an enterprise replacement sale</w:t>
      </w:r>
    </w:p>
    <w:p>
      <w:r>
        <w:rPr>
          <w:rFonts w:ascii="Liberation Sans" w:hAnsi="Liberation Sans"/>
          <w:sz w:val="19"/>
        </w:rPr>
        <w:t>The first monetization motion should sell a result rather than an infrastructure transformation. Offer a paid “2026 Capital Proposal Impact Assessment” or “Independent RWA Reconciliation Assessment.” The product performs the work behind the scenes; this lowers procurement friction and generates reference cases.</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tblHeader w:val="true"/>
        </w:trPr>
        <w:tc>
          <w:tcPr>
            <w:tcW w:type="dxa" w:w="2520"/>
            <w:shd w:fill="17365D"/>
            <w:tcMar>
              <w:top w:w="70" w:type="dxa"/>
              <w:start w:w="90" w:type="dxa"/>
              <w:bottom w:w="70" w:type="dxa"/>
              <w:end w:w="90" w:type="dxa"/>
            </w:tcMar>
          </w:tcPr>
          <w:p>
            <w:r>
              <w:rPr>
                <w:b/>
                <w:color w:val="FFFFFF"/>
                <w:sz w:val="16"/>
              </w:rPr>
              <w:t>Offer</w:t>
            </w:r>
          </w:p>
        </w:tc>
        <w:tc>
          <w:tcPr>
            <w:tcW w:type="dxa" w:w="2520"/>
            <w:shd w:fill="17365D"/>
            <w:tcMar>
              <w:top w:w="70" w:type="dxa"/>
              <w:start w:w="90" w:type="dxa"/>
              <w:bottom w:w="70" w:type="dxa"/>
              <w:end w:w="90" w:type="dxa"/>
            </w:tcMar>
          </w:tcPr>
          <w:p>
            <w:r>
              <w:rPr>
                <w:b/>
                <w:color w:val="FFFFFF"/>
                <w:sz w:val="16"/>
              </w:rPr>
              <w:t>Customer provides</w:t>
            </w:r>
          </w:p>
        </w:tc>
        <w:tc>
          <w:tcPr>
            <w:tcW w:type="dxa" w:w="2520"/>
            <w:shd w:fill="17365D"/>
            <w:tcMar>
              <w:top w:w="70" w:type="dxa"/>
              <w:start w:w="90" w:type="dxa"/>
              <w:bottom w:w="70" w:type="dxa"/>
              <w:end w:w="90" w:type="dxa"/>
            </w:tcMar>
          </w:tcPr>
          <w:p>
            <w:r>
              <w:rPr>
                <w:b/>
                <w:color w:val="FFFFFF"/>
                <w:sz w:val="16"/>
              </w:rPr>
              <w:t>We deliver</w:t>
            </w:r>
          </w:p>
        </w:tc>
        <w:tc>
          <w:tcPr>
            <w:tcW w:type="dxa" w:w="2520"/>
            <w:shd w:fill="17365D"/>
            <w:tcMar>
              <w:top w:w="70" w:type="dxa"/>
              <w:start w:w="90" w:type="dxa"/>
              <w:bottom w:w="70" w:type="dxa"/>
              <w:end w:w="90" w:type="dxa"/>
            </w:tcMar>
          </w:tcPr>
          <w:p>
            <w:r>
              <w:rPr>
                <w:b/>
                <w:color w:val="FFFFFF"/>
                <w:sz w:val="16"/>
              </w:rPr>
              <w:t>Commercial objective</w:t>
            </w:r>
          </w:p>
        </w:tc>
      </w:tr>
      <w:tr>
        <w:tc>
          <w:tcPr>
            <w:tcW w:type="dxa" w:w="2520"/>
            <w:vAlign w:val="top"/>
            <w:tcMar>
              <w:top w:w="70" w:type="dxa"/>
              <w:start w:w="90" w:type="dxa"/>
              <w:bottom w:w="70" w:type="dxa"/>
              <w:end w:w="90" w:type="dxa"/>
            </w:tcMar>
          </w:tcPr>
          <w:p>
            <w:pPr>
              <w:spacing w:after="0"/>
            </w:pPr>
            <w:r>
              <w:rPr>
                <w:rFonts w:ascii="Liberation Sans" w:hAnsi="Liberation Sans"/>
                <w:sz w:val="16"/>
              </w:rPr>
              <w:t>Capital Change Assessment</w:t>
            </w:r>
          </w:p>
        </w:tc>
        <w:tc>
          <w:tcPr>
            <w:tcW w:type="dxa" w:w="2520"/>
            <w:vAlign w:val="top"/>
            <w:tcMar>
              <w:top w:w="70" w:type="dxa"/>
              <w:start w:w="90" w:type="dxa"/>
              <w:bottom w:w="70" w:type="dxa"/>
              <w:end w:w="90" w:type="dxa"/>
            </w:tcMar>
          </w:tcPr>
          <w:p>
            <w:pPr>
              <w:spacing w:after="0"/>
            </w:pPr>
            <w:r>
              <w:rPr>
                <w:rFonts w:ascii="Liberation Sans" w:hAnsi="Liberation Sans"/>
                <w:sz w:val="16"/>
              </w:rPr>
              <w:t>Sanitized portfolio + current RWA + relevant metadata</w:t>
            </w:r>
          </w:p>
        </w:tc>
        <w:tc>
          <w:tcPr>
            <w:tcW w:type="dxa" w:w="2520"/>
            <w:vAlign w:val="top"/>
            <w:tcMar>
              <w:top w:w="70" w:type="dxa"/>
              <w:start w:w="90" w:type="dxa"/>
              <w:bottom w:w="70" w:type="dxa"/>
              <w:end w:w="90" w:type="dxa"/>
            </w:tcMar>
          </w:tcPr>
          <w:p>
            <w:pPr>
              <w:spacing w:after="0"/>
            </w:pPr>
            <w:r>
              <w:rPr>
                <w:rFonts w:ascii="Liberation Sans" w:hAnsi="Liberation Sans"/>
                <w:sz w:val="16"/>
              </w:rPr>
              <w:t>Rule delta, data gaps, old/new RWA, driver analysis, implementation/test pack</w:t>
            </w:r>
          </w:p>
        </w:tc>
        <w:tc>
          <w:tcPr>
            <w:tcW w:type="dxa" w:w="2520"/>
            <w:vAlign w:val="top"/>
            <w:tcMar>
              <w:top w:w="70" w:type="dxa"/>
              <w:start w:w="90" w:type="dxa"/>
              <w:bottom w:w="70" w:type="dxa"/>
              <w:end w:w="90" w:type="dxa"/>
            </w:tcMar>
          </w:tcPr>
          <w:p>
            <w:pPr>
              <w:spacing w:after="0"/>
            </w:pPr>
            <w:r>
              <w:rPr>
                <w:rFonts w:ascii="Liberation Sans" w:hAnsi="Liberation Sans"/>
                <w:sz w:val="16"/>
              </w:rPr>
              <w:t>Paid proof of value</w:t>
            </w:r>
          </w:p>
        </w:tc>
      </w:tr>
      <w:tr>
        <w:tc>
          <w:tcPr>
            <w:tcW w:type="dxa" w:w="2520"/>
            <w:vAlign w:val="top"/>
            <w:tcMar>
              <w:top w:w="70" w:type="dxa"/>
              <w:start w:w="90" w:type="dxa"/>
              <w:bottom w:w="70" w:type="dxa"/>
              <w:end w:w="90" w:type="dxa"/>
            </w:tcMar>
            <w:shd w:fill="F7F9FB"/>
          </w:tcPr>
          <w:p>
            <w:pPr>
              <w:spacing w:after="0"/>
            </w:pPr>
            <w:r>
              <w:rPr>
                <w:rFonts w:ascii="Liberation Sans" w:hAnsi="Liberation Sans"/>
                <w:sz w:val="16"/>
              </w:rPr>
              <w:t>RWA Assurance Pilot</w:t>
            </w:r>
          </w:p>
        </w:tc>
        <w:tc>
          <w:tcPr>
            <w:tcW w:type="dxa" w:w="2520"/>
            <w:vAlign w:val="top"/>
            <w:tcMar>
              <w:top w:w="70" w:type="dxa"/>
              <w:start w:w="90" w:type="dxa"/>
              <w:bottom w:w="70" w:type="dxa"/>
              <w:end w:w="90" w:type="dxa"/>
            </w:tcMar>
            <w:shd w:fill="F7F9FB"/>
          </w:tcPr>
          <w:p>
            <w:pPr>
              <w:spacing w:after="0"/>
            </w:pPr>
            <w:r>
              <w:rPr>
                <w:rFonts w:ascii="Liberation Sans" w:hAnsi="Liberation Sans"/>
                <w:sz w:val="16"/>
              </w:rPr>
              <w:t>Portfolio + incumbent results</w:t>
            </w:r>
          </w:p>
        </w:tc>
        <w:tc>
          <w:tcPr>
            <w:tcW w:type="dxa" w:w="2520"/>
            <w:vAlign w:val="top"/>
            <w:tcMar>
              <w:top w:w="70" w:type="dxa"/>
              <w:start w:w="90" w:type="dxa"/>
              <w:bottom w:w="70" w:type="dxa"/>
              <w:end w:w="90" w:type="dxa"/>
            </w:tcMar>
            <w:shd w:fill="F7F9FB"/>
          </w:tcPr>
          <w:p>
            <w:pPr>
              <w:spacing w:after="0"/>
            </w:pPr>
            <w:r>
              <w:rPr>
                <w:rFonts w:ascii="Liberation Sans" w:hAnsi="Liberation Sans"/>
                <w:sz w:val="16"/>
              </w:rPr>
              <w:t>Independent reproduction, differences, explanations, evidence</w:t>
            </w:r>
          </w:p>
        </w:tc>
        <w:tc>
          <w:tcPr>
            <w:tcW w:type="dxa" w:w="2520"/>
            <w:vAlign w:val="top"/>
            <w:tcMar>
              <w:top w:w="70" w:type="dxa"/>
              <w:start w:w="90" w:type="dxa"/>
              <w:bottom w:w="70" w:type="dxa"/>
              <w:end w:w="90" w:type="dxa"/>
            </w:tcMar>
            <w:shd w:fill="F7F9FB"/>
          </w:tcPr>
          <w:p>
            <w:pPr>
              <w:spacing w:after="0"/>
            </w:pPr>
            <w:r>
              <w:rPr>
                <w:rFonts w:ascii="Liberation Sans" w:hAnsi="Liberation Sans"/>
                <w:sz w:val="16"/>
              </w:rPr>
              <w:t>Control/validation wedge</w:t>
            </w:r>
          </w:p>
        </w:tc>
      </w:tr>
      <w:tr>
        <w:tc>
          <w:tcPr>
            <w:tcW w:type="dxa" w:w="2520"/>
            <w:vAlign w:val="top"/>
            <w:tcMar>
              <w:top w:w="70" w:type="dxa"/>
              <w:start w:w="90" w:type="dxa"/>
              <w:bottom w:w="70" w:type="dxa"/>
              <w:end w:w="90" w:type="dxa"/>
            </w:tcMar>
          </w:tcPr>
          <w:p>
            <w:pPr>
              <w:spacing w:after="0"/>
            </w:pPr>
            <w:r>
              <w:rPr>
                <w:rFonts w:ascii="Liberation Sans" w:hAnsi="Liberation Sans"/>
                <w:sz w:val="16"/>
              </w:rPr>
              <w:t>Annual Change Assurance</w:t>
            </w:r>
          </w:p>
        </w:tc>
        <w:tc>
          <w:tcPr>
            <w:tcW w:type="dxa" w:w="2520"/>
            <w:vAlign w:val="top"/>
            <w:tcMar>
              <w:top w:w="70" w:type="dxa"/>
              <w:start w:w="90" w:type="dxa"/>
              <w:bottom w:w="70" w:type="dxa"/>
              <w:end w:w="90" w:type="dxa"/>
            </w:tcMar>
          </w:tcPr>
          <w:p>
            <w:pPr>
              <w:spacing w:after="0"/>
            </w:pPr>
            <w:r>
              <w:rPr>
                <w:rFonts w:ascii="Liberation Sans" w:hAnsi="Liberation Sans"/>
                <w:sz w:val="16"/>
              </w:rPr>
              <w:t>Ongoing portfolio snapshots + system integration</w:t>
            </w:r>
          </w:p>
        </w:tc>
        <w:tc>
          <w:tcPr>
            <w:tcW w:type="dxa" w:w="2520"/>
            <w:vAlign w:val="top"/>
            <w:tcMar>
              <w:top w:w="70" w:type="dxa"/>
              <w:start w:w="90" w:type="dxa"/>
              <w:bottom w:w="70" w:type="dxa"/>
              <w:end w:w="90" w:type="dxa"/>
            </w:tcMar>
          </w:tcPr>
          <w:p>
            <w:pPr>
              <w:spacing w:after="0"/>
            </w:pPr>
            <w:r>
              <w:rPr>
                <w:rFonts w:ascii="Liberation Sans" w:hAnsi="Liberation Sans"/>
                <w:sz w:val="16"/>
              </w:rPr>
              <w:t>Continuous proposal/final/amendment impact + regression</w:t>
            </w:r>
          </w:p>
        </w:tc>
        <w:tc>
          <w:tcPr>
            <w:tcW w:type="dxa" w:w="2520"/>
            <w:vAlign w:val="top"/>
            <w:tcMar>
              <w:top w:w="70" w:type="dxa"/>
              <w:start w:w="90" w:type="dxa"/>
              <w:bottom w:w="70" w:type="dxa"/>
              <w:end w:w="90" w:type="dxa"/>
            </w:tcMar>
          </w:tcPr>
          <w:p>
            <w:pPr>
              <w:spacing w:after="0"/>
            </w:pPr>
            <w:r>
              <w:rPr>
                <w:rFonts w:ascii="Liberation Sans" w:hAnsi="Liberation Sans"/>
                <w:sz w:val="16"/>
              </w:rPr>
              <w:t>Recurring SaaS</w:t>
            </w:r>
          </w:p>
        </w:tc>
      </w:tr>
      <w:tr>
        <w:tc>
          <w:tcPr>
            <w:tcW w:type="dxa" w:w="2520"/>
            <w:vAlign w:val="top"/>
            <w:tcMar>
              <w:top w:w="70" w:type="dxa"/>
              <w:start w:w="90" w:type="dxa"/>
              <w:bottom w:w="70" w:type="dxa"/>
              <w:end w:w="90" w:type="dxa"/>
            </w:tcMar>
            <w:shd w:fill="F7F9FB"/>
          </w:tcPr>
          <w:p>
            <w:pPr>
              <w:spacing w:after="0"/>
            </w:pPr>
            <w:r>
              <w:rPr>
                <w:rFonts w:ascii="Liberation Sans" w:hAnsi="Liberation Sans"/>
                <w:sz w:val="16"/>
              </w:rPr>
              <w:t>Consulting partner license</w:t>
            </w:r>
          </w:p>
        </w:tc>
        <w:tc>
          <w:tcPr>
            <w:tcW w:type="dxa" w:w="2520"/>
            <w:vAlign w:val="top"/>
            <w:tcMar>
              <w:top w:w="70" w:type="dxa"/>
              <w:start w:w="90" w:type="dxa"/>
              <w:bottom w:w="70" w:type="dxa"/>
              <w:end w:w="90" w:type="dxa"/>
            </w:tcMar>
            <w:shd w:fill="F7F9FB"/>
          </w:tcPr>
          <w:p>
            <w:pPr>
              <w:spacing w:after="0"/>
            </w:pPr>
            <w:r>
              <w:rPr>
                <w:rFonts w:ascii="Liberation Sans" w:hAnsi="Liberation Sans"/>
                <w:sz w:val="16"/>
              </w:rPr>
              <w:t>Multiple client workspaces</w:t>
            </w:r>
          </w:p>
        </w:tc>
        <w:tc>
          <w:tcPr>
            <w:tcW w:type="dxa" w:w="2520"/>
            <w:vAlign w:val="top"/>
            <w:tcMar>
              <w:top w:w="70" w:type="dxa"/>
              <w:start w:w="90" w:type="dxa"/>
              <w:bottom w:w="70" w:type="dxa"/>
              <w:end w:w="90" w:type="dxa"/>
            </w:tcMar>
            <w:shd w:fill="F7F9FB"/>
          </w:tcPr>
          <w:p>
            <w:pPr>
              <w:spacing w:after="0"/>
            </w:pPr>
            <w:r>
              <w:rPr>
                <w:rFonts w:ascii="Liberation Sans" w:hAnsi="Liberation Sans"/>
                <w:sz w:val="16"/>
              </w:rPr>
              <w:t>Reusable capital impact/validation tooling</w:t>
            </w:r>
          </w:p>
        </w:tc>
        <w:tc>
          <w:tcPr>
            <w:tcW w:type="dxa" w:w="2520"/>
            <w:vAlign w:val="top"/>
            <w:tcMar>
              <w:top w:w="70" w:type="dxa"/>
              <w:start w:w="90" w:type="dxa"/>
              <w:bottom w:w="70" w:type="dxa"/>
              <w:end w:w="90" w:type="dxa"/>
            </w:tcMar>
            <w:shd w:fill="F7F9FB"/>
          </w:tcPr>
          <w:p>
            <w:pPr>
              <w:spacing w:after="0"/>
            </w:pPr>
            <w:r>
              <w:rPr>
                <w:rFonts w:ascii="Liberation Sans" w:hAnsi="Liberation Sans"/>
                <w:sz w:val="16"/>
              </w:rPr>
              <w:t>Distribution channel</w:t>
            </w:r>
          </w:p>
        </w:tc>
      </w:tr>
    </w:tbl>
    <w:p>
      <w:pPr>
        <w:spacing w:after="20"/>
      </w:pPr>
    </w:p>
    <w:p>
      <w:pPr>
        <w:pStyle w:val="Heading2"/>
      </w:pPr>
      <w:r>
        <w:t>14.2 Pricing hypotheses to validate — not fixed prices</w:t>
      </w:r>
    </w:p>
    <w:p>
      <w:r>
        <w:rPr>
          <w:rFonts w:ascii="Liberation Sans" w:hAnsi="Liberation Sans"/>
          <w:sz w:val="19"/>
        </w:rPr>
        <w:t>Use discovery rather than assuming pricing. Initial hypotheses from the prior strategy discussion can be tested around paid assessments, module pilots and annual licenses. The commercial KPI is not simply ARR at first; it is time-to-first-value, analyst hours reduced, number/value of RWA discrepancies identified, and implementation/testing effort avoided.</w:t>
      </w:r>
    </w:p>
    <w:p>
      <w:pPr>
        <w:pStyle w:val="Heading2"/>
      </w:pPr>
      <w:r>
        <w:t>14.3 Buyer personas</w:t>
      </w:r>
    </w:p>
    <w:p>
      <w:pPr>
        <w:pStyle w:val="ListBullet"/>
        <w:spacing w:after="40"/>
      </w:pPr>
      <w:r>
        <w:rPr>
          <w:rFonts w:ascii="Liberation Sans" w:hAnsi="Liberation Sans"/>
          <w:sz w:val="18"/>
        </w:rPr>
        <w:t>Head of Regulatory Capital / Capital Management.</w:t>
      </w:r>
    </w:p>
    <w:p>
      <w:pPr>
        <w:pStyle w:val="ListBullet"/>
        <w:spacing w:after="40"/>
      </w:pPr>
      <w:r>
        <w:rPr>
          <w:rFonts w:ascii="Liberation Sans" w:hAnsi="Liberation Sans"/>
          <w:sz w:val="18"/>
        </w:rPr>
        <w:t>Basel implementation program lead / regulatory change office.</w:t>
      </w:r>
    </w:p>
    <w:p>
      <w:pPr>
        <w:pStyle w:val="ListBullet"/>
        <w:spacing w:after="40"/>
      </w:pPr>
      <w:r>
        <w:rPr>
          <w:rFonts w:ascii="Liberation Sans" w:hAnsi="Liberation Sans"/>
          <w:sz w:val="18"/>
        </w:rPr>
        <w:t>Regulatory reporting control / data quality lead.</w:t>
      </w:r>
    </w:p>
    <w:p>
      <w:pPr>
        <w:pStyle w:val="ListBullet"/>
        <w:spacing w:after="40"/>
      </w:pPr>
      <w:r>
        <w:rPr>
          <w:rFonts w:ascii="Liberation Sans" w:hAnsi="Liberation Sans"/>
          <w:sz w:val="18"/>
        </w:rPr>
        <w:t>Independent model validation / capital assurance.</w:t>
      </w:r>
    </w:p>
    <w:p>
      <w:pPr>
        <w:pStyle w:val="ListBullet"/>
        <w:spacing w:after="40"/>
      </w:pPr>
      <w:r>
        <w:rPr>
          <w:rFonts w:ascii="Liberation Sans" w:hAnsi="Liberation Sans"/>
          <w:sz w:val="18"/>
        </w:rPr>
        <w:t>Internal audit / finance-risk control.</w:t>
      </w:r>
    </w:p>
    <w:p>
      <w:pPr>
        <w:pStyle w:val="ListBullet"/>
        <w:spacing w:after="40"/>
      </w:pPr>
      <w:r>
        <w:rPr>
          <w:rFonts w:ascii="Liberation Sans" w:hAnsi="Liberation Sans"/>
          <w:sz w:val="18"/>
        </w:rPr>
        <w:t>Regulatory-capital consulting boutiques and implementation partners.</w:t>
      </w:r>
    </w:p>
    <w:p>
      <w:pPr>
        <w:pStyle w:val="Heading2"/>
      </w:pPr>
      <w:r>
        <w:t>14.4 Sales proof metrics</w:t>
      </w:r>
    </w:p>
    <w:p>
      <w:pPr>
        <w:pStyle w:val="ListBullet"/>
        <w:spacing w:after="40"/>
      </w:pPr>
      <w:r>
        <w:rPr>
          <w:rFonts w:ascii="Liberation Sans" w:hAnsi="Liberation Sans"/>
          <w:sz w:val="18"/>
        </w:rPr>
        <w:t>Hours/days to explain a material RWA movement before vs after.</w:t>
      </w:r>
    </w:p>
    <w:p>
      <w:pPr>
        <w:pStyle w:val="ListBullet"/>
        <w:spacing w:after="40"/>
      </w:pPr>
      <w:r>
        <w:rPr>
          <w:rFonts w:ascii="Liberation Sans" w:hAnsi="Liberation Sans"/>
          <w:sz w:val="18"/>
        </w:rPr>
        <w:t>Percent of exposures independently reproduced.</w:t>
      </w:r>
    </w:p>
    <w:p>
      <w:pPr>
        <w:pStyle w:val="ListBullet"/>
        <w:spacing w:after="40"/>
      </w:pPr>
      <w:r>
        <w:rPr>
          <w:rFonts w:ascii="Liberation Sans" w:hAnsi="Liberation Sans"/>
          <w:sz w:val="18"/>
        </w:rPr>
        <w:t>Count/value of material differences and data gaps detected.</w:t>
      </w:r>
    </w:p>
    <w:p>
      <w:pPr>
        <w:pStyle w:val="ListBullet"/>
        <w:spacing w:after="40"/>
      </w:pPr>
      <w:r>
        <w:rPr>
          <w:rFonts w:ascii="Liberation Sans" w:hAnsi="Liberation Sans"/>
          <w:sz w:val="18"/>
        </w:rPr>
        <w:t>Number of changed rules automatically mapped to data/calculation/tests.</w:t>
      </w:r>
    </w:p>
    <w:p>
      <w:pPr>
        <w:pStyle w:val="ListBullet"/>
        <w:spacing w:after="40"/>
      </w:pPr>
      <w:r>
        <w:rPr>
          <w:rFonts w:ascii="Liberation Sans" w:hAnsi="Liberation Sans"/>
          <w:sz w:val="18"/>
        </w:rPr>
        <w:t>Regression-test creation/execution time saved.</w:t>
      </w:r>
    </w:p>
    <w:p>
      <w:pPr>
        <w:pStyle w:val="ListBullet"/>
        <w:spacing w:after="40"/>
      </w:pPr>
      <w:r>
        <w:rPr>
          <w:rFonts w:ascii="Liberation Sans" w:hAnsi="Liberation Sans"/>
          <w:sz w:val="18"/>
        </w:rPr>
        <w:t>Evidence pack preparation time saved for audit/regulator/management review.</w:t>
      </w:r>
    </w:p>
    <w:p>
      <w:r>
        <w:br w:type="page"/>
      </w:r>
    </w:p>
    <w:p>
      <w:pPr>
        <w:pStyle w:val="Heading1"/>
      </w:pPr>
      <w:r>
        <w:t>15. Delivery team and engineering operating model</w:t>
      </w:r>
    </w:p>
    <w:p>
      <w:pPr>
        <w:pStyle w:val="Heading2"/>
      </w:pPr>
      <w:r>
        <w:t>15.1 Minimum product team</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shd w:fill="17365D"/>
            <w:tcMar>
              <w:top w:w="70" w:type="dxa"/>
              <w:start w:w="90" w:type="dxa"/>
              <w:bottom w:w="70" w:type="dxa"/>
              <w:end w:w="90" w:type="dxa"/>
            </w:tcMar>
          </w:tcPr>
          <w:p>
            <w:r>
              <w:rPr>
                <w:b/>
                <w:color w:val="FFFFFF"/>
                <w:sz w:val="16"/>
              </w:rPr>
              <w:t>Role</w:t>
            </w:r>
          </w:p>
        </w:tc>
        <w:tc>
          <w:tcPr>
            <w:tcW w:type="dxa" w:w="3360"/>
            <w:shd w:fill="17365D"/>
            <w:tcMar>
              <w:top w:w="70" w:type="dxa"/>
              <w:start w:w="90" w:type="dxa"/>
              <w:bottom w:w="70" w:type="dxa"/>
              <w:end w:w="90" w:type="dxa"/>
            </w:tcMar>
          </w:tcPr>
          <w:p>
            <w:r>
              <w:rPr>
                <w:b/>
                <w:color w:val="FFFFFF"/>
                <w:sz w:val="16"/>
              </w:rPr>
              <w:t>Primary responsibility</w:t>
            </w:r>
          </w:p>
        </w:tc>
        <w:tc>
          <w:tcPr>
            <w:tcW w:type="dxa" w:w="3360"/>
            <w:shd w:fill="17365D"/>
            <w:tcMar>
              <w:top w:w="70" w:type="dxa"/>
              <w:start w:w="90" w:type="dxa"/>
              <w:bottom w:w="70" w:type="dxa"/>
              <w:end w:w="90" w:type="dxa"/>
            </w:tcMar>
          </w:tcPr>
          <w:p>
            <w:r>
              <w:rPr>
                <w:b/>
                <w:color w:val="FFFFFF"/>
                <w:sz w:val="16"/>
              </w:rPr>
              <w:t>Initial staffing</w:t>
            </w:r>
          </w:p>
        </w:tc>
      </w:tr>
      <w:tr>
        <w:tc>
          <w:tcPr>
            <w:tcW w:type="dxa" w:w="3360"/>
            <w:vAlign w:val="top"/>
            <w:tcMar>
              <w:top w:w="70" w:type="dxa"/>
              <w:start w:w="90" w:type="dxa"/>
              <w:bottom w:w="70" w:type="dxa"/>
              <w:end w:w="90" w:type="dxa"/>
            </w:tcMar>
          </w:tcPr>
          <w:p>
            <w:pPr>
              <w:spacing w:after="0"/>
            </w:pPr>
            <w:r>
              <w:rPr>
                <w:rFonts w:ascii="Liberation Sans" w:hAnsi="Liberation Sans"/>
                <w:sz w:val="16"/>
              </w:rPr>
              <w:t>Founder / prudential SME</w:t>
            </w:r>
          </w:p>
        </w:tc>
        <w:tc>
          <w:tcPr>
            <w:tcW w:type="dxa" w:w="3360"/>
            <w:vAlign w:val="top"/>
            <w:tcMar>
              <w:top w:w="70" w:type="dxa"/>
              <w:start w:w="90" w:type="dxa"/>
              <w:bottom w:w="70" w:type="dxa"/>
              <w:end w:w="90" w:type="dxa"/>
            </w:tcMar>
          </w:tcPr>
          <w:p>
            <w:pPr>
              <w:spacing w:after="0"/>
            </w:pPr>
            <w:r>
              <w:rPr>
                <w:rFonts w:ascii="Liberation Sans" w:hAnsi="Liberation Sans"/>
                <w:sz w:val="16"/>
              </w:rPr>
              <w:t>Product decisions, Basel interpretation, customer discovery</w:t>
            </w:r>
          </w:p>
        </w:tc>
        <w:tc>
          <w:tcPr>
            <w:tcW w:type="dxa" w:w="3360"/>
            <w:vAlign w:val="top"/>
            <w:tcMar>
              <w:top w:w="70" w:type="dxa"/>
              <w:start w:w="90" w:type="dxa"/>
              <w:bottom w:w="70" w:type="dxa"/>
              <w:end w:w="90" w:type="dxa"/>
            </w:tcMar>
          </w:tcPr>
          <w:p>
            <w:pPr>
              <w:spacing w:after="0"/>
            </w:pPr>
            <w:r>
              <w:rPr>
                <w:rFonts w:ascii="Liberation Sans" w:hAnsi="Liberation Sans"/>
                <w:sz w:val="16"/>
              </w:rPr>
              <w:t>1</w:t>
            </w:r>
          </w:p>
        </w:tc>
      </w:tr>
      <w:tr>
        <w:tc>
          <w:tcPr>
            <w:tcW w:type="dxa" w:w="3360"/>
            <w:vAlign w:val="top"/>
            <w:tcMar>
              <w:top w:w="70" w:type="dxa"/>
              <w:start w:w="90" w:type="dxa"/>
              <w:bottom w:w="70" w:type="dxa"/>
              <w:end w:w="90" w:type="dxa"/>
            </w:tcMar>
            <w:shd w:fill="F7F9FB"/>
          </w:tcPr>
          <w:p>
            <w:pPr>
              <w:spacing w:after="0"/>
            </w:pPr>
            <w:r>
              <w:rPr>
                <w:rFonts w:ascii="Liberation Sans" w:hAnsi="Liberation Sans"/>
                <w:sz w:val="16"/>
              </w:rPr>
              <w:t>Backend/rule-engine engineer</w:t>
            </w:r>
          </w:p>
        </w:tc>
        <w:tc>
          <w:tcPr>
            <w:tcW w:type="dxa" w:w="3360"/>
            <w:vAlign w:val="top"/>
            <w:tcMar>
              <w:top w:w="70" w:type="dxa"/>
              <w:start w:w="90" w:type="dxa"/>
              <w:bottom w:w="70" w:type="dxa"/>
              <w:end w:w="90" w:type="dxa"/>
            </w:tcMar>
            <w:shd w:fill="F7F9FB"/>
          </w:tcPr>
          <w:p>
            <w:pPr>
              <w:spacing w:after="0"/>
            </w:pPr>
            <w:r>
              <w:rPr>
                <w:rFonts w:ascii="Liberation Sans" w:hAnsi="Liberation Sans"/>
                <w:sz w:val="16"/>
              </w:rPr>
              <w:t>Python engine, ruleset/versioning, APIs</w:t>
            </w:r>
          </w:p>
        </w:tc>
        <w:tc>
          <w:tcPr>
            <w:tcW w:type="dxa" w:w="3360"/>
            <w:vAlign w:val="top"/>
            <w:tcMar>
              <w:top w:w="70" w:type="dxa"/>
              <w:start w:w="90" w:type="dxa"/>
              <w:bottom w:w="70" w:type="dxa"/>
              <w:end w:w="90" w:type="dxa"/>
            </w:tcMar>
            <w:shd w:fill="F7F9FB"/>
          </w:tcPr>
          <w:p>
            <w:pPr>
              <w:spacing w:after="0"/>
            </w:pPr>
            <w:r>
              <w:rPr>
                <w:rFonts w:ascii="Liberation Sans" w:hAnsi="Liberation Sans"/>
                <w:sz w:val="16"/>
              </w:rPr>
              <w:t>1–2</w:t>
            </w:r>
          </w:p>
        </w:tc>
      </w:tr>
      <w:tr>
        <w:tc>
          <w:tcPr>
            <w:tcW w:type="dxa" w:w="3360"/>
            <w:vAlign w:val="top"/>
            <w:tcMar>
              <w:top w:w="70" w:type="dxa"/>
              <w:start w:w="90" w:type="dxa"/>
              <w:bottom w:w="70" w:type="dxa"/>
              <w:end w:w="90" w:type="dxa"/>
            </w:tcMar>
          </w:tcPr>
          <w:p>
            <w:pPr>
              <w:spacing w:after="0"/>
            </w:pPr>
            <w:r>
              <w:rPr>
                <w:rFonts w:ascii="Liberation Sans" w:hAnsi="Liberation Sans"/>
                <w:sz w:val="16"/>
              </w:rPr>
              <w:t>Data engineer</w:t>
            </w:r>
          </w:p>
        </w:tc>
        <w:tc>
          <w:tcPr>
            <w:tcW w:type="dxa" w:w="3360"/>
            <w:vAlign w:val="top"/>
            <w:tcMar>
              <w:top w:w="70" w:type="dxa"/>
              <w:start w:w="90" w:type="dxa"/>
              <w:bottom w:w="70" w:type="dxa"/>
              <w:end w:w="90" w:type="dxa"/>
            </w:tcMar>
          </w:tcPr>
          <w:p>
            <w:pPr>
              <w:spacing w:after="0"/>
            </w:pPr>
            <w:r>
              <w:rPr>
                <w:rFonts w:ascii="Liberation Sans" w:hAnsi="Liberation Sans"/>
                <w:sz w:val="16"/>
              </w:rPr>
              <w:t>UDM, Parquet, synthetic generator, Spark adapter later</w:t>
            </w:r>
          </w:p>
        </w:tc>
        <w:tc>
          <w:tcPr>
            <w:tcW w:type="dxa" w:w="3360"/>
            <w:vAlign w:val="top"/>
            <w:tcMar>
              <w:top w:w="70" w:type="dxa"/>
              <w:start w:w="90" w:type="dxa"/>
              <w:bottom w:w="70" w:type="dxa"/>
              <w:end w:w="90" w:type="dxa"/>
            </w:tcMar>
          </w:tcPr>
          <w:p>
            <w:pPr>
              <w:spacing w:after="0"/>
            </w:pPr>
            <w:r>
              <w:rPr>
                <w:rFonts w:ascii="Liberation Sans" w:hAnsi="Liberation Sans"/>
                <w:sz w:val="16"/>
              </w:rPr>
              <w:t>1</w:t>
            </w:r>
          </w:p>
        </w:tc>
      </w:tr>
      <w:tr>
        <w:tc>
          <w:tcPr>
            <w:tcW w:type="dxa" w:w="3360"/>
            <w:vAlign w:val="top"/>
            <w:tcMar>
              <w:top w:w="70" w:type="dxa"/>
              <w:start w:w="90" w:type="dxa"/>
              <w:bottom w:w="70" w:type="dxa"/>
              <w:end w:w="90" w:type="dxa"/>
            </w:tcMar>
            <w:shd w:fill="F7F9FB"/>
          </w:tcPr>
          <w:p>
            <w:pPr>
              <w:spacing w:after="0"/>
            </w:pPr>
            <w:r>
              <w:rPr>
                <w:rFonts w:ascii="Liberation Sans" w:hAnsi="Liberation Sans"/>
                <w:sz w:val="16"/>
              </w:rPr>
              <w:t>AI/knowledge engineer</w:t>
            </w:r>
          </w:p>
        </w:tc>
        <w:tc>
          <w:tcPr>
            <w:tcW w:type="dxa" w:w="3360"/>
            <w:vAlign w:val="top"/>
            <w:tcMar>
              <w:top w:w="70" w:type="dxa"/>
              <w:start w:w="90" w:type="dxa"/>
              <w:bottom w:w="70" w:type="dxa"/>
              <w:end w:w="90" w:type="dxa"/>
            </w:tcMar>
            <w:shd w:fill="F7F9FB"/>
          </w:tcPr>
          <w:p>
            <w:pPr>
              <w:spacing w:after="0"/>
            </w:pPr>
            <w:r>
              <w:rPr>
                <w:rFonts w:ascii="Liberation Sans" w:hAnsi="Liberation Sans"/>
                <w:sz w:val="16"/>
              </w:rPr>
              <w:t>Regulatory graph, retrieval, diff/applicability agents</w:t>
            </w:r>
          </w:p>
        </w:tc>
        <w:tc>
          <w:tcPr>
            <w:tcW w:type="dxa" w:w="3360"/>
            <w:vAlign w:val="top"/>
            <w:tcMar>
              <w:top w:w="70" w:type="dxa"/>
              <w:start w:w="90" w:type="dxa"/>
              <w:bottom w:w="70" w:type="dxa"/>
              <w:end w:w="90" w:type="dxa"/>
            </w:tcMar>
            <w:shd w:fill="F7F9FB"/>
          </w:tcPr>
          <w:p>
            <w:pPr>
              <w:spacing w:after="0"/>
            </w:pPr>
            <w:r>
              <w:rPr>
                <w:rFonts w:ascii="Liberation Sans" w:hAnsi="Liberation Sans"/>
                <w:sz w:val="16"/>
              </w:rPr>
              <w:t>1</w:t>
            </w:r>
          </w:p>
        </w:tc>
      </w:tr>
      <w:tr>
        <w:tc>
          <w:tcPr>
            <w:tcW w:type="dxa" w:w="3360"/>
            <w:vAlign w:val="top"/>
            <w:tcMar>
              <w:top w:w="70" w:type="dxa"/>
              <w:start w:w="90" w:type="dxa"/>
              <w:bottom w:w="70" w:type="dxa"/>
              <w:end w:w="90" w:type="dxa"/>
            </w:tcMar>
          </w:tcPr>
          <w:p>
            <w:pPr>
              <w:spacing w:after="0"/>
            </w:pPr>
            <w:r>
              <w:rPr>
                <w:rFonts w:ascii="Liberation Sans" w:hAnsi="Liberation Sans"/>
                <w:sz w:val="16"/>
              </w:rPr>
              <w:t>Frontend engineer</w:t>
            </w:r>
          </w:p>
        </w:tc>
        <w:tc>
          <w:tcPr>
            <w:tcW w:type="dxa" w:w="3360"/>
            <w:vAlign w:val="top"/>
            <w:tcMar>
              <w:top w:w="70" w:type="dxa"/>
              <w:start w:w="90" w:type="dxa"/>
              <w:bottom w:w="70" w:type="dxa"/>
              <w:end w:w="90" w:type="dxa"/>
            </w:tcMar>
          </w:tcPr>
          <w:p>
            <w:pPr>
              <w:spacing w:after="0"/>
            </w:pPr>
            <w:r>
              <w:rPr>
                <w:rFonts w:ascii="Liberation Sans" w:hAnsi="Liberation Sans"/>
                <w:sz w:val="16"/>
              </w:rPr>
              <w:t>Change/assurance dashboards</w:t>
            </w:r>
          </w:p>
        </w:tc>
        <w:tc>
          <w:tcPr>
            <w:tcW w:type="dxa" w:w="3360"/>
            <w:vAlign w:val="top"/>
            <w:tcMar>
              <w:top w:w="70" w:type="dxa"/>
              <w:start w:w="90" w:type="dxa"/>
              <w:bottom w:w="70" w:type="dxa"/>
              <w:end w:w="90" w:type="dxa"/>
            </w:tcMar>
          </w:tcPr>
          <w:p>
            <w:pPr>
              <w:spacing w:after="0"/>
            </w:pPr>
            <w:r>
              <w:rPr>
                <w:rFonts w:ascii="Liberation Sans" w:hAnsi="Liberation Sans"/>
                <w:sz w:val="16"/>
              </w:rPr>
              <w:t>0.5–1</w:t>
            </w:r>
          </w:p>
        </w:tc>
      </w:tr>
      <w:tr>
        <w:tc>
          <w:tcPr>
            <w:tcW w:type="dxa" w:w="3360"/>
            <w:vAlign w:val="top"/>
            <w:tcMar>
              <w:top w:w="70" w:type="dxa"/>
              <w:start w:w="90" w:type="dxa"/>
              <w:bottom w:w="70" w:type="dxa"/>
              <w:end w:w="90" w:type="dxa"/>
            </w:tcMar>
            <w:shd w:fill="F7F9FB"/>
          </w:tcPr>
          <w:p>
            <w:pPr>
              <w:spacing w:after="0"/>
            </w:pPr>
            <w:r>
              <w:rPr>
                <w:rFonts w:ascii="Liberation Sans" w:hAnsi="Liberation Sans"/>
                <w:sz w:val="16"/>
              </w:rPr>
              <w:t>QA/regulatory test engineer</w:t>
            </w:r>
          </w:p>
        </w:tc>
        <w:tc>
          <w:tcPr>
            <w:tcW w:type="dxa" w:w="3360"/>
            <w:vAlign w:val="top"/>
            <w:tcMar>
              <w:top w:w="70" w:type="dxa"/>
              <w:start w:w="90" w:type="dxa"/>
              <w:bottom w:w="70" w:type="dxa"/>
              <w:end w:w="90" w:type="dxa"/>
            </w:tcMar>
            <w:shd w:fill="F7F9FB"/>
          </w:tcPr>
          <w:p>
            <w:pPr>
              <w:spacing w:after="0"/>
            </w:pPr>
            <w:r>
              <w:rPr>
                <w:rFonts w:ascii="Liberation Sans" w:hAnsi="Liberation Sans"/>
                <w:sz w:val="16"/>
              </w:rPr>
              <w:t>Golden portfolio, rule tests, regression evidence</w:t>
            </w:r>
          </w:p>
        </w:tc>
        <w:tc>
          <w:tcPr>
            <w:tcW w:type="dxa" w:w="3360"/>
            <w:vAlign w:val="top"/>
            <w:tcMar>
              <w:top w:w="70" w:type="dxa"/>
              <w:start w:w="90" w:type="dxa"/>
              <w:bottom w:w="70" w:type="dxa"/>
              <w:end w:w="90" w:type="dxa"/>
            </w:tcMar>
            <w:shd w:fill="F7F9FB"/>
          </w:tcPr>
          <w:p>
            <w:pPr>
              <w:spacing w:after="0"/>
            </w:pPr>
            <w:r>
              <w:rPr>
                <w:rFonts w:ascii="Liberation Sans" w:hAnsi="Liberation Sans"/>
                <w:sz w:val="16"/>
              </w:rPr>
              <w:t>1</w:t>
            </w:r>
          </w:p>
        </w:tc>
      </w:tr>
      <w:tr>
        <w:tc>
          <w:tcPr>
            <w:tcW w:type="dxa" w:w="3360"/>
            <w:vAlign w:val="top"/>
            <w:tcMar>
              <w:top w:w="70" w:type="dxa"/>
              <w:start w:w="90" w:type="dxa"/>
              <w:bottom w:w="70" w:type="dxa"/>
              <w:end w:w="90" w:type="dxa"/>
            </w:tcMar>
          </w:tcPr>
          <w:p>
            <w:pPr>
              <w:spacing w:after="0"/>
            </w:pPr>
            <w:r>
              <w:rPr>
                <w:rFonts w:ascii="Liberation Sans" w:hAnsi="Liberation Sans"/>
                <w:sz w:val="16"/>
              </w:rPr>
              <w:t>Security/DevOps</w:t>
            </w:r>
          </w:p>
        </w:tc>
        <w:tc>
          <w:tcPr>
            <w:tcW w:type="dxa" w:w="3360"/>
            <w:vAlign w:val="top"/>
            <w:tcMar>
              <w:top w:w="70" w:type="dxa"/>
              <w:start w:w="90" w:type="dxa"/>
              <w:bottom w:w="70" w:type="dxa"/>
              <w:end w:w="90" w:type="dxa"/>
            </w:tcMar>
          </w:tcPr>
          <w:p>
            <w:pPr>
              <w:spacing w:after="0"/>
            </w:pPr>
            <w:r>
              <w:rPr>
                <w:rFonts w:ascii="Liberation Sans" w:hAnsi="Liberation Sans"/>
                <w:sz w:val="16"/>
              </w:rPr>
              <w:t>CI/CD, deployment, VPC/K8s, observability</w:t>
            </w:r>
          </w:p>
        </w:tc>
        <w:tc>
          <w:tcPr>
            <w:tcW w:type="dxa" w:w="3360"/>
            <w:vAlign w:val="top"/>
            <w:tcMar>
              <w:top w:w="70" w:type="dxa"/>
              <w:start w:w="90" w:type="dxa"/>
              <w:bottom w:w="70" w:type="dxa"/>
              <w:end w:w="90" w:type="dxa"/>
            </w:tcMar>
          </w:tcPr>
          <w:p>
            <w:pPr>
              <w:spacing w:after="0"/>
            </w:pPr>
            <w:r>
              <w:rPr>
                <w:rFonts w:ascii="Liberation Sans" w:hAnsi="Liberation Sans"/>
                <w:sz w:val="16"/>
              </w:rPr>
              <w:t>fractional early</w:t>
            </w:r>
          </w:p>
        </w:tc>
      </w:tr>
      <w:tr>
        <w:tc>
          <w:tcPr>
            <w:tcW w:type="dxa" w:w="3360"/>
            <w:vAlign w:val="top"/>
            <w:tcMar>
              <w:top w:w="70" w:type="dxa"/>
              <w:start w:w="90" w:type="dxa"/>
              <w:bottom w:w="70" w:type="dxa"/>
              <w:end w:w="90" w:type="dxa"/>
            </w:tcMar>
            <w:shd w:fill="F7F9FB"/>
          </w:tcPr>
          <w:p>
            <w:pPr>
              <w:spacing w:after="0"/>
            </w:pPr>
            <w:r>
              <w:rPr>
                <w:rFonts w:ascii="Liberation Sans" w:hAnsi="Liberation Sans"/>
                <w:sz w:val="16"/>
              </w:rPr>
              <w:t>Independent Basel reviewer</w:t>
            </w:r>
          </w:p>
        </w:tc>
        <w:tc>
          <w:tcPr>
            <w:tcW w:type="dxa" w:w="3360"/>
            <w:vAlign w:val="top"/>
            <w:tcMar>
              <w:top w:w="70" w:type="dxa"/>
              <w:start w:w="90" w:type="dxa"/>
              <w:bottom w:w="70" w:type="dxa"/>
              <w:end w:w="90" w:type="dxa"/>
            </w:tcMar>
            <w:shd w:fill="F7F9FB"/>
          </w:tcPr>
          <w:p>
            <w:pPr>
              <w:spacing w:after="0"/>
            </w:pPr>
            <w:r>
              <w:rPr>
                <w:rFonts w:ascii="Liberation Sans" w:hAnsi="Liberation Sans"/>
                <w:sz w:val="16"/>
              </w:rPr>
              <w:t>Four-eyes validation of rule interpretations</w:t>
            </w:r>
          </w:p>
        </w:tc>
        <w:tc>
          <w:tcPr>
            <w:tcW w:type="dxa" w:w="3360"/>
            <w:vAlign w:val="top"/>
            <w:tcMar>
              <w:top w:w="70" w:type="dxa"/>
              <w:start w:w="90" w:type="dxa"/>
              <w:bottom w:w="70" w:type="dxa"/>
              <w:end w:w="90" w:type="dxa"/>
            </w:tcMar>
            <w:shd w:fill="F7F9FB"/>
          </w:tcPr>
          <w:p>
            <w:pPr>
              <w:spacing w:after="0"/>
            </w:pPr>
            <w:r>
              <w:rPr>
                <w:rFonts w:ascii="Liberation Sans" w:hAnsi="Liberation Sans"/>
                <w:sz w:val="16"/>
              </w:rPr>
              <w:t>fractional/contract</w:t>
            </w:r>
          </w:p>
        </w:tc>
      </w:tr>
    </w:tbl>
    <w:p>
      <w:pPr>
        <w:spacing w:after="20"/>
      </w:pPr>
    </w:p>
    <w:p>
      <w:pPr>
        <w:pStyle w:val="Heading2"/>
      </w:pPr>
      <w:r>
        <w:t>15.2 Engineering controls</w:t>
      </w:r>
    </w:p>
    <w:p>
      <w:pPr>
        <w:pStyle w:val="ListBullet"/>
        <w:spacing w:after="40"/>
      </w:pPr>
      <w:r>
        <w:rPr>
          <w:rFonts w:ascii="Liberation Sans" w:hAnsi="Liberation Sans"/>
          <w:sz w:val="18"/>
        </w:rPr>
        <w:t>Git-based rule/code versioning with immutable released ruleset IDs.</w:t>
      </w:r>
    </w:p>
    <w:p>
      <w:pPr>
        <w:pStyle w:val="ListBullet"/>
        <w:spacing w:after="40"/>
      </w:pPr>
      <w:r>
        <w:rPr>
          <w:rFonts w:ascii="Liberation Sans" w:hAnsi="Liberation Sans"/>
          <w:sz w:val="18"/>
        </w:rPr>
        <w:t>Pull-request review must include rule citation, tests and expected impact.</w:t>
      </w:r>
    </w:p>
    <w:p>
      <w:pPr>
        <w:pStyle w:val="ListBullet"/>
        <w:spacing w:after="40"/>
      </w:pPr>
      <w:r>
        <w:rPr>
          <w:rFonts w:ascii="Liberation Sans" w:hAnsi="Liberation Sans"/>
          <w:sz w:val="18"/>
        </w:rPr>
        <w:t>No direct production changes to regulatory logic without signed release package.</w:t>
      </w:r>
    </w:p>
    <w:p>
      <w:pPr>
        <w:pStyle w:val="ListBullet"/>
        <w:spacing w:after="40"/>
      </w:pPr>
      <w:r>
        <w:rPr>
          <w:rFonts w:ascii="Liberation Sans" w:hAnsi="Liberation Sans"/>
          <w:sz w:val="18"/>
        </w:rPr>
        <w:t>CI runs golden and regression tests; large portfolio scale suite runs on scheduled/pre-release cadence.</w:t>
      </w:r>
    </w:p>
    <w:p>
      <w:pPr>
        <w:pStyle w:val="ListBullet"/>
        <w:spacing w:after="40"/>
      </w:pPr>
      <w:r>
        <w:rPr>
          <w:rFonts w:ascii="Liberation Sans" w:hAnsi="Liberation Sans"/>
          <w:sz w:val="18"/>
        </w:rPr>
        <w:t>Regulatory content and calculations are separately versioned but linked in evidence.</w:t>
      </w:r>
    </w:p>
    <w:p>
      <w:r>
        <w:br w:type="page"/>
      </w:r>
    </w:p>
    <w:p>
      <w:pPr>
        <w:pStyle w:val="Heading1"/>
      </w:pPr>
      <w:r>
        <w:t>16. Major risks and mitigations</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shd w:fill="17365D"/>
            <w:tcMar>
              <w:top w:w="70" w:type="dxa"/>
              <w:start w:w="90" w:type="dxa"/>
              <w:bottom w:w="70" w:type="dxa"/>
              <w:end w:w="90" w:type="dxa"/>
            </w:tcMar>
          </w:tcPr>
          <w:p>
            <w:r>
              <w:rPr>
                <w:b/>
                <w:color w:val="FFFFFF"/>
                <w:sz w:val="15"/>
              </w:rPr>
              <w:t>Risk</w:t>
            </w:r>
          </w:p>
        </w:tc>
        <w:tc>
          <w:tcPr>
            <w:tcW w:type="dxa" w:w="3360"/>
            <w:shd w:fill="17365D"/>
            <w:tcMar>
              <w:top w:w="70" w:type="dxa"/>
              <w:start w:w="90" w:type="dxa"/>
              <w:bottom w:w="70" w:type="dxa"/>
              <w:end w:w="90" w:type="dxa"/>
            </w:tcMar>
          </w:tcPr>
          <w:p>
            <w:r>
              <w:rPr>
                <w:b/>
                <w:color w:val="FFFFFF"/>
                <w:sz w:val="15"/>
              </w:rPr>
              <w:t>Why it matters</w:t>
            </w:r>
          </w:p>
        </w:tc>
        <w:tc>
          <w:tcPr>
            <w:tcW w:type="dxa" w:w="3360"/>
            <w:shd w:fill="17365D"/>
            <w:tcMar>
              <w:top w:w="70" w:type="dxa"/>
              <w:start w:w="90" w:type="dxa"/>
              <w:bottom w:w="70" w:type="dxa"/>
              <w:end w:w="90" w:type="dxa"/>
            </w:tcMar>
          </w:tcPr>
          <w:p>
            <w:r>
              <w:rPr>
                <w:b/>
                <w:color w:val="FFFFFF"/>
                <w:sz w:val="15"/>
              </w:rPr>
              <w:t>Mitigation</w:t>
            </w:r>
          </w:p>
        </w:tc>
      </w:tr>
      <w:tr>
        <w:tc>
          <w:tcPr>
            <w:tcW w:type="dxa" w:w="3360"/>
            <w:vAlign w:val="top"/>
            <w:tcMar>
              <w:top w:w="70" w:type="dxa"/>
              <w:start w:w="90" w:type="dxa"/>
              <w:bottom w:w="70" w:type="dxa"/>
              <w:end w:w="90" w:type="dxa"/>
            </w:tcMar>
          </w:tcPr>
          <w:p>
            <w:pPr>
              <w:spacing w:after="0"/>
            </w:pPr>
            <w:r>
              <w:rPr>
                <w:rFonts w:ascii="Liberation Sans" w:hAnsi="Liberation Sans"/>
                <w:sz w:val="15"/>
              </w:rPr>
              <w:t>Competing with broad RegTech too early</w:t>
            </w:r>
          </w:p>
        </w:tc>
        <w:tc>
          <w:tcPr>
            <w:tcW w:type="dxa" w:w="3360"/>
            <w:vAlign w:val="top"/>
            <w:tcMar>
              <w:top w:w="70" w:type="dxa"/>
              <w:start w:w="90" w:type="dxa"/>
              <w:bottom w:w="70" w:type="dxa"/>
              <w:end w:w="90" w:type="dxa"/>
            </w:tcMar>
          </w:tcPr>
          <w:p>
            <w:pPr>
              <w:spacing w:after="0"/>
            </w:pPr>
            <w:r>
              <w:rPr>
                <w:rFonts w:ascii="Liberation Sans" w:hAnsi="Liberation Sans"/>
                <w:sz w:val="15"/>
              </w:rPr>
              <w:t>CUBE/FinregE already have content/change workflows</w:t>
            </w:r>
          </w:p>
        </w:tc>
        <w:tc>
          <w:tcPr>
            <w:tcW w:type="dxa" w:w="3360"/>
            <w:vAlign w:val="top"/>
            <w:tcMar>
              <w:top w:w="70" w:type="dxa"/>
              <w:start w:w="90" w:type="dxa"/>
              <w:bottom w:w="70" w:type="dxa"/>
              <w:end w:w="90" w:type="dxa"/>
            </w:tcMar>
          </w:tcPr>
          <w:p>
            <w:pPr>
              <w:spacing w:after="0"/>
            </w:pPr>
            <w:r>
              <w:rPr>
                <w:rFonts w:ascii="Liberation Sans" w:hAnsi="Liberation Sans"/>
                <w:sz w:val="15"/>
              </w:rPr>
              <w:t>Stay focused on executable capital change + assurance</w:t>
            </w:r>
          </w:p>
        </w:tc>
      </w:tr>
      <w:tr>
        <w:tc>
          <w:tcPr>
            <w:tcW w:type="dxa" w:w="3360"/>
            <w:vAlign w:val="top"/>
            <w:tcMar>
              <w:top w:w="70" w:type="dxa"/>
              <w:start w:w="90" w:type="dxa"/>
              <w:bottom w:w="70" w:type="dxa"/>
              <w:end w:w="90" w:type="dxa"/>
            </w:tcMar>
            <w:shd w:fill="F7F9FB"/>
          </w:tcPr>
          <w:p>
            <w:pPr>
              <w:spacing w:after="0"/>
            </w:pPr>
            <w:r>
              <w:rPr>
                <w:rFonts w:ascii="Liberation Sans" w:hAnsi="Liberation Sans"/>
                <w:sz w:val="15"/>
              </w:rPr>
              <w:t>Incumbents add similar AI features</w:t>
            </w:r>
          </w:p>
        </w:tc>
        <w:tc>
          <w:tcPr>
            <w:tcW w:type="dxa" w:w="3360"/>
            <w:vAlign w:val="top"/>
            <w:tcMar>
              <w:top w:w="70" w:type="dxa"/>
              <w:start w:w="90" w:type="dxa"/>
              <w:bottom w:w="70" w:type="dxa"/>
              <w:end w:w="90" w:type="dxa"/>
            </w:tcMar>
            <w:shd w:fill="F7F9FB"/>
          </w:tcPr>
          <w:p>
            <w:pPr>
              <w:spacing w:after="0"/>
            </w:pPr>
            <w:r>
              <w:rPr>
                <w:rFonts w:ascii="Liberation Sans" w:hAnsi="Liberation Sans"/>
                <w:sz w:val="15"/>
              </w:rPr>
              <w:t>AxiomSL/Regnology already invest in AI/change services</w:t>
            </w:r>
          </w:p>
        </w:tc>
        <w:tc>
          <w:tcPr>
            <w:tcW w:type="dxa" w:w="3360"/>
            <w:vAlign w:val="top"/>
            <w:tcMar>
              <w:top w:w="70" w:type="dxa"/>
              <w:start w:w="90" w:type="dxa"/>
              <w:bottom w:w="70" w:type="dxa"/>
              <w:end w:w="90" w:type="dxa"/>
            </w:tcMar>
            <w:shd w:fill="F7F9FB"/>
          </w:tcPr>
          <w:p>
            <w:pPr>
              <w:spacing w:after="0"/>
            </w:pPr>
            <w:r>
              <w:rPr>
                <w:rFonts w:ascii="Liberation Sans" w:hAnsi="Liberation Sans"/>
                <w:sz w:val="15"/>
              </w:rPr>
              <w:t>Vendor neutrality, cross-engine validation, independent evidence</w:t>
            </w:r>
          </w:p>
        </w:tc>
      </w:tr>
      <w:tr>
        <w:tc>
          <w:tcPr>
            <w:tcW w:type="dxa" w:w="3360"/>
            <w:vAlign w:val="top"/>
            <w:tcMar>
              <w:top w:w="70" w:type="dxa"/>
              <w:start w:w="90" w:type="dxa"/>
              <w:bottom w:w="70" w:type="dxa"/>
              <w:end w:w="90" w:type="dxa"/>
            </w:tcMar>
          </w:tcPr>
          <w:p>
            <w:pPr>
              <w:spacing w:after="0"/>
            </w:pPr>
            <w:r>
              <w:rPr>
                <w:rFonts w:ascii="Liberation Sans" w:hAnsi="Liberation Sans"/>
                <w:sz w:val="15"/>
              </w:rPr>
              <w:t>Rule interpretation error</w:t>
            </w:r>
          </w:p>
        </w:tc>
        <w:tc>
          <w:tcPr>
            <w:tcW w:type="dxa" w:w="3360"/>
            <w:vAlign w:val="top"/>
            <w:tcMar>
              <w:top w:w="70" w:type="dxa"/>
              <w:start w:w="90" w:type="dxa"/>
              <w:bottom w:w="70" w:type="dxa"/>
              <w:end w:w="90" w:type="dxa"/>
            </w:tcMar>
          </w:tcPr>
          <w:p>
            <w:pPr>
              <w:spacing w:after="0"/>
            </w:pPr>
            <w:r>
              <w:rPr>
                <w:rFonts w:ascii="Liberation Sans" w:hAnsi="Liberation Sans"/>
                <w:sz w:val="15"/>
              </w:rPr>
              <w:t>Direct regulatory/model risk</w:t>
            </w:r>
          </w:p>
        </w:tc>
        <w:tc>
          <w:tcPr>
            <w:tcW w:type="dxa" w:w="3360"/>
            <w:vAlign w:val="top"/>
            <w:tcMar>
              <w:top w:w="70" w:type="dxa"/>
              <w:start w:w="90" w:type="dxa"/>
              <w:bottom w:w="70" w:type="dxa"/>
              <w:end w:w="90" w:type="dxa"/>
            </w:tcMar>
          </w:tcPr>
          <w:p>
            <w:pPr>
              <w:spacing w:after="0"/>
            </w:pPr>
            <w:r>
              <w:rPr>
                <w:rFonts w:ascii="Liberation Sans" w:hAnsi="Liberation Sans"/>
                <w:sz w:val="15"/>
              </w:rPr>
              <w:t>Human-reviewed rules, sources, proposed/final status, golden tests</w:t>
            </w:r>
          </w:p>
        </w:tc>
      </w:tr>
      <w:tr>
        <w:tc>
          <w:tcPr>
            <w:tcW w:type="dxa" w:w="3360"/>
            <w:vAlign w:val="top"/>
            <w:tcMar>
              <w:top w:w="70" w:type="dxa"/>
              <w:start w:w="90" w:type="dxa"/>
              <w:bottom w:w="70" w:type="dxa"/>
              <w:end w:w="90" w:type="dxa"/>
            </w:tcMar>
            <w:shd w:fill="F7F9FB"/>
          </w:tcPr>
          <w:p>
            <w:pPr>
              <w:spacing w:after="0"/>
            </w:pPr>
            <w:r>
              <w:rPr>
                <w:rFonts w:ascii="Liberation Sans" w:hAnsi="Liberation Sans"/>
                <w:sz w:val="15"/>
              </w:rPr>
              <w:t>Python performance limitations</w:t>
            </w:r>
          </w:p>
        </w:tc>
        <w:tc>
          <w:tcPr>
            <w:tcW w:type="dxa" w:w="3360"/>
            <w:vAlign w:val="top"/>
            <w:tcMar>
              <w:top w:w="70" w:type="dxa"/>
              <w:start w:w="90" w:type="dxa"/>
              <w:bottom w:w="70" w:type="dxa"/>
              <w:end w:w="90" w:type="dxa"/>
            </w:tcMar>
            <w:shd w:fill="F7F9FB"/>
          </w:tcPr>
          <w:p>
            <w:pPr>
              <w:spacing w:after="0"/>
            </w:pPr>
            <w:r>
              <w:rPr>
                <w:rFonts w:ascii="Liberation Sans" w:hAnsi="Liberation Sans"/>
                <w:sz w:val="15"/>
              </w:rPr>
              <w:t>Large portfolios may exceed batch SLA</w:t>
            </w:r>
          </w:p>
        </w:tc>
        <w:tc>
          <w:tcPr>
            <w:tcW w:type="dxa" w:w="3360"/>
            <w:vAlign w:val="top"/>
            <w:tcMar>
              <w:top w:w="70" w:type="dxa"/>
              <w:start w:w="90" w:type="dxa"/>
              <w:bottom w:w="70" w:type="dxa"/>
              <w:end w:w="90" w:type="dxa"/>
            </w:tcMar>
            <w:shd w:fill="F7F9FB"/>
          </w:tcPr>
          <w:p>
            <w:pPr>
              <w:spacing w:after="0"/>
            </w:pPr>
            <w:r>
              <w:rPr>
                <w:rFonts w:ascii="Liberation Sans" w:hAnsi="Liberation Sans"/>
                <w:sz w:val="15"/>
              </w:rPr>
              <w:t>Vectorize first; Spark adapter after benchmark gate</w:t>
            </w:r>
          </w:p>
        </w:tc>
      </w:tr>
      <w:tr>
        <w:tc>
          <w:tcPr>
            <w:tcW w:type="dxa" w:w="3360"/>
            <w:vAlign w:val="top"/>
            <w:tcMar>
              <w:top w:w="70" w:type="dxa"/>
              <w:start w:w="90" w:type="dxa"/>
              <w:bottom w:w="70" w:type="dxa"/>
              <w:end w:w="90" w:type="dxa"/>
            </w:tcMar>
          </w:tcPr>
          <w:p>
            <w:pPr>
              <w:spacing w:after="0"/>
            </w:pPr>
            <w:r>
              <w:rPr>
                <w:rFonts w:ascii="Liberation Sans" w:hAnsi="Liberation Sans"/>
                <w:sz w:val="15"/>
              </w:rPr>
              <w:t>Dual Python/Spark code divergence</w:t>
            </w:r>
          </w:p>
        </w:tc>
        <w:tc>
          <w:tcPr>
            <w:tcW w:type="dxa" w:w="3360"/>
            <w:vAlign w:val="top"/>
            <w:tcMar>
              <w:top w:w="70" w:type="dxa"/>
              <w:start w:w="90" w:type="dxa"/>
              <w:bottom w:w="70" w:type="dxa"/>
              <w:end w:w="90" w:type="dxa"/>
            </w:tcMar>
          </w:tcPr>
          <w:p>
            <w:pPr>
              <w:spacing w:after="0"/>
            </w:pPr>
            <w:r>
              <w:rPr>
                <w:rFonts w:ascii="Liberation Sans" w:hAnsi="Liberation Sans"/>
                <w:sz w:val="15"/>
              </w:rPr>
              <w:t>Can produce different capital</w:t>
            </w:r>
          </w:p>
        </w:tc>
        <w:tc>
          <w:tcPr>
            <w:tcW w:type="dxa" w:w="3360"/>
            <w:vAlign w:val="top"/>
            <w:tcMar>
              <w:top w:w="70" w:type="dxa"/>
              <w:start w:w="90" w:type="dxa"/>
              <w:bottom w:w="70" w:type="dxa"/>
              <w:end w:w="90" w:type="dxa"/>
            </w:tcMar>
          </w:tcPr>
          <w:p>
            <w:pPr>
              <w:spacing w:after="0"/>
            </w:pPr>
            <w:r>
              <w:rPr>
                <w:rFonts w:ascii="Liberation Sans" w:hAnsi="Liberation Sans"/>
                <w:sz w:val="15"/>
              </w:rPr>
              <w:t>Single rule semantics + engine-equivalence test suite</w:t>
            </w:r>
          </w:p>
        </w:tc>
      </w:tr>
      <w:tr>
        <w:tc>
          <w:tcPr>
            <w:tcW w:type="dxa" w:w="3360"/>
            <w:vAlign w:val="top"/>
            <w:tcMar>
              <w:top w:w="70" w:type="dxa"/>
              <w:start w:w="90" w:type="dxa"/>
              <w:bottom w:w="70" w:type="dxa"/>
              <w:end w:w="90" w:type="dxa"/>
            </w:tcMar>
            <w:shd w:fill="F7F9FB"/>
          </w:tcPr>
          <w:p>
            <w:pPr>
              <w:spacing w:after="0"/>
            </w:pPr>
            <w:r>
              <w:rPr>
                <w:rFonts w:ascii="Liberation Sans" w:hAnsi="Liberation Sans"/>
                <w:sz w:val="15"/>
              </w:rPr>
              <w:t>Synthetic data gives false confidence</w:t>
            </w:r>
          </w:p>
        </w:tc>
        <w:tc>
          <w:tcPr>
            <w:tcW w:type="dxa" w:w="3360"/>
            <w:vAlign w:val="top"/>
            <w:tcMar>
              <w:top w:w="70" w:type="dxa"/>
              <w:start w:w="90" w:type="dxa"/>
              <w:bottom w:w="70" w:type="dxa"/>
              <w:end w:w="90" w:type="dxa"/>
            </w:tcMar>
            <w:shd w:fill="F7F9FB"/>
          </w:tcPr>
          <w:p>
            <w:pPr>
              <w:spacing w:after="0"/>
            </w:pPr>
            <w:r>
              <w:rPr>
                <w:rFonts w:ascii="Liberation Sans" w:hAnsi="Liberation Sans"/>
                <w:sz w:val="15"/>
              </w:rPr>
              <w:t>May miss production edge cases</w:t>
            </w:r>
          </w:p>
        </w:tc>
        <w:tc>
          <w:tcPr>
            <w:tcW w:type="dxa" w:w="3360"/>
            <w:vAlign w:val="top"/>
            <w:tcMar>
              <w:top w:w="70" w:type="dxa"/>
              <w:start w:w="90" w:type="dxa"/>
              <w:bottom w:w="70" w:type="dxa"/>
              <w:end w:w="90" w:type="dxa"/>
            </w:tcMar>
            <w:shd w:fill="F7F9FB"/>
          </w:tcPr>
          <w:p>
            <w:pPr>
              <w:spacing w:after="0"/>
            </w:pPr>
            <w:r>
              <w:rPr>
                <w:rFonts w:ascii="Liberation Sans" w:hAnsi="Liberation Sans"/>
                <w:sz w:val="15"/>
              </w:rPr>
              <w:t>Rule-driven golden cases + anonymized pilot datasets + dirty-data tests</w:t>
            </w:r>
          </w:p>
        </w:tc>
      </w:tr>
      <w:tr>
        <w:tc>
          <w:tcPr>
            <w:tcW w:type="dxa" w:w="3360"/>
            <w:vAlign w:val="top"/>
            <w:tcMar>
              <w:top w:w="70" w:type="dxa"/>
              <w:start w:w="90" w:type="dxa"/>
              <w:bottom w:w="70" w:type="dxa"/>
              <w:end w:w="90" w:type="dxa"/>
            </w:tcMar>
          </w:tcPr>
          <w:p>
            <w:pPr>
              <w:spacing w:after="0"/>
            </w:pPr>
            <w:r>
              <w:rPr>
                <w:rFonts w:ascii="Liberation Sans" w:hAnsi="Liberation Sans"/>
                <w:sz w:val="15"/>
              </w:rPr>
              <w:t>Bank procurement/security delays</w:t>
            </w:r>
          </w:p>
        </w:tc>
        <w:tc>
          <w:tcPr>
            <w:tcW w:type="dxa" w:w="3360"/>
            <w:vAlign w:val="top"/>
            <w:tcMar>
              <w:top w:w="70" w:type="dxa"/>
              <w:start w:w="90" w:type="dxa"/>
              <w:bottom w:w="70" w:type="dxa"/>
              <w:end w:w="90" w:type="dxa"/>
            </w:tcMar>
          </w:tcPr>
          <w:p>
            <w:pPr>
              <w:spacing w:after="0"/>
            </w:pPr>
            <w:r>
              <w:rPr>
                <w:rFonts w:ascii="Liberation Sans" w:hAnsi="Liberation Sans"/>
                <w:sz w:val="15"/>
              </w:rPr>
              <w:t>Enterprise sales can be slow</w:t>
            </w:r>
          </w:p>
        </w:tc>
        <w:tc>
          <w:tcPr>
            <w:tcW w:type="dxa" w:w="3360"/>
            <w:vAlign w:val="top"/>
            <w:tcMar>
              <w:top w:w="70" w:type="dxa"/>
              <w:start w:w="90" w:type="dxa"/>
              <w:bottom w:w="70" w:type="dxa"/>
              <w:end w:w="90" w:type="dxa"/>
            </w:tcMar>
          </w:tcPr>
          <w:p>
            <w:pPr>
              <w:spacing w:after="0"/>
            </w:pPr>
            <w:r>
              <w:rPr>
                <w:rFonts w:ascii="Liberation Sans" w:hAnsi="Liberation Sans"/>
                <w:sz w:val="15"/>
              </w:rPr>
              <w:t>Paid assessment, consulting channel, VPC/on-prem roadmap</w:t>
            </w:r>
          </w:p>
        </w:tc>
      </w:tr>
      <w:tr>
        <w:tc>
          <w:tcPr>
            <w:tcW w:type="dxa" w:w="3360"/>
            <w:vAlign w:val="top"/>
            <w:tcMar>
              <w:top w:w="70" w:type="dxa"/>
              <w:start w:w="90" w:type="dxa"/>
              <w:bottom w:w="70" w:type="dxa"/>
              <w:end w:w="90" w:type="dxa"/>
            </w:tcMar>
            <w:shd w:fill="F7F9FB"/>
          </w:tcPr>
          <w:p>
            <w:pPr>
              <w:spacing w:after="0"/>
            </w:pPr>
            <w:r>
              <w:rPr>
                <w:rFonts w:ascii="Liberation Sans" w:hAnsi="Liberation Sans"/>
                <w:sz w:val="15"/>
              </w:rPr>
              <w:t>Jurisdiction scope explosion</w:t>
            </w:r>
          </w:p>
        </w:tc>
        <w:tc>
          <w:tcPr>
            <w:tcW w:type="dxa" w:w="3360"/>
            <w:vAlign w:val="top"/>
            <w:tcMar>
              <w:top w:w="70" w:type="dxa"/>
              <w:start w:w="90" w:type="dxa"/>
              <w:bottom w:w="70" w:type="dxa"/>
              <w:end w:w="90" w:type="dxa"/>
            </w:tcMar>
            <w:shd w:fill="F7F9FB"/>
          </w:tcPr>
          <w:p>
            <w:pPr>
              <w:spacing w:after="0"/>
            </w:pPr>
            <w:r>
              <w:rPr>
                <w:rFonts w:ascii="Liberation Sans" w:hAnsi="Liberation Sans"/>
                <w:sz w:val="15"/>
              </w:rPr>
              <w:t>Basel implementations diverge</w:t>
            </w:r>
          </w:p>
        </w:tc>
        <w:tc>
          <w:tcPr>
            <w:tcW w:type="dxa" w:w="3360"/>
            <w:vAlign w:val="top"/>
            <w:tcMar>
              <w:top w:w="70" w:type="dxa"/>
              <w:start w:w="90" w:type="dxa"/>
              <w:bottom w:w="70" w:type="dxa"/>
              <w:end w:w="90" w:type="dxa"/>
            </w:tcMar>
            <w:shd w:fill="F7F9FB"/>
          </w:tcPr>
          <w:p>
            <w:pPr>
              <w:spacing w:after="0"/>
            </w:pPr>
            <w:r>
              <w:rPr>
                <w:rFonts w:ascii="Liberation Sans" w:hAnsi="Liberation Sans"/>
                <w:sz w:val="15"/>
              </w:rPr>
              <w:t>BCBS canonical graph + customer-led jurisdiction priority</w:t>
            </w:r>
          </w:p>
        </w:tc>
      </w:tr>
      <w:tr>
        <w:tc>
          <w:tcPr>
            <w:tcW w:type="dxa" w:w="3360"/>
            <w:vAlign w:val="top"/>
            <w:tcMar>
              <w:top w:w="70" w:type="dxa"/>
              <w:start w:w="90" w:type="dxa"/>
              <w:bottom w:w="70" w:type="dxa"/>
              <w:end w:w="90" w:type="dxa"/>
            </w:tcMar>
          </w:tcPr>
          <w:p>
            <w:pPr>
              <w:spacing w:after="0"/>
            </w:pPr>
            <w:r>
              <w:rPr>
                <w:rFonts w:ascii="Liberation Sans" w:hAnsi="Liberation Sans"/>
                <w:sz w:val="15"/>
              </w:rPr>
              <w:t>AI hallucination</w:t>
            </w:r>
          </w:p>
        </w:tc>
        <w:tc>
          <w:tcPr>
            <w:tcW w:type="dxa" w:w="3360"/>
            <w:vAlign w:val="top"/>
            <w:tcMar>
              <w:top w:w="70" w:type="dxa"/>
              <w:start w:w="90" w:type="dxa"/>
              <w:bottom w:w="70" w:type="dxa"/>
              <w:end w:w="90" w:type="dxa"/>
            </w:tcMar>
          </w:tcPr>
          <w:p>
            <w:pPr>
              <w:spacing w:after="0"/>
            </w:pPr>
            <w:r>
              <w:rPr>
                <w:rFonts w:ascii="Liberation Sans" w:hAnsi="Liberation Sans"/>
                <w:sz w:val="15"/>
              </w:rPr>
              <w:t>Regulated workflow requires trust</w:t>
            </w:r>
          </w:p>
        </w:tc>
        <w:tc>
          <w:tcPr>
            <w:tcW w:type="dxa" w:w="3360"/>
            <w:vAlign w:val="top"/>
            <w:tcMar>
              <w:top w:w="70" w:type="dxa"/>
              <w:start w:w="90" w:type="dxa"/>
              <w:bottom w:w="70" w:type="dxa"/>
              <w:end w:w="90" w:type="dxa"/>
            </w:tcMar>
          </w:tcPr>
          <w:p>
            <w:pPr>
              <w:spacing w:after="0"/>
            </w:pPr>
            <w:r>
              <w:rPr>
                <w:rFonts w:ascii="Liberation Sans" w:hAnsi="Liberation Sans"/>
                <w:sz w:val="15"/>
              </w:rPr>
              <w:t>AI never owns numeric results; citations/evidence; human gates</w:t>
            </w:r>
          </w:p>
        </w:tc>
      </w:tr>
      <w:tr>
        <w:tc>
          <w:tcPr>
            <w:tcW w:type="dxa" w:w="3360"/>
            <w:vAlign w:val="top"/>
            <w:tcMar>
              <w:top w:w="70" w:type="dxa"/>
              <w:start w:w="90" w:type="dxa"/>
              <w:bottom w:w="70" w:type="dxa"/>
              <w:end w:w="90" w:type="dxa"/>
            </w:tcMar>
            <w:shd w:fill="F7F9FB"/>
          </w:tcPr>
          <w:p>
            <w:pPr>
              <w:spacing w:after="0"/>
            </w:pPr>
            <w:r>
              <w:rPr>
                <w:rFonts w:ascii="Liberation Sans" w:hAnsi="Liberation Sans"/>
                <w:sz w:val="15"/>
              </w:rPr>
              <w:t>Reporting forms change</w:t>
            </w:r>
          </w:p>
        </w:tc>
        <w:tc>
          <w:tcPr>
            <w:tcW w:type="dxa" w:w="3360"/>
            <w:vAlign w:val="top"/>
            <w:tcMar>
              <w:top w:w="70" w:type="dxa"/>
              <w:start w:w="90" w:type="dxa"/>
              <w:bottom w:w="70" w:type="dxa"/>
              <w:end w:w="90" w:type="dxa"/>
            </w:tcMar>
            <w:shd w:fill="F7F9FB"/>
          </w:tcPr>
          <w:p>
            <w:pPr>
              <w:spacing w:after="0"/>
            </w:pPr>
            <w:r>
              <w:rPr>
                <w:rFonts w:ascii="Liberation Sans" w:hAnsi="Liberation Sans"/>
                <w:sz w:val="15"/>
              </w:rPr>
              <w:t>Can invalidate FFIEC layer</w:t>
            </w:r>
          </w:p>
        </w:tc>
        <w:tc>
          <w:tcPr>
            <w:tcW w:type="dxa" w:w="3360"/>
            <w:vAlign w:val="top"/>
            <w:tcMar>
              <w:top w:w="70" w:type="dxa"/>
              <w:start w:w="90" w:type="dxa"/>
              <w:bottom w:w="70" w:type="dxa"/>
              <w:end w:w="90" w:type="dxa"/>
            </w:tcMar>
            <w:shd w:fill="F7F9FB"/>
          </w:tcPr>
          <w:p>
            <w:pPr>
              <w:spacing w:after="0"/>
            </w:pPr>
            <w:r>
              <w:rPr>
                <w:rFonts w:ascii="Liberation Sans" w:hAnsi="Liberation Sans"/>
                <w:sz w:val="15"/>
              </w:rPr>
              <w:t>Versioned reporting mappings separate from calculations</w:t>
            </w:r>
          </w:p>
        </w:tc>
      </w:tr>
    </w:tbl>
    <w:p>
      <w:pPr>
        <w:spacing w:after="20"/>
      </w:pPr>
    </w:p>
    <w:p>
      <w:r>
        <w:br w:type="page"/>
      </w:r>
    </w:p>
    <w:p>
      <w:pPr>
        <w:pStyle w:val="Heading1"/>
      </w:pPr>
      <w:r>
        <w:t>17. Product success metrics</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shd w:fill="17365D"/>
            <w:tcMar>
              <w:top w:w="70" w:type="dxa"/>
              <w:start w:w="90" w:type="dxa"/>
              <w:bottom w:w="70" w:type="dxa"/>
              <w:end w:w="90" w:type="dxa"/>
            </w:tcMar>
          </w:tcPr>
          <w:p>
            <w:r>
              <w:rPr>
                <w:b/>
                <w:color w:val="FFFFFF"/>
                <w:sz w:val="16"/>
              </w:rPr>
              <w:t>Category</w:t>
            </w:r>
          </w:p>
        </w:tc>
        <w:tc>
          <w:tcPr>
            <w:tcW w:type="dxa" w:w="3360"/>
            <w:shd w:fill="17365D"/>
            <w:tcMar>
              <w:top w:w="70" w:type="dxa"/>
              <w:start w:w="90" w:type="dxa"/>
              <w:bottom w:w="70" w:type="dxa"/>
              <w:end w:w="90" w:type="dxa"/>
            </w:tcMar>
          </w:tcPr>
          <w:p>
            <w:r>
              <w:rPr>
                <w:b/>
                <w:color w:val="FFFFFF"/>
                <w:sz w:val="16"/>
              </w:rPr>
              <w:t>Metric</w:t>
            </w:r>
          </w:p>
        </w:tc>
        <w:tc>
          <w:tcPr>
            <w:tcW w:type="dxa" w:w="3360"/>
            <w:shd w:fill="17365D"/>
            <w:tcMar>
              <w:top w:w="70" w:type="dxa"/>
              <w:start w:w="90" w:type="dxa"/>
              <w:bottom w:w="70" w:type="dxa"/>
              <w:end w:w="90" w:type="dxa"/>
            </w:tcMar>
          </w:tcPr>
          <w:p>
            <w:r>
              <w:rPr>
                <w:b/>
                <w:color w:val="FFFFFF"/>
                <w:sz w:val="16"/>
              </w:rPr>
              <w:t>12-month target direction</w:t>
            </w:r>
          </w:p>
        </w:tc>
      </w:tr>
      <w:tr>
        <w:tc>
          <w:tcPr>
            <w:tcW w:type="dxa" w:w="3360"/>
            <w:vAlign w:val="top"/>
            <w:tcMar>
              <w:top w:w="70" w:type="dxa"/>
              <w:start w:w="90" w:type="dxa"/>
              <w:bottom w:w="70" w:type="dxa"/>
              <w:end w:w="90" w:type="dxa"/>
            </w:tcMar>
          </w:tcPr>
          <w:p>
            <w:pPr>
              <w:spacing w:after="0"/>
            </w:pPr>
            <w:r>
              <w:rPr>
                <w:rFonts w:ascii="Liberation Sans" w:hAnsi="Liberation Sans"/>
                <w:sz w:val="16"/>
              </w:rPr>
              <w:t>Correctness</w:t>
            </w:r>
          </w:p>
        </w:tc>
        <w:tc>
          <w:tcPr>
            <w:tcW w:type="dxa" w:w="3360"/>
            <w:vAlign w:val="top"/>
            <w:tcMar>
              <w:top w:w="70" w:type="dxa"/>
              <w:start w:w="90" w:type="dxa"/>
              <w:bottom w:w="70" w:type="dxa"/>
              <w:end w:w="90" w:type="dxa"/>
            </w:tcMar>
          </w:tcPr>
          <w:p>
            <w:pPr>
              <w:spacing w:after="0"/>
            </w:pPr>
            <w:r>
              <w:rPr>
                <w:rFonts w:ascii="Liberation Sans" w:hAnsi="Liberation Sans"/>
                <w:sz w:val="16"/>
              </w:rPr>
              <w:t>Golden test pass rate</w:t>
            </w:r>
          </w:p>
        </w:tc>
        <w:tc>
          <w:tcPr>
            <w:tcW w:type="dxa" w:w="3360"/>
            <w:vAlign w:val="top"/>
            <w:tcMar>
              <w:top w:w="70" w:type="dxa"/>
              <w:start w:w="90" w:type="dxa"/>
              <w:bottom w:w="70" w:type="dxa"/>
              <w:end w:w="90" w:type="dxa"/>
            </w:tcMar>
          </w:tcPr>
          <w:p>
            <w:pPr>
              <w:spacing w:after="0"/>
            </w:pPr>
            <w:r>
              <w:rPr>
                <w:rFonts w:ascii="Liberation Sans" w:hAnsi="Liberation Sans"/>
                <w:sz w:val="16"/>
              </w:rPr>
              <w:t>100% approved cases</w:t>
            </w:r>
          </w:p>
        </w:tc>
      </w:tr>
      <w:tr>
        <w:tc>
          <w:tcPr>
            <w:tcW w:type="dxa" w:w="3360"/>
            <w:vAlign w:val="top"/>
            <w:tcMar>
              <w:top w:w="70" w:type="dxa"/>
              <w:start w:w="90" w:type="dxa"/>
              <w:bottom w:w="70" w:type="dxa"/>
              <w:end w:w="90" w:type="dxa"/>
            </w:tcMar>
            <w:shd w:fill="F7F9FB"/>
          </w:tcPr>
          <w:p>
            <w:pPr>
              <w:spacing w:after="0"/>
            </w:pPr>
            <w:r>
              <w:rPr>
                <w:rFonts w:ascii="Liberation Sans" w:hAnsi="Liberation Sans"/>
                <w:sz w:val="16"/>
              </w:rPr>
              <w:t>Reproducibility</w:t>
            </w:r>
          </w:p>
        </w:tc>
        <w:tc>
          <w:tcPr>
            <w:tcW w:type="dxa" w:w="3360"/>
            <w:vAlign w:val="top"/>
            <w:tcMar>
              <w:top w:w="70" w:type="dxa"/>
              <w:start w:w="90" w:type="dxa"/>
              <w:bottom w:w="70" w:type="dxa"/>
              <w:end w:w="90" w:type="dxa"/>
            </w:tcMar>
            <w:shd w:fill="F7F9FB"/>
          </w:tcPr>
          <w:p>
            <w:pPr>
              <w:spacing w:after="0"/>
            </w:pPr>
            <w:r>
              <w:rPr>
                <w:rFonts w:ascii="Liberation Sans" w:hAnsi="Liberation Sans"/>
                <w:sz w:val="16"/>
              </w:rPr>
              <w:t>Runs reproducible from snapshot + version IDs</w:t>
            </w:r>
          </w:p>
        </w:tc>
        <w:tc>
          <w:tcPr>
            <w:tcW w:type="dxa" w:w="3360"/>
            <w:vAlign w:val="top"/>
            <w:tcMar>
              <w:top w:w="70" w:type="dxa"/>
              <w:start w:w="90" w:type="dxa"/>
              <w:bottom w:w="70" w:type="dxa"/>
              <w:end w:w="90" w:type="dxa"/>
            </w:tcMar>
            <w:shd w:fill="F7F9FB"/>
          </w:tcPr>
          <w:p>
            <w:pPr>
              <w:spacing w:after="0"/>
            </w:pPr>
            <w:r>
              <w:rPr>
                <w:rFonts w:ascii="Liberation Sans" w:hAnsi="Liberation Sans"/>
                <w:sz w:val="16"/>
              </w:rPr>
              <w:t>100% production/pilot runs</w:t>
            </w:r>
          </w:p>
        </w:tc>
      </w:tr>
      <w:tr>
        <w:tc>
          <w:tcPr>
            <w:tcW w:type="dxa" w:w="3360"/>
            <w:vAlign w:val="top"/>
            <w:tcMar>
              <w:top w:w="70" w:type="dxa"/>
              <w:start w:w="90" w:type="dxa"/>
              <w:bottom w:w="70" w:type="dxa"/>
              <w:end w:w="90" w:type="dxa"/>
            </w:tcMar>
          </w:tcPr>
          <w:p>
            <w:pPr>
              <w:spacing w:after="0"/>
            </w:pPr>
            <w:r>
              <w:rPr>
                <w:rFonts w:ascii="Liberation Sans" w:hAnsi="Liberation Sans"/>
                <w:sz w:val="16"/>
              </w:rPr>
              <w:t>Coverage</w:t>
            </w:r>
          </w:p>
        </w:tc>
        <w:tc>
          <w:tcPr>
            <w:tcW w:type="dxa" w:w="3360"/>
            <w:vAlign w:val="top"/>
            <w:tcMar>
              <w:top w:w="70" w:type="dxa"/>
              <w:start w:w="90" w:type="dxa"/>
              <w:bottom w:w="70" w:type="dxa"/>
              <w:end w:w="90" w:type="dxa"/>
            </w:tcMar>
          </w:tcPr>
          <w:p>
            <w:pPr>
              <w:spacing w:after="0"/>
            </w:pPr>
            <w:r>
              <w:rPr>
                <w:rFonts w:ascii="Liberation Sans" w:hAnsi="Liberation Sans"/>
                <w:sz w:val="16"/>
              </w:rPr>
              <w:t>In-scope rules linked to tests/data/calculation</w:t>
            </w:r>
          </w:p>
        </w:tc>
        <w:tc>
          <w:tcPr>
            <w:tcW w:type="dxa" w:w="3360"/>
            <w:vAlign w:val="top"/>
            <w:tcMar>
              <w:top w:w="70" w:type="dxa"/>
              <w:start w:w="90" w:type="dxa"/>
              <w:bottom w:w="70" w:type="dxa"/>
              <w:end w:w="90" w:type="dxa"/>
            </w:tcMar>
          </w:tcPr>
          <w:p>
            <w:pPr>
              <w:spacing w:after="0"/>
            </w:pPr>
            <w:r>
              <w:rPr>
                <w:rFonts w:ascii="Liberation Sans" w:hAnsi="Liberation Sans"/>
                <w:sz w:val="16"/>
              </w:rPr>
              <w:t>&gt;95% before pilot scope sign-off</w:t>
            </w:r>
          </w:p>
        </w:tc>
      </w:tr>
      <w:tr>
        <w:tc>
          <w:tcPr>
            <w:tcW w:type="dxa" w:w="3360"/>
            <w:vAlign w:val="top"/>
            <w:tcMar>
              <w:top w:w="70" w:type="dxa"/>
              <w:start w:w="90" w:type="dxa"/>
              <w:bottom w:w="70" w:type="dxa"/>
              <w:end w:w="90" w:type="dxa"/>
            </w:tcMar>
            <w:shd w:fill="F7F9FB"/>
          </w:tcPr>
          <w:p>
            <w:pPr>
              <w:spacing w:after="0"/>
            </w:pPr>
            <w:r>
              <w:rPr>
                <w:rFonts w:ascii="Liberation Sans" w:hAnsi="Liberation Sans"/>
                <w:sz w:val="16"/>
              </w:rPr>
              <w:t>Assurance</w:t>
            </w:r>
          </w:p>
        </w:tc>
        <w:tc>
          <w:tcPr>
            <w:tcW w:type="dxa" w:w="3360"/>
            <w:vAlign w:val="top"/>
            <w:tcMar>
              <w:top w:w="70" w:type="dxa"/>
              <w:start w:w="90" w:type="dxa"/>
              <w:bottom w:w="70" w:type="dxa"/>
              <w:end w:w="90" w:type="dxa"/>
            </w:tcMar>
            <w:shd w:fill="F7F9FB"/>
          </w:tcPr>
          <w:p>
            <w:pPr>
              <w:spacing w:after="0"/>
            </w:pPr>
            <w:r>
              <w:rPr>
                <w:rFonts w:ascii="Liberation Sans" w:hAnsi="Liberation Sans"/>
                <w:sz w:val="16"/>
              </w:rPr>
              <w:t>Incumbent exposure results independently reproduced</w:t>
            </w:r>
          </w:p>
        </w:tc>
        <w:tc>
          <w:tcPr>
            <w:tcW w:type="dxa" w:w="3360"/>
            <w:vAlign w:val="top"/>
            <w:tcMar>
              <w:top w:w="70" w:type="dxa"/>
              <w:start w:w="90" w:type="dxa"/>
              <w:bottom w:w="70" w:type="dxa"/>
              <w:end w:w="90" w:type="dxa"/>
            </w:tcMar>
            <w:shd w:fill="F7F9FB"/>
          </w:tcPr>
          <w:p>
            <w:pPr>
              <w:spacing w:after="0"/>
            </w:pPr>
            <w:r>
              <w:rPr>
                <w:rFonts w:ascii="Liberation Sans" w:hAnsi="Liberation Sans"/>
                <w:sz w:val="16"/>
              </w:rPr>
              <w:t>Target &gt;95%, with explained residuals</w:t>
            </w:r>
          </w:p>
        </w:tc>
      </w:tr>
      <w:tr>
        <w:tc>
          <w:tcPr>
            <w:tcW w:type="dxa" w:w="3360"/>
            <w:vAlign w:val="top"/>
            <w:tcMar>
              <w:top w:w="70" w:type="dxa"/>
              <w:start w:w="90" w:type="dxa"/>
              <w:bottom w:w="70" w:type="dxa"/>
              <w:end w:w="90" w:type="dxa"/>
            </w:tcMar>
          </w:tcPr>
          <w:p>
            <w:pPr>
              <w:spacing w:after="0"/>
            </w:pPr>
            <w:r>
              <w:rPr>
                <w:rFonts w:ascii="Liberation Sans" w:hAnsi="Liberation Sans"/>
                <w:sz w:val="16"/>
              </w:rPr>
              <w:t>Performance</w:t>
            </w:r>
          </w:p>
        </w:tc>
        <w:tc>
          <w:tcPr>
            <w:tcW w:type="dxa" w:w="3360"/>
            <w:vAlign w:val="top"/>
            <w:tcMar>
              <w:top w:w="70" w:type="dxa"/>
              <w:start w:w="90" w:type="dxa"/>
              <w:bottom w:w="70" w:type="dxa"/>
              <w:end w:w="90" w:type="dxa"/>
            </w:tcMar>
          </w:tcPr>
          <w:p>
            <w:pPr>
              <w:spacing w:after="0"/>
            </w:pPr>
            <w:r>
              <w:rPr>
                <w:rFonts w:ascii="Liberation Sans" w:hAnsi="Liberation Sans"/>
                <w:sz w:val="16"/>
              </w:rPr>
              <w:t>Portfolio batch SLA</w:t>
            </w:r>
          </w:p>
        </w:tc>
        <w:tc>
          <w:tcPr>
            <w:tcW w:type="dxa" w:w="3360"/>
            <w:vAlign w:val="top"/>
            <w:tcMar>
              <w:top w:w="70" w:type="dxa"/>
              <w:start w:w="90" w:type="dxa"/>
              <w:bottom w:w="70" w:type="dxa"/>
              <w:end w:w="90" w:type="dxa"/>
            </w:tcMar>
          </w:tcPr>
          <w:p>
            <w:pPr>
              <w:spacing w:after="0"/>
            </w:pPr>
            <w:r>
              <w:rPr>
                <w:rFonts w:ascii="Liberation Sans" w:hAnsi="Liberation Sans"/>
                <w:sz w:val="16"/>
              </w:rPr>
              <w:t>Defined per customer; benchmarked before contract</w:t>
            </w:r>
          </w:p>
        </w:tc>
      </w:tr>
      <w:tr>
        <w:tc>
          <w:tcPr>
            <w:tcW w:type="dxa" w:w="3360"/>
            <w:vAlign w:val="top"/>
            <w:tcMar>
              <w:top w:w="70" w:type="dxa"/>
              <w:start w:w="90" w:type="dxa"/>
              <w:bottom w:w="70" w:type="dxa"/>
              <w:end w:w="90" w:type="dxa"/>
            </w:tcMar>
            <w:shd w:fill="F7F9FB"/>
          </w:tcPr>
          <w:p>
            <w:pPr>
              <w:spacing w:after="0"/>
            </w:pPr>
            <w:r>
              <w:rPr>
                <w:rFonts w:ascii="Liberation Sans" w:hAnsi="Liberation Sans"/>
                <w:sz w:val="16"/>
              </w:rPr>
              <w:t>Explainability</w:t>
            </w:r>
          </w:p>
        </w:tc>
        <w:tc>
          <w:tcPr>
            <w:tcW w:type="dxa" w:w="3360"/>
            <w:vAlign w:val="top"/>
            <w:tcMar>
              <w:top w:w="70" w:type="dxa"/>
              <w:start w:w="90" w:type="dxa"/>
              <w:bottom w:w="70" w:type="dxa"/>
              <w:end w:w="90" w:type="dxa"/>
            </w:tcMar>
            <w:shd w:fill="F7F9FB"/>
          </w:tcPr>
          <w:p>
            <w:pPr>
              <w:spacing w:after="0"/>
            </w:pPr>
            <w:r>
              <w:rPr>
                <w:rFonts w:ascii="Liberation Sans" w:hAnsi="Liberation Sans"/>
                <w:sz w:val="16"/>
              </w:rPr>
              <w:t>Material deltas with evidence-linked driver reason</w:t>
            </w:r>
          </w:p>
        </w:tc>
        <w:tc>
          <w:tcPr>
            <w:tcW w:type="dxa" w:w="3360"/>
            <w:vAlign w:val="top"/>
            <w:tcMar>
              <w:top w:w="70" w:type="dxa"/>
              <w:start w:w="90" w:type="dxa"/>
              <w:bottom w:w="70" w:type="dxa"/>
              <w:end w:w="90" w:type="dxa"/>
            </w:tcMar>
            <w:shd w:fill="F7F9FB"/>
          </w:tcPr>
          <w:p>
            <w:pPr>
              <w:spacing w:after="0"/>
            </w:pPr>
            <w:r>
              <w:rPr>
                <w:rFonts w:ascii="Liberation Sans" w:hAnsi="Liberation Sans"/>
                <w:sz w:val="16"/>
              </w:rPr>
              <w:t>&gt;95% of material delta value</w:t>
            </w:r>
          </w:p>
        </w:tc>
      </w:tr>
      <w:tr>
        <w:tc>
          <w:tcPr>
            <w:tcW w:type="dxa" w:w="3360"/>
            <w:vAlign w:val="top"/>
            <w:tcMar>
              <w:top w:w="70" w:type="dxa"/>
              <w:start w:w="90" w:type="dxa"/>
              <w:bottom w:w="70" w:type="dxa"/>
              <w:end w:w="90" w:type="dxa"/>
            </w:tcMar>
          </w:tcPr>
          <w:p>
            <w:pPr>
              <w:spacing w:after="0"/>
            </w:pPr>
            <w:r>
              <w:rPr>
                <w:rFonts w:ascii="Liberation Sans" w:hAnsi="Liberation Sans"/>
                <w:sz w:val="16"/>
              </w:rPr>
              <w:t>Commercial</w:t>
            </w:r>
          </w:p>
        </w:tc>
        <w:tc>
          <w:tcPr>
            <w:tcW w:type="dxa" w:w="3360"/>
            <w:vAlign w:val="top"/>
            <w:tcMar>
              <w:top w:w="70" w:type="dxa"/>
              <w:start w:w="90" w:type="dxa"/>
              <w:bottom w:w="70" w:type="dxa"/>
              <w:end w:w="90" w:type="dxa"/>
            </w:tcMar>
          </w:tcPr>
          <w:p>
            <w:pPr>
              <w:spacing w:after="0"/>
            </w:pPr>
            <w:r>
              <w:rPr>
                <w:rFonts w:ascii="Liberation Sans" w:hAnsi="Liberation Sans"/>
                <w:sz w:val="16"/>
              </w:rPr>
              <w:t>Paid assessments/pilots</w:t>
            </w:r>
          </w:p>
        </w:tc>
        <w:tc>
          <w:tcPr>
            <w:tcW w:type="dxa" w:w="3360"/>
            <w:vAlign w:val="top"/>
            <w:tcMar>
              <w:top w:w="70" w:type="dxa"/>
              <w:start w:w="90" w:type="dxa"/>
              <w:bottom w:w="70" w:type="dxa"/>
              <w:end w:w="90" w:type="dxa"/>
            </w:tcMar>
          </w:tcPr>
          <w:p>
            <w:pPr>
              <w:spacing w:after="0"/>
            </w:pPr>
            <w:r>
              <w:rPr>
                <w:rFonts w:ascii="Liberation Sans" w:hAnsi="Liberation Sans"/>
                <w:sz w:val="16"/>
              </w:rPr>
              <w:t>First 2–3 reference engagements</w:t>
            </w:r>
          </w:p>
        </w:tc>
      </w:tr>
      <w:tr>
        <w:tc>
          <w:tcPr>
            <w:tcW w:type="dxa" w:w="3360"/>
            <w:vAlign w:val="top"/>
            <w:tcMar>
              <w:top w:w="70" w:type="dxa"/>
              <w:start w:w="90" w:type="dxa"/>
              <w:bottom w:w="70" w:type="dxa"/>
              <w:end w:w="90" w:type="dxa"/>
            </w:tcMar>
            <w:shd w:fill="F7F9FB"/>
          </w:tcPr>
          <w:p>
            <w:pPr>
              <w:spacing w:after="0"/>
            </w:pPr>
            <w:r>
              <w:rPr>
                <w:rFonts w:ascii="Liberation Sans" w:hAnsi="Liberation Sans"/>
                <w:sz w:val="16"/>
              </w:rPr>
              <w:t>Conversion</w:t>
            </w:r>
          </w:p>
        </w:tc>
        <w:tc>
          <w:tcPr>
            <w:tcW w:type="dxa" w:w="3360"/>
            <w:vAlign w:val="top"/>
            <w:tcMar>
              <w:top w:w="70" w:type="dxa"/>
              <w:start w:w="90" w:type="dxa"/>
              <w:bottom w:w="70" w:type="dxa"/>
              <w:end w:w="90" w:type="dxa"/>
            </w:tcMar>
            <w:shd w:fill="F7F9FB"/>
          </w:tcPr>
          <w:p>
            <w:pPr>
              <w:spacing w:after="0"/>
            </w:pPr>
            <w:r>
              <w:rPr>
                <w:rFonts w:ascii="Liberation Sans" w:hAnsi="Liberation Sans"/>
                <w:sz w:val="16"/>
              </w:rPr>
              <w:t>Assessment → annual/platform discussion</w:t>
            </w:r>
          </w:p>
        </w:tc>
        <w:tc>
          <w:tcPr>
            <w:tcW w:type="dxa" w:w="3360"/>
            <w:vAlign w:val="top"/>
            <w:tcMar>
              <w:top w:w="70" w:type="dxa"/>
              <w:start w:w="90" w:type="dxa"/>
              <w:bottom w:w="70" w:type="dxa"/>
              <w:end w:w="90" w:type="dxa"/>
            </w:tcMar>
            <w:shd w:fill="F7F9FB"/>
          </w:tcPr>
          <w:p>
            <w:pPr>
              <w:spacing w:after="0"/>
            </w:pPr>
            <w:r>
              <w:rPr>
                <w:rFonts w:ascii="Liberation Sans" w:hAnsi="Liberation Sans"/>
                <w:sz w:val="16"/>
              </w:rPr>
              <w:t>Track and optimize</w:t>
            </w:r>
          </w:p>
        </w:tc>
      </w:tr>
      <w:tr>
        <w:tc>
          <w:tcPr>
            <w:tcW w:type="dxa" w:w="3360"/>
            <w:vAlign w:val="top"/>
            <w:tcMar>
              <w:top w:w="70" w:type="dxa"/>
              <w:start w:w="90" w:type="dxa"/>
              <w:bottom w:w="70" w:type="dxa"/>
              <w:end w:w="90" w:type="dxa"/>
            </w:tcMar>
          </w:tcPr>
          <w:p>
            <w:pPr>
              <w:spacing w:after="0"/>
            </w:pPr>
            <w:r>
              <w:rPr>
                <w:rFonts w:ascii="Liberation Sans" w:hAnsi="Liberation Sans"/>
                <w:sz w:val="16"/>
              </w:rPr>
              <w:t>Internationalization</w:t>
            </w:r>
          </w:p>
        </w:tc>
        <w:tc>
          <w:tcPr>
            <w:tcW w:type="dxa" w:w="3360"/>
            <w:vAlign w:val="top"/>
            <w:tcMar>
              <w:top w:w="70" w:type="dxa"/>
              <w:start w:w="90" w:type="dxa"/>
              <w:bottom w:w="70" w:type="dxa"/>
              <w:end w:w="90" w:type="dxa"/>
            </w:tcMar>
          </w:tcPr>
          <w:p>
            <w:pPr>
              <w:spacing w:after="0"/>
            </w:pPr>
            <w:r>
              <w:rPr>
                <w:rFonts w:ascii="Liberation Sans" w:hAnsi="Liberation Sans"/>
                <w:sz w:val="16"/>
              </w:rPr>
              <w:t>Second jurisdiction using same canonical model</w:t>
            </w:r>
          </w:p>
        </w:tc>
        <w:tc>
          <w:tcPr>
            <w:tcW w:type="dxa" w:w="3360"/>
            <w:vAlign w:val="top"/>
            <w:tcMar>
              <w:top w:w="70" w:type="dxa"/>
              <w:start w:w="90" w:type="dxa"/>
              <w:bottom w:w="70" w:type="dxa"/>
              <w:end w:w="90" w:type="dxa"/>
            </w:tcMar>
          </w:tcPr>
          <w:p>
            <w:pPr>
              <w:spacing w:after="0"/>
            </w:pPr>
            <w:r>
              <w:rPr>
                <w:rFonts w:ascii="Liberation Sans" w:hAnsi="Liberation Sans"/>
                <w:sz w:val="16"/>
              </w:rPr>
              <w:t>No forked engine</w:t>
            </w:r>
          </w:p>
        </w:tc>
      </w:tr>
    </w:tbl>
    <w:p>
      <w:pPr>
        <w:spacing w:after="20"/>
      </w:pPr>
    </w:p>
    <w:p>
      <w:r>
        <w:br w:type="page"/>
      </w:r>
    </w:p>
    <w:p>
      <w:pPr>
        <w:pStyle w:val="Heading1"/>
      </w:pPr>
      <w:r>
        <w:t>18. 3–5 year product map</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shd w:fill="17365D"/>
            <w:tcMar>
              <w:top w:w="70" w:type="dxa"/>
              <w:start w:w="90" w:type="dxa"/>
              <w:bottom w:w="70" w:type="dxa"/>
              <w:end w:w="90" w:type="dxa"/>
            </w:tcMar>
          </w:tcPr>
          <w:p>
            <w:r>
              <w:rPr>
                <w:b/>
                <w:color w:val="FFFFFF"/>
                <w:sz w:val="16"/>
              </w:rPr>
              <w:t>Horizon</w:t>
            </w:r>
          </w:p>
        </w:tc>
        <w:tc>
          <w:tcPr>
            <w:tcW w:type="dxa" w:w="3360"/>
            <w:shd w:fill="17365D"/>
            <w:tcMar>
              <w:top w:w="70" w:type="dxa"/>
              <w:start w:w="90" w:type="dxa"/>
              <w:bottom w:w="70" w:type="dxa"/>
              <w:end w:w="90" w:type="dxa"/>
            </w:tcMar>
          </w:tcPr>
          <w:p>
            <w:r>
              <w:rPr>
                <w:b/>
                <w:color w:val="FFFFFF"/>
                <w:sz w:val="16"/>
              </w:rPr>
              <w:t>Platform expansion</w:t>
            </w:r>
          </w:p>
        </w:tc>
        <w:tc>
          <w:tcPr>
            <w:tcW w:type="dxa" w:w="3360"/>
            <w:shd w:fill="17365D"/>
            <w:tcMar>
              <w:top w:w="70" w:type="dxa"/>
              <w:start w:w="90" w:type="dxa"/>
              <w:bottom w:w="70" w:type="dxa"/>
              <w:end w:w="90" w:type="dxa"/>
            </w:tcMar>
          </w:tcPr>
          <w:p>
            <w:r>
              <w:rPr>
                <w:b/>
                <w:color w:val="FFFFFF"/>
                <w:sz w:val="16"/>
              </w:rPr>
              <w:t>Principle</w:t>
            </w:r>
          </w:p>
        </w:tc>
      </w:tr>
      <w:tr>
        <w:tc>
          <w:tcPr>
            <w:tcW w:type="dxa" w:w="3360"/>
            <w:vAlign w:val="top"/>
            <w:tcMar>
              <w:top w:w="70" w:type="dxa"/>
              <w:start w:w="90" w:type="dxa"/>
              <w:bottom w:w="70" w:type="dxa"/>
              <w:end w:w="90" w:type="dxa"/>
            </w:tcMar>
          </w:tcPr>
          <w:p>
            <w:pPr>
              <w:spacing w:after="0"/>
            </w:pPr>
            <w:r>
              <w:rPr>
                <w:rFonts w:ascii="Liberation Sans" w:hAnsi="Liberation Sans"/>
                <w:sz w:val="16"/>
              </w:rPr>
              <w:t>0–12 months</w:t>
            </w:r>
          </w:p>
        </w:tc>
        <w:tc>
          <w:tcPr>
            <w:tcW w:type="dxa" w:w="3360"/>
            <w:vAlign w:val="top"/>
            <w:tcMar>
              <w:top w:w="70" w:type="dxa"/>
              <w:start w:w="90" w:type="dxa"/>
              <w:bottom w:w="70" w:type="dxa"/>
              <w:end w:w="90" w:type="dxa"/>
            </w:tcMar>
          </w:tcPr>
          <w:p>
            <w:pPr>
              <w:spacing w:after="0"/>
            </w:pPr>
            <w:r>
              <w:rPr>
                <w:rFonts w:ascii="Liberation Sans" w:hAnsi="Liberation Sans"/>
                <w:sz w:val="16"/>
              </w:rPr>
              <w:t>U.S. credit-risk change analyzer + capital assurance</w:t>
            </w:r>
          </w:p>
        </w:tc>
        <w:tc>
          <w:tcPr>
            <w:tcW w:type="dxa" w:w="3360"/>
            <w:vAlign w:val="top"/>
            <w:tcMar>
              <w:top w:w="70" w:type="dxa"/>
              <w:start w:w="90" w:type="dxa"/>
              <w:bottom w:w="70" w:type="dxa"/>
              <w:end w:w="90" w:type="dxa"/>
            </w:tcMar>
          </w:tcPr>
          <w:p>
            <w:pPr>
              <w:spacing w:after="0"/>
            </w:pPr>
            <w:r>
              <w:rPr>
                <w:rFonts w:ascii="Liberation Sans" w:hAnsi="Liberation Sans"/>
                <w:sz w:val="16"/>
              </w:rPr>
              <w:t>Prove executable change/assurance wedge</w:t>
            </w:r>
          </w:p>
        </w:tc>
      </w:tr>
      <w:tr>
        <w:tc>
          <w:tcPr>
            <w:tcW w:type="dxa" w:w="3360"/>
            <w:vAlign w:val="top"/>
            <w:tcMar>
              <w:top w:w="70" w:type="dxa"/>
              <w:start w:w="90" w:type="dxa"/>
              <w:bottom w:w="70" w:type="dxa"/>
              <w:end w:w="90" w:type="dxa"/>
            </w:tcMar>
            <w:shd w:fill="F7F9FB"/>
          </w:tcPr>
          <w:p>
            <w:pPr>
              <w:spacing w:after="0"/>
            </w:pPr>
            <w:r>
              <w:rPr>
                <w:rFonts w:ascii="Liberation Sans" w:hAnsi="Liberation Sans"/>
                <w:sz w:val="16"/>
              </w:rPr>
              <w:t>12–24 months</w:t>
            </w:r>
          </w:p>
        </w:tc>
        <w:tc>
          <w:tcPr>
            <w:tcW w:type="dxa" w:w="3360"/>
            <w:vAlign w:val="top"/>
            <w:tcMar>
              <w:top w:w="70" w:type="dxa"/>
              <w:start w:w="90" w:type="dxa"/>
              <w:bottom w:w="70" w:type="dxa"/>
              <w:end w:w="90" w:type="dxa"/>
            </w:tcMar>
            <w:shd w:fill="F7F9FB"/>
          </w:tcPr>
          <w:p>
            <w:pPr>
              <w:spacing w:after="0"/>
            </w:pPr>
            <w:r>
              <w:rPr>
                <w:rFonts w:ascii="Liberation Sans" w:hAnsi="Liberation Sans"/>
                <w:sz w:val="16"/>
              </w:rPr>
              <w:t>Saudi/UAE packs; radar/workflow; broader U.S. final rules/reporting</w:t>
            </w:r>
          </w:p>
        </w:tc>
        <w:tc>
          <w:tcPr>
            <w:tcW w:type="dxa" w:w="3360"/>
            <w:vAlign w:val="top"/>
            <w:tcMar>
              <w:top w:w="70" w:type="dxa"/>
              <w:start w:w="90" w:type="dxa"/>
              <w:bottom w:w="70" w:type="dxa"/>
              <w:end w:w="90" w:type="dxa"/>
            </w:tcMar>
            <w:shd w:fill="F7F9FB"/>
          </w:tcPr>
          <w:p>
            <w:pPr>
              <w:spacing w:after="0"/>
            </w:pPr>
            <w:r>
              <w:rPr>
                <w:rFonts w:ascii="Liberation Sans" w:hAnsi="Liberation Sans"/>
                <w:sz w:val="16"/>
              </w:rPr>
              <w:t>Reuse same graph/UDM/rules/tests</w:t>
            </w:r>
          </w:p>
        </w:tc>
      </w:tr>
      <w:tr>
        <w:tc>
          <w:tcPr>
            <w:tcW w:type="dxa" w:w="3360"/>
            <w:vAlign w:val="top"/>
            <w:tcMar>
              <w:top w:w="70" w:type="dxa"/>
              <w:start w:w="90" w:type="dxa"/>
              <w:bottom w:w="70" w:type="dxa"/>
              <w:end w:w="90" w:type="dxa"/>
            </w:tcMar>
          </w:tcPr>
          <w:p>
            <w:pPr>
              <w:spacing w:after="0"/>
            </w:pPr>
            <w:r>
              <w:rPr>
                <w:rFonts w:ascii="Liberation Sans" w:hAnsi="Liberation Sans"/>
                <w:sz w:val="16"/>
              </w:rPr>
              <w:t>18–30 months</w:t>
            </w:r>
          </w:p>
        </w:tc>
        <w:tc>
          <w:tcPr>
            <w:tcW w:type="dxa" w:w="3360"/>
            <w:vAlign w:val="top"/>
            <w:tcMar>
              <w:top w:w="70" w:type="dxa"/>
              <w:start w:w="90" w:type="dxa"/>
              <w:bottom w:w="70" w:type="dxa"/>
              <w:end w:w="90" w:type="dxa"/>
            </w:tcMar>
          </w:tcPr>
          <w:p>
            <w:pPr>
              <w:spacing w:after="0"/>
            </w:pPr>
            <w:r>
              <w:rPr>
                <w:rFonts w:ascii="Liberation Sans" w:hAnsi="Liberation Sans"/>
                <w:sz w:val="16"/>
              </w:rPr>
              <w:t>UK/EU packs; COREP/PRA reporting; output-floor analysis</w:t>
            </w:r>
          </w:p>
        </w:tc>
        <w:tc>
          <w:tcPr>
            <w:tcW w:type="dxa" w:w="3360"/>
            <w:vAlign w:val="top"/>
            <w:tcMar>
              <w:top w:w="70" w:type="dxa"/>
              <w:start w:w="90" w:type="dxa"/>
              <w:bottom w:w="70" w:type="dxa"/>
              <w:end w:w="90" w:type="dxa"/>
            </w:tcMar>
          </w:tcPr>
          <w:p>
            <w:pPr>
              <w:spacing w:after="0"/>
            </w:pPr>
            <w:r>
              <w:rPr>
                <w:rFonts w:ascii="Liberation Sans" w:hAnsi="Liberation Sans"/>
                <w:sz w:val="16"/>
              </w:rPr>
              <w:t>Cross-jurisdiction Basel intelligence</w:t>
            </w:r>
          </w:p>
        </w:tc>
      </w:tr>
      <w:tr>
        <w:tc>
          <w:tcPr>
            <w:tcW w:type="dxa" w:w="3360"/>
            <w:vAlign w:val="top"/>
            <w:tcMar>
              <w:top w:w="70" w:type="dxa"/>
              <w:start w:w="90" w:type="dxa"/>
              <w:bottom w:w="70" w:type="dxa"/>
              <w:end w:w="90" w:type="dxa"/>
            </w:tcMar>
            <w:shd w:fill="F7F9FB"/>
          </w:tcPr>
          <w:p>
            <w:pPr>
              <w:spacing w:after="0"/>
            </w:pPr>
            <w:r>
              <w:rPr>
                <w:rFonts w:ascii="Liberation Sans" w:hAnsi="Liberation Sans"/>
                <w:sz w:val="16"/>
              </w:rPr>
              <w:t>24–36 months</w:t>
            </w:r>
          </w:p>
        </w:tc>
        <w:tc>
          <w:tcPr>
            <w:tcW w:type="dxa" w:w="3360"/>
            <w:vAlign w:val="top"/>
            <w:tcMar>
              <w:top w:w="70" w:type="dxa"/>
              <w:start w:w="90" w:type="dxa"/>
              <w:bottom w:w="70" w:type="dxa"/>
              <w:end w:w="90" w:type="dxa"/>
            </w:tcMar>
            <w:shd w:fill="F7F9FB"/>
          </w:tcPr>
          <w:p>
            <w:pPr>
              <w:spacing w:after="0"/>
            </w:pPr>
            <w:r>
              <w:rPr>
                <w:rFonts w:ascii="Liberation Sans" w:hAnsi="Liberation Sans"/>
                <w:sz w:val="16"/>
              </w:rPr>
              <w:t>CCR/CVA, operational risk, selected market risk</w:t>
            </w:r>
          </w:p>
        </w:tc>
        <w:tc>
          <w:tcPr>
            <w:tcW w:type="dxa" w:w="3360"/>
            <w:vAlign w:val="top"/>
            <w:tcMar>
              <w:top w:w="70" w:type="dxa"/>
              <w:start w:w="90" w:type="dxa"/>
              <w:bottom w:w="70" w:type="dxa"/>
              <w:end w:w="90" w:type="dxa"/>
            </w:tcMar>
            <w:shd w:fill="F7F9FB"/>
          </w:tcPr>
          <w:p>
            <w:pPr>
              <w:spacing w:after="0"/>
            </w:pPr>
            <w:r>
              <w:rPr>
                <w:rFonts w:ascii="Liberation Sans" w:hAnsi="Liberation Sans"/>
                <w:sz w:val="16"/>
              </w:rPr>
              <w:t>Expand prudential domains only after credit-risk control plane is mature</w:t>
            </w:r>
          </w:p>
        </w:tc>
      </w:tr>
      <w:tr>
        <w:tc>
          <w:tcPr>
            <w:tcW w:type="dxa" w:w="3360"/>
            <w:vAlign w:val="top"/>
            <w:tcMar>
              <w:top w:w="70" w:type="dxa"/>
              <w:start w:w="90" w:type="dxa"/>
              <w:bottom w:w="70" w:type="dxa"/>
              <w:end w:w="90" w:type="dxa"/>
            </w:tcMar>
          </w:tcPr>
          <w:p>
            <w:pPr>
              <w:spacing w:after="0"/>
            </w:pPr>
            <w:r>
              <w:rPr>
                <w:rFonts w:ascii="Liberation Sans" w:hAnsi="Liberation Sans"/>
                <w:sz w:val="16"/>
              </w:rPr>
              <w:t>3–4 years</w:t>
            </w:r>
          </w:p>
        </w:tc>
        <w:tc>
          <w:tcPr>
            <w:tcW w:type="dxa" w:w="3360"/>
            <w:vAlign w:val="top"/>
            <w:tcMar>
              <w:top w:w="70" w:type="dxa"/>
              <w:start w:w="90" w:type="dxa"/>
              <w:bottom w:w="70" w:type="dxa"/>
              <w:end w:w="90" w:type="dxa"/>
            </w:tcMar>
          </w:tcPr>
          <w:p>
            <w:pPr>
              <w:spacing w:after="0"/>
            </w:pPr>
            <w:r>
              <w:rPr>
                <w:rFonts w:ascii="Liberation Sans" w:hAnsi="Liberation Sans"/>
                <w:sz w:val="16"/>
              </w:rPr>
              <w:t>Stress/capital planning, liquidity/IRRBB, wider model validation</w:t>
            </w:r>
          </w:p>
        </w:tc>
        <w:tc>
          <w:tcPr>
            <w:tcW w:type="dxa" w:w="3360"/>
            <w:vAlign w:val="top"/>
            <w:tcMar>
              <w:top w:w="70" w:type="dxa"/>
              <w:start w:w="90" w:type="dxa"/>
              <w:bottom w:w="70" w:type="dxa"/>
              <w:end w:w="90" w:type="dxa"/>
            </w:tcMar>
          </w:tcPr>
          <w:p>
            <w:pPr>
              <w:spacing w:after="0"/>
            </w:pPr>
            <w:r>
              <w:rPr>
                <w:rFonts w:ascii="Liberation Sans" w:hAnsi="Liberation Sans"/>
                <w:sz w:val="16"/>
              </w:rPr>
              <w:t>Broaden CRO/CFO use cases</w:t>
            </w:r>
          </w:p>
        </w:tc>
      </w:tr>
      <w:tr>
        <w:tc>
          <w:tcPr>
            <w:tcW w:type="dxa" w:w="3360"/>
            <w:vAlign w:val="top"/>
            <w:tcMar>
              <w:top w:w="70" w:type="dxa"/>
              <w:start w:w="90" w:type="dxa"/>
              <w:bottom w:w="70" w:type="dxa"/>
              <w:end w:w="90" w:type="dxa"/>
            </w:tcMar>
            <w:shd w:fill="F7F9FB"/>
          </w:tcPr>
          <w:p>
            <w:pPr>
              <w:spacing w:after="0"/>
            </w:pPr>
            <w:r>
              <w:rPr>
                <w:rFonts w:ascii="Liberation Sans" w:hAnsi="Liberation Sans"/>
                <w:sz w:val="16"/>
              </w:rPr>
              <w:t>4–5 years</w:t>
            </w:r>
          </w:p>
        </w:tc>
        <w:tc>
          <w:tcPr>
            <w:tcW w:type="dxa" w:w="3360"/>
            <w:vAlign w:val="top"/>
            <w:tcMar>
              <w:top w:w="70" w:type="dxa"/>
              <w:start w:w="90" w:type="dxa"/>
              <w:bottom w:w="70" w:type="dxa"/>
              <w:end w:w="90" w:type="dxa"/>
            </w:tcMar>
            <w:shd w:fill="F7F9FB"/>
          </w:tcPr>
          <w:p>
            <w:pPr>
              <w:spacing w:after="0"/>
            </w:pPr>
            <w:r>
              <w:rPr>
                <w:rFonts w:ascii="Liberation Sans" w:hAnsi="Liberation Sans"/>
                <w:sz w:val="16"/>
              </w:rPr>
              <w:t>Cross-vendor Prudential Risk OS / continuous change assurance</w:t>
            </w:r>
          </w:p>
        </w:tc>
        <w:tc>
          <w:tcPr>
            <w:tcW w:type="dxa" w:w="3360"/>
            <w:vAlign w:val="top"/>
            <w:tcMar>
              <w:top w:w="70" w:type="dxa"/>
              <w:start w:w="90" w:type="dxa"/>
              <w:bottom w:w="70" w:type="dxa"/>
              <w:end w:w="90" w:type="dxa"/>
            </w:tcMar>
            <w:shd w:fill="F7F9FB"/>
          </w:tcPr>
          <w:p>
            <w:pPr>
              <w:spacing w:after="0"/>
            </w:pPr>
            <w:r>
              <w:rPr>
                <w:rFonts w:ascii="Liberation Sans" w:hAnsi="Liberation Sans"/>
                <w:sz w:val="16"/>
              </w:rPr>
              <w:t>Own the executable regulatory assurance graph, not a generic chatbot</w:t>
            </w:r>
          </w:p>
        </w:tc>
      </w:tr>
    </w:tbl>
    <w:p>
      <w:pPr>
        <w:spacing w:after="20"/>
      </w:pPr>
    </w:p>
    <w:tbl>
      <w:tblPr>
        <w:tblW w:type="auto" w:w="0"/>
        <w:jc w:val="center"/>
        <w:tblLayout w:type="fixed"/>
        <w:tblLook w:firstColumn="1" w:firstRow="1" w:lastColumn="0" w:lastRow="0" w:noHBand="0" w:noVBand="1" w:val="04A0"/>
      </w:tblPr>
      <w:tblGrid>
        <w:gridCol w:w="9792"/>
      </w:tblGrid>
      <w:tr>
        <w:tc>
          <w:tcPr>
            <w:tcW w:type="dxa" w:w="10080"/>
            <w:shd w:fill="FFF2CC"/>
            <w:tcMar>
              <w:top w:w="120" w:type="dxa"/>
              <w:start w:w="150" w:type="dxa"/>
              <w:bottom w:w="120" w:type="dxa"/>
              <w:end w:w="150" w:type="dxa"/>
            </w:tcMar>
          </w:tcPr>
          <w:p>
            <w:r>
              <w:rPr>
                <w:rFonts w:ascii="Liberation Sans" w:hAnsi="Liberation Sans"/>
                <w:b/>
                <w:color w:val="17365D"/>
                <w:sz w:val="20"/>
              </w:rPr>
              <w:t>Long-term moat: canonical Basel/jurisdiction knowledge graph + versioned executable rules + institutional UDM mappings + large regulatory golden-test library + cross-engine reconciliation evidence.</w:t>
            </w:r>
          </w:p>
        </w:tc>
      </w:tr>
    </w:tbl>
    <w:p>
      <w:r>
        <w:br w:type="page"/>
      </w:r>
    </w:p>
    <w:p>
      <w:pPr>
        <w:pStyle w:val="Heading1"/>
      </w:pPr>
      <w:r>
        <w:t>19. Decisions to lock now</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shd w:fill="17365D"/>
            <w:tcMar>
              <w:top w:w="70" w:type="dxa"/>
              <w:start w:w="90" w:type="dxa"/>
              <w:bottom w:w="70" w:type="dxa"/>
              <w:end w:w="90" w:type="dxa"/>
            </w:tcMar>
          </w:tcPr>
          <w:p>
            <w:r>
              <w:rPr>
                <w:b/>
                <w:color w:val="FFFFFF"/>
                <w:sz w:val="16"/>
              </w:rPr>
              <w:t>Decision</w:t>
            </w:r>
          </w:p>
        </w:tc>
        <w:tc>
          <w:tcPr>
            <w:tcW w:type="dxa" w:w="5040"/>
            <w:shd w:fill="17365D"/>
            <w:tcMar>
              <w:top w:w="70" w:type="dxa"/>
              <w:start w:w="90" w:type="dxa"/>
              <w:bottom w:w="70" w:type="dxa"/>
              <w:end w:w="90" w:type="dxa"/>
            </w:tcMar>
          </w:tcPr>
          <w:p>
            <w:r>
              <w:rPr>
                <w:b/>
                <w:color w:val="FFFFFF"/>
                <w:sz w:val="16"/>
              </w:rPr>
              <w:t>Final recommendation</w:t>
            </w:r>
          </w:p>
        </w:tc>
      </w:tr>
      <w:tr>
        <w:tc>
          <w:tcPr>
            <w:tcW w:type="dxa" w:w="5040"/>
            <w:vAlign w:val="top"/>
            <w:tcMar>
              <w:top w:w="70" w:type="dxa"/>
              <w:start w:w="90" w:type="dxa"/>
              <w:bottom w:w="70" w:type="dxa"/>
              <w:end w:w="90" w:type="dxa"/>
            </w:tcMar>
          </w:tcPr>
          <w:p>
            <w:pPr>
              <w:spacing w:after="0"/>
            </w:pPr>
            <w:r>
              <w:rPr>
                <w:rFonts w:ascii="Liberation Sans" w:hAnsi="Liberation Sans"/>
                <w:sz w:val="16"/>
              </w:rPr>
              <w:t>Company wedge</w:t>
            </w:r>
          </w:p>
        </w:tc>
        <w:tc>
          <w:tcPr>
            <w:tcW w:type="dxa" w:w="5040"/>
            <w:vAlign w:val="top"/>
            <w:tcMar>
              <w:top w:w="70" w:type="dxa"/>
              <w:start w:w="90" w:type="dxa"/>
              <w:bottom w:w="70" w:type="dxa"/>
              <w:end w:w="90" w:type="dxa"/>
            </w:tcMar>
          </w:tcPr>
          <w:p>
            <w:pPr>
              <w:spacing w:after="0"/>
            </w:pPr>
            <w:r>
              <w:rPr>
                <w:rFonts w:ascii="Liberation Sans" w:hAnsi="Liberation Sans"/>
                <w:sz w:val="16"/>
              </w:rPr>
              <w:t>AI-native prudential capital change assurance</w:t>
            </w:r>
          </w:p>
        </w:tc>
      </w:tr>
      <w:tr>
        <w:tc>
          <w:tcPr>
            <w:tcW w:type="dxa" w:w="5040"/>
            <w:vAlign w:val="top"/>
            <w:tcMar>
              <w:top w:w="70" w:type="dxa"/>
              <w:start w:w="90" w:type="dxa"/>
              <w:bottom w:w="70" w:type="dxa"/>
              <w:end w:w="90" w:type="dxa"/>
            </w:tcMar>
            <w:shd w:fill="F7F9FB"/>
          </w:tcPr>
          <w:p>
            <w:pPr>
              <w:spacing w:after="0"/>
            </w:pPr>
            <w:r>
              <w:rPr>
                <w:rFonts w:ascii="Liberation Sans" w:hAnsi="Liberation Sans"/>
                <w:sz w:val="16"/>
              </w:rPr>
              <w:t>First product</w:t>
            </w:r>
          </w:p>
        </w:tc>
        <w:tc>
          <w:tcPr>
            <w:tcW w:type="dxa" w:w="5040"/>
            <w:vAlign w:val="top"/>
            <w:tcMar>
              <w:top w:w="70" w:type="dxa"/>
              <w:start w:w="90" w:type="dxa"/>
              <w:bottom w:w="70" w:type="dxa"/>
              <w:end w:w="90" w:type="dxa"/>
            </w:tcMar>
            <w:shd w:fill="F7F9FB"/>
          </w:tcPr>
          <w:p>
            <w:pPr>
              <w:spacing w:after="0"/>
            </w:pPr>
            <w:r>
              <w:rPr>
                <w:rFonts w:ascii="Liberation Sans" w:hAnsi="Liberation Sans"/>
                <w:sz w:val="16"/>
              </w:rPr>
              <w:t>U.S. 2026 Capital Change Analyzer</w:t>
            </w:r>
          </w:p>
        </w:tc>
      </w:tr>
      <w:tr>
        <w:tc>
          <w:tcPr>
            <w:tcW w:type="dxa" w:w="5040"/>
            <w:vAlign w:val="top"/>
            <w:tcMar>
              <w:top w:w="70" w:type="dxa"/>
              <w:start w:w="90" w:type="dxa"/>
              <w:bottom w:w="70" w:type="dxa"/>
              <w:end w:w="90" w:type="dxa"/>
            </w:tcMar>
          </w:tcPr>
          <w:p>
            <w:pPr>
              <w:spacing w:after="0"/>
            </w:pPr>
            <w:r>
              <w:rPr>
                <w:rFonts w:ascii="Liberation Sans" w:hAnsi="Liberation Sans"/>
                <w:sz w:val="16"/>
              </w:rPr>
              <w:t>Second product</w:t>
            </w:r>
          </w:p>
        </w:tc>
        <w:tc>
          <w:tcPr>
            <w:tcW w:type="dxa" w:w="5040"/>
            <w:vAlign w:val="top"/>
            <w:tcMar>
              <w:top w:w="70" w:type="dxa"/>
              <w:start w:w="90" w:type="dxa"/>
              <w:bottom w:w="70" w:type="dxa"/>
              <w:end w:w="90" w:type="dxa"/>
            </w:tcMar>
          </w:tcPr>
          <w:p>
            <w:pPr>
              <w:spacing w:after="0"/>
            </w:pPr>
            <w:r>
              <w:rPr>
                <w:rFonts w:ascii="Liberation Sans" w:hAnsi="Liberation Sans"/>
                <w:sz w:val="16"/>
              </w:rPr>
              <w:t>Vendor-neutral Capital Assurance / RWA reconciliation</w:t>
            </w:r>
          </w:p>
        </w:tc>
      </w:tr>
      <w:tr>
        <w:tc>
          <w:tcPr>
            <w:tcW w:type="dxa" w:w="5040"/>
            <w:vAlign w:val="top"/>
            <w:tcMar>
              <w:top w:w="70" w:type="dxa"/>
              <w:start w:w="90" w:type="dxa"/>
              <w:bottom w:w="70" w:type="dxa"/>
              <w:end w:w="90" w:type="dxa"/>
            </w:tcMar>
            <w:shd w:fill="F7F9FB"/>
          </w:tcPr>
          <w:p>
            <w:pPr>
              <w:spacing w:after="0"/>
            </w:pPr>
            <w:r>
              <w:rPr>
                <w:rFonts w:ascii="Liberation Sans" w:hAnsi="Liberation Sans"/>
                <w:sz w:val="16"/>
              </w:rPr>
              <w:t>Canonical regulation model</w:t>
            </w:r>
          </w:p>
        </w:tc>
        <w:tc>
          <w:tcPr>
            <w:tcW w:type="dxa" w:w="5040"/>
            <w:vAlign w:val="top"/>
            <w:tcMar>
              <w:top w:w="70" w:type="dxa"/>
              <w:start w:w="90" w:type="dxa"/>
              <w:bottom w:w="70" w:type="dxa"/>
              <w:end w:w="90" w:type="dxa"/>
            </w:tcMar>
            <w:shd w:fill="F7F9FB"/>
          </w:tcPr>
          <w:p>
            <w:pPr>
              <w:spacing w:after="0"/>
            </w:pPr>
            <w:r>
              <w:rPr>
                <w:rFonts w:ascii="Liberation Sans" w:hAnsi="Liberation Sans"/>
                <w:sz w:val="16"/>
              </w:rPr>
              <w:t>BCBS Basel Framework</w:t>
            </w:r>
          </w:p>
        </w:tc>
      </w:tr>
      <w:tr>
        <w:tc>
          <w:tcPr>
            <w:tcW w:type="dxa" w:w="5040"/>
            <w:vAlign w:val="top"/>
            <w:tcMar>
              <w:top w:w="70" w:type="dxa"/>
              <w:start w:w="90" w:type="dxa"/>
              <w:bottom w:w="70" w:type="dxa"/>
              <w:end w:w="90" w:type="dxa"/>
            </w:tcMar>
          </w:tcPr>
          <w:p>
            <w:pPr>
              <w:spacing w:after="0"/>
            </w:pPr>
            <w:r>
              <w:rPr>
                <w:rFonts w:ascii="Liberation Sans" w:hAnsi="Liberation Sans"/>
                <w:sz w:val="16"/>
              </w:rPr>
              <w:t>First Basel domains</w:t>
            </w:r>
          </w:p>
        </w:tc>
        <w:tc>
          <w:tcPr>
            <w:tcW w:type="dxa" w:w="5040"/>
            <w:vAlign w:val="top"/>
            <w:tcMar>
              <w:top w:w="70" w:type="dxa"/>
              <w:start w:w="90" w:type="dxa"/>
              <w:bottom w:w="70" w:type="dxa"/>
              <w:end w:w="90" w:type="dxa"/>
            </w:tcMar>
          </w:tcPr>
          <w:p>
            <w:pPr>
              <w:spacing w:after="0"/>
            </w:pPr>
            <w:r>
              <w:rPr>
                <w:rFonts w:ascii="Liberation Sans" w:hAnsi="Liberation Sans"/>
                <w:sz w:val="16"/>
              </w:rPr>
              <w:t>SCO/CAP/RBC/CRE/DIS as required for credit-risk traceability</w:t>
            </w:r>
          </w:p>
        </w:tc>
      </w:tr>
      <w:tr>
        <w:tc>
          <w:tcPr>
            <w:tcW w:type="dxa" w:w="5040"/>
            <w:vAlign w:val="top"/>
            <w:tcMar>
              <w:top w:w="70" w:type="dxa"/>
              <w:start w:w="90" w:type="dxa"/>
              <w:bottom w:w="70" w:type="dxa"/>
              <w:end w:w="90" w:type="dxa"/>
            </w:tcMar>
            <w:shd w:fill="F7F9FB"/>
          </w:tcPr>
          <w:p>
            <w:pPr>
              <w:spacing w:after="0"/>
            </w:pPr>
            <w:r>
              <w:rPr>
                <w:rFonts w:ascii="Liberation Sans" w:hAnsi="Liberation Sans"/>
                <w:sz w:val="16"/>
              </w:rPr>
              <w:t>Jurisdiction architecture</w:t>
            </w:r>
          </w:p>
        </w:tc>
        <w:tc>
          <w:tcPr>
            <w:tcW w:type="dxa" w:w="5040"/>
            <w:vAlign w:val="top"/>
            <w:tcMar>
              <w:top w:w="70" w:type="dxa"/>
              <w:start w:w="90" w:type="dxa"/>
              <w:bottom w:w="70" w:type="dxa"/>
              <w:end w:w="90" w:type="dxa"/>
            </w:tcMar>
            <w:shd w:fill="F7F9FB"/>
          </w:tcPr>
          <w:p>
            <w:pPr>
              <w:spacing w:after="0"/>
            </w:pPr>
            <w:r>
              <w:rPr>
                <w:rFonts w:ascii="Liberation Sans" w:hAnsi="Liberation Sans"/>
                <w:sz w:val="16"/>
              </w:rPr>
              <w:t>Versioned overlays; never country code forks</w:t>
            </w:r>
          </w:p>
        </w:tc>
      </w:tr>
      <w:tr>
        <w:tc>
          <w:tcPr>
            <w:tcW w:type="dxa" w:w="5040"/>
            <w:vAlign w:val="top"/>
            <w:tcMar>
              <w:top w:w="70" w:type="dxa"/>
              <w:start w:w="90" w:type="dxa"/>
              <w:bottom w:w="70" w:type="dxa"/>
              <w:end w:w="90" w:type="dxa"/>
            </w:tcMar>
          </w:tcPr>
          <w:p>
            <w:pPr>
              <w:spacing w:after="0"/>
            </w:pPr>
            <w:r>
              <w:rPr>
                <w:rFonts w:ascii="Liberation Sans" w:hAnsi="Liberation Sans"/>
                <w:sz w:val="16"/>
              </w:rPr>
              <w:t>Core data contract</w:t>
            </w:r>
          </w:p>
        </w:tc>
        <w:tc>
          <w:tcPr>
            <w:tcW w:type="dxa" w:w="5040"/>
            <w:vAlign w:val="top"/>
            <w:tcMar>
              <w:top w:w="70" w:type="dxa"/>
              <w:start w:w="90" w:type="dxa"/>
              <w:bottom w:w="70" w:type="dxa"/>
              <w:end w:w="90" w:type="dxa"/>
            </w:tcMar>
          </w:tcPr>
          <w:p>
            <w:pPr>
              <w:spacing w:after="0"/>
            </w:pPr>
            <w:r>
              <w:rPr>
                <w:rFonts w:ascii="Liberation Sans" w:hAnsi="Liberation Sans"/>
                <w:sz w:val="16"/>
              </w:rPr>
              <w:t>Existing UDM evolved into jurisdiction-neutral canonical model</w:t>
            </w:r>
          </w:p>
        </w:tc>
      </w:tr>
      <w:tr>
        <w:tc>
          <w:tcPr>
            <w:tcW w:type="dxa" w:w="5040"/>
            <w:vAlign w:val="top"/>
            <w:tcMar>
              <w:top w:w="70" w:type="dxa"/>
              <w:start w:w="90" w:type="dxa"/>
              <w:bottom w:w="70" w:type="dxa"/>
              <w:end w:w="90" w:type="dxa"/>
            </w:tcMar>
            <w:shd w:fill="F7F9FB"/>
          </w:tcPr>
          <w:p>
            <w:pPr>
              <w:spacing w:after="0"/>
            </w:pPr>
            <w:r>
              <w:rPr>
                <w:rFonts w:ascii="Liberation Sans" w:hAnsi="Liberation Sans"/>
                <w:sz w:val="16"/>
              </w:rPr>
              <w:t>Calculation authority</w:t>
            </w:r>
          </w:p>
        </w:tc>
        <w:tc>
          <w:tcPr>
            <w:tcW w:type="dxa" w:w="5040"/>
            <w:vAlign w:val="top"/>
            <w:tcMar>
              <w:top w:w="70" w:type="dxa"/>
              <w:start w:w="90" w:type="dxa"/>
              <w:bottom w:w="70" w:type="dxa"/>
              <w:end w:w="90" w:type="dxa"/>
            </w:tcMar>
            <w:shd w:fill="F7F9FB"/>
          </w:tcPr>
          <w:p>
            <w:pPr>
              <w:spacing w:after="0"/>
            </w:pPr>
            <w:r>
              <w:rPr>
                <w:rFonts w:ascii="Liberation Sans" w:hAnsi="Liberation Sans"/>
                <w:sz w:val="16"/>
              </w:rPr>
              <w:t>Deterministic engine only</w:t>
            </w:r>
          </w:p>
        </w:tc>
      </w:tr>
      <w:tr>
        <w:tc>
          <w:tcPr>
            <w:tcW w:type="dxa" w:w="5040"/>
            <w:vAlign w:val="top"/>
            <w:tcMar>
              <w:top w:w="70" w:type="dxa"/>
              <w:start w:w="90" w:type="dxa"/>
              <w:bottom w:w="70" w:type="dxa"/>
              <w:end w:w="90" w:type="dxa"/>
            </w:tcMar>
          </w:tcPr>
          <w:p>
            <w:pPr>
              <w:spacing w:after="0"/>
            </w:pPr>
            <w:r>
              <w:rPr>
                <w:rFonts w:ascii="Liberation Sans" w:hAnsi="Liberation Sans"/>
                <w:sz w:val="16"/>
              </w:rPr>
              <w:t>AI role</w:t>
            </w:r>
          </w:p>
        </w:tc>
        <w:tc>
          <w:tcPr>
            <w:tcW w:type="dxa" w:w="5040"/>
            <w:vAlign w:val="top"/>
            <w:tcMar>
              <w:top w:w="70" w:type="dxa"/>
              <w:start w:w="90" w:type="dxa"/>
              <w:bottom w:w="70" w:type="dxa"/>
              <w:end w:w="90" w:type="dxa"/>
            </w:tcMar>
          </w:tcPr>
          <w:p>
            <w:pPr>
              <w:spacing w:after="0"/>
            </w:pPr>
            <w:r>
              <w:rPr>
                <w:rFonts w:ascii="Liberation Sans" w:hAnsi="Liberation Sans"/>
                <w:sz w:val="16"/>
              </w:rPr>
              <w:t>Interpret / map / investigate / explain / test / evidence</w:t>
            </w:r>
          </w:p>
        </w:tc>
      </w:tr>
      <w:tr>
        <w:tc>
          <w:tcPr>
            <w:tcW w:type="dxa" w:w="5040"/>
            <w:vAlign w:val="top"/>
            <w:tcMar>
              <w:top w:w="70" w:type="dxa"/>
              <w:start w:w="90" w:type="dxa"/>
              <w:bottom w:w="70" w:type="dxa"/>
              <w:end w:w="90" w:type="dxa"/>
            </w:tcMar>
            <w:shd w:fill="F7F9FB"/>
          </w:tcPr>
          <w:p>
            <w:pPr>
              <w:spacing w:after="0"/>
            </w:pPr>
            <w:r>
              <w:rPr>
                <w:rFonts w:ascii="Liberation Sans" w:hAnsi="Liberation Sans"/>
                <w:sz w:val="16"/>
              </w:rPr>
              <w:t>Primary language</w:t>
            </w:r>
          </w:p>
        </w:tc>
        <w:tc>
          <w:tcPr>
            <w:tcW w:type="dxa" w:w="5040"/>
            <w:vAlign w:val="top"/>
            <w:tcMar>
              <w:top w:w="70" w:type="dxa"/>
              <w:start w:w="90" w:type="dxa"/>
              <w:bottom w:w="70" w:type="dxa"/>
              <w:end w:w="90" w:type="dxa"/>
            </w:tcMar>
            <w:shd w:fill="F7F9FB"/>
          </w:tcPr>
          <w:p>
            <w:pPr>
              <w:spacing w:after="0"/>
            </w:pPr>
            <w:r>
              <w:rPr>
                <w:rFonts w:ascii="Liberation Sans" w:hAnsi="Liberation Sans"/>
                <w:sz w:val="16"/>
              </w:rPr>
              <w:t>Python</w:t>
            </w:r>
          </w:p>
        </w:tc>
      </w:tr>
      <w:tr>
        <w:tc>
          <w:tcPr>
            <w:tcW w:type="dxa" w:w="5040"/>
            <w:vAlign w:val="top"/>
            <w:tcMar>
              <w:top w:w="70" w:type="dxa"/>
              <w:start w:w="90" w:type="dxa"/>
              <w:bottom w:w="70" w:type="dxa"/>
              <w:end w:w="90" w:type="dxa"/>
            </w:tcMar>
          </w:tcPr>
          <w:p>
            <w:pPr>
              <w:spacing w:after="0"/>
            </w:pPr>
            <w:r>
              <w:rPr>
                <w:rFonts w:ascii="Liberation Sans" w:hAnsi="Liberation Sans"/>
                <w:sz w:val="16"/>
              </w:rPr>
              <w:t>Distributed scale</w:t>
            </w:r>
          </w:p>
        </w:tc>
        <w:tc>
          <w:tcPr>
            <w:tcW w:type="dxa" w:w="5040"/>
            <w:vAlign w:val="top"/>
            <w:tcMar>
              <w:top w:w="70" w:type="dxa"/>
              <w:start w:w="90" w:type="dxa"/>
              <w:bottom w:w="70" w:type="dxa"/>
              <w:end w:w="90" w:type="dxa"/>
            </w:tcMar>
          </w:tcPr>
          <w:p>
            <w:pPr>
              <w:spacing w:after="0"/>
            </w:pPr>
            <w:r>
              <w:rPr>
                <w:rFonts w:ascii="Liberation Sans" w:hAnsi="Liberation Sans"/>
                <w:sz w:val="16"/>
              </w:rPr>
              <w:t>PySpark adapter only after benchmark gate</w:t>
            </w:r>
          </w:p>
        </w:tc>
      </w:tr>
      <w:tr>
        <w:tc>
          <w:tcPr>
            <w:tcW w:type="dxa" w:w="5040"/>
            <w:vAlign w:val="top"/>
            <w:tcMar>
              <w:top w:w="70" w:type="dxa"/>
              <w:start w:w="90" w:type="dxa"/>
              <w:bottom w:w="70" w:type="dxa"/>
              <w:end w:w="90" w:type="dxa"/>
            </w:tcMar>
            <w:shd w:fill="F7F9FB"/>
          </w:tcPr>
          <w:p>
            <w:pPr>
              <w:spacing w:after="0"/>
            </w:pPr>
            <w:r>
              <w:rPr>
                <w:rFonts w:ascii="Liberation Sans" w:hAnsi="Liberation Sans"/>
                <w:sz w:val="16"/>
              </w:rPr>
              <w:t>Testing</w:t>
            </w:r>
          </w:p>
        </w:tc>
        <w:tc>
          <w:tcPr>
            <w:tcW w:type="dxa" w:w="5040"/>
            <w:vAlign w:val="top"/>
            <w:tcMar>
              <w:top w:w="70" w:type="dxa"/>
              <w:start w:w="90" w:type="dxa"/>
              <w:bottom w:w="70" w:type="dxa"/>
              <w:end w:w="90" w:type="dxa"/>
            </w:tcMar>
            <w:shd w:fill="F7F9FB"/>
          </w:tcPr>
          <w:p>
            <w:pPr>
              <w:spacing w:after="0"/>
            </w:pPr>
            <w:r>
              <w:rPr>
                <w:rFonts w:ascii="Liberation Sans" w:hAnsi="Liberation Sans"/>
                <w:sz w:val="16"/>
              </w:rPr>
              <w:t>Golden regulatory portfolio + synthetic generator + 10-layer assurance suite</w:t>
            </w:r>
          </w:p>
        </w:tc>
      </w:tr>
      <w:tr>
        <w:tc>
          <w:tcPr>
            <w:tcW w:type="dxa" w:w="5040"/>
            <w:vAlign w:val="top"/>
            <w:tcMar>
              <w:top w:w="70" w:type="dxa"/>
              <w:start w:w="90" w:type="dxa"/>
              <w:bottom w:w="70" w:type="dxa"/>
              <w:end w:w="90" w:type="dxa"/>
            </w:tcMar>
          </w:tcPr>
          <w:p>
            <w:pPr>
              <w:spacing w:after="0"/>
            </w:pPr>
            <w:r>
              <w:rPr>
                <w:rFonts w:ascii="Liberation Sans" w:hAnsi="Liberation Sans"/>
                <w:sz w:val="16"/>
              </w:rPr>
              <w:t>Reporting</w:t>
            </w:r>
          </w:p>
        </w:tc>
        <w:tc>
          <w:tcPr>
            <w:tcW w:type="dxa" w:w="5040"/>
            <w:vAlign w:val="top"/>
            <w:tcMar>
              <w:top w:w="70" w:type="dxa"/>
              <w:start w:w="90" w:type="dxa"/>
              <w:bottom w:w="70" w:type="dxa"/>
              <w:end w:w="90" w:type="dxa"/>
            </w:tcMar>
          </w:tcPr>
          <w:p>
            <w:pPr>
              <w:spacing w:after="0"/>
            </w:pPr>
            <w:r>
              <w:rPr>
                <w:rFonts w:ascii="Liberation Sans" w:hAnsi="Liberation Sans"/>
                <w:sz w:val="16"/>
              </w:rPr>
              <w:t>Independent versioned mapping layer</w:t>
            </w:r>
          </w:p>
        </w:tc>
      </w:tr>
      <w:tr>
        <w:tc>
          <w:tcPr>
            <w:tcW w:type="dxa" w:w="5040"/>
            <w:vAlign w:val="top"/>
            <w:tcMar>
              <w:top w:w="70" w:type="dxa"/>
              <w:start w:w="90" w:type="dxa"/>
              <w:bottom w:w="70" w:type="dxa"/>
              <w:end w:w="90" w:type="dxa"/>
            </w:tcMar>
            <w:shd w:fill="F7F9FB"/>
          </w:tcPr>
          <w:p>
            <w:pPr>
              <w:spacing w:after="0"/>
            </w:pPr>
            <w:r>
              <w:rPr>
                <w:rFonts w:ascii="Liberation Sans" w:hAnsi="Liberation Sans"/>
                <w:sz w:val="16"/>
              </w:rPr>
              <w:t>Deployment</w:t>
            </w:r>
          </w:p>
        </w:tc>
        <w:tc>
          <w:tcPr>
            <w:tcW w:type="dxa" w:w="5040"/>
            <w:vAlign w:val="top"/>
            <w:tcMar>
              <w:top w:w="70" w:type="dxa"/>
              <w:start w:w="90" w:type="dxa"/>
              <w:bottom w:w="70" w:type="dxa"/>
              <w:end w:w="90" w:type="dxa"/>
            </w:tcMar>
            <w:shd w:fill="F7F9FB"/>
          </w:tcPr>
          <w:p>
            <w:pPr>
              <w:spacing w:after="0"/>
            </w:pPr>
            <w:r>
              <w:rPr>
                <w:rFonts w:ascii="Liberation Sans" w:hAnsi="Liberation Sans"/>
                <w:sz w:val="16"/>
              </w:rPr>
              <w:t>SaaS first for low-friction pilots; VPC/on-prem/compute-in-place design</w:t>
            </w:r>
          </w:p>
        </w:tc>
      </w:tr>
      <w:tr>
        <w:tc>
          <w:tcPr>
            <w:tcW w:type="dxa" w:w="5040"/>
            <w:vAlign w:val="top"/>
            <w:tcMar>
              <w:top w:w="70" w:type="dxa"/>
              <w:start w:w="90" w:type="dxa"/>
              <w:bottom w:w="70" w:type="dxa"/>
              <w:end w:w="90" w:type="dxa"/>
            </w:tcMar>
          </w:tcPr>
          <w:p>
            <w:pPr>
              <w:spacing w:after="0"/>
            </w:pPr>
            <w:r>
              <w:rPr>
                <w:rFonts w:ascii="Liberation Sans" w:hAnsi="Liberation Sans"/>
                <w:sz w:val="16"/>
              </w:rPr>
              <w:t>Initial GTM</w:t>
            </w:r>
          </w:p>
        </w:tc>
        <w:tc>
          <w:tcPr>
            <w:tcW w:type="dxa" w:w="5040"/>
            <w:vAlign w:val="top"/>
            <w:tcMar>
              <w:top w:w="70" w:type="dxa"/>
              <w:start w:w="90" w:type="dxa"/>
              <w:bottom w:w="70" w:type="dxa"/>
              <w:end w:w="90" w:type="dxa"/>
            </w:tcMar>
          </w:tcPr>
          <w:p>
            <w:pPr>
              <w:spacing w:after="0"/>
            </w:pPr>
            <w:r>
              <w:rPr>
                <w:rFonts w:ascii="Liberation Sans" w:hAnsi="Liberation Sans"/>
                <w:sz w:val="16"/>
              </w:rPr>
              <w:t>Paid impact/assurance engagement → platform subscription</w:t>
            </w:r>
          </w:p>
        </w:tc>
      </w:tr>
      <w:tr>
        <w:tc>
          <w:tcPr>
            <w:tcW w:type="dxa" w:w="5040"/>
            <w:vAlign w:val="top"/>
            <w:tcMar>
              <w:top w:w="70" w:type="dxa"/>
              <w:start w:w="90" w:type="dxa"/>
              <w:bottom w:w="70" w:type="dxa"/>
              <w:end w:w="90" w:type="dxa"/>
            </w:tcMar>
            <w:shd w:fill="F7F9FB"/>
          </w:tcPr>
          <w:p>
            <w:pPr>
              <w:spacing w:after="0"/>
            </w:pPr>
            <w:r>
              <w:rPr>
                <w:rFonts w:ascii="Liberation Sans" w:hAnsi="Liberation Sans"/>
                <w:sz w:val="16"/>
              </w:rPr>
              <w:t>International sequence</w:t>
            </w:r>
          </w:p>
        </w:tc>
        <w:tc>
          <w:tcPr>
            <w:tcW w:type="dxa" w:w="5040"/>
            <w:vAlign w:val="top"/>
            <w:tcMar>
              <w:top w:w="70" w:type="dxa"/>
              <w:start w:w="90" w:type="dxa"/>
              <w:bottom w:w="70" w:type="dxa"/>
              <w:end w:w="90" w:type="dxa"/>
            </w:tcMar>
            <w:shd w:fill="F7F9FB"/>
          </w:tcPr>
          <w:p>
            <w:pPr>
              <w:spacing w:after="0"/>
            </w:pPr>
            <w:r>
              <w:rPr>
                <w:rFonts w:ascii="Liberation Sans" w:hAnsi="Liberation Sans"/>
                <w:sz w:val="16"/>
              </w:rPr>
              <w:t>Customer-led; Saudi/UAE likely first after U.S.</w:t>
            </w:r>
          </w:p>
        </w:tc>
      </w:tr>
    </w:tbl>
    <w:p>
      <w:pPr>
        <w:spacing w:after="20"/>
      </w:pPr>
    </w:p>
    <w:p>
      <w:r>
        <w:br w:type="page"/>
      </w:r>
    </w:p>
    <w:p>
      <w:pPr>
        <w:pStyle w:val="Heading1"/>
      </w:pPr>
      <w:r>
        <w:t>20. Research references</w:t>
      </w:r>
    </w:p>
    <w:p>
      <w:pPr>
        <w:pStyle w:val="Small"/>
      </w:pPr>
      <w:r>
        <w:rPr>
          <w:rFonts w:ascii="Liberation Sans" w:hAnsi="Liberation Sans"/>
          <w:sz w:val="19"/>
        </w:rPr>
        <w:t>The following official/regulatory and vendor-primary sources informed the finalized plan. Vendor capabilities are based on publicly marketed descriptions and should be revalidated during procurement/competitive diligence.</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648"/>
            <w:shd w:fill="17365D"/>
            <w:tcMar>
              <w:top w:w="70" w:type="dxa"/>
              <w:start w:w="90" w:type="dxa"/>
              <w:bottom w:w="70" w:type="dxa"/>
              <w:end w:w="90" w:type="dxa"/>
            </w:tcMar>
          </w:tcPr>
          <w:p>
            <w:r>
              <w:rPr>
                <w:b/>
                <w:color w:val="FFFFFF"/>
                <w:sz w:val="14"/>
              </w:rPr>
              <w:t>Ref</w:t>
            </w:r>
          </w:p>
        </w:tc>
        <w:tc>
          <w:tcPr>
            <w:tcW w:type="dxa" w:w="4176"/>
            <w:shd w:fill="17365D"/>
            <w:tcMar>
              <w:top w:w="70" w:type="dxa"/>
              <w:start w:w="90" w:type="dxa"/>
              <w:bottom w:w="70" w:type="dxa"/>
              <w:end w:w="90" w:type="dxa"/>
            </w:tcMar>
          </w:tcPr>
          <w:p>
            <w:r>
              <w:rPr>
                <w:b/>
                <w:color w:val="FFFFFF"/>
                <w:sz w:val="14"/>
              </w:rPr>
              <w:t>Source</w:t>
            </w:r>
          </w:p>
        </w:tc>
        <w:tc>
          <w:tcPr>
            <w:tcW w:type="dxa" w:w="5472"/>
            <w:shd w:fill="17365D"/>
            <w:tcMar>
              <w:top w:w="70" w:type="dxa"/>
              <w:start w:w="90" w:type="dxa"/>
              <w:bottom w:w="70" w:type="dxa"/>
              <w:end w:w="90" w:type="dxa"/>
            </w:tcMar>
          </w:tcPr>
          <w:p>
            <w:r>
              <w:rPr>
                <w:b/>
                <w:color w:val="FFFFFF"/>
                <w:sz w:val="14"/>
              </w:rPr>
              <w:t>URL</w:t>
            </w:r>
          </w:p>
        </w:tc>
      </w:tr>
      <w:tr>
        <w:tc>
          <w:tcPr>
            <w:tcW w:type="dxa" w:w="648"/>
            <w:vAlign w:val="top"/>
            <w:tcMar>
              <w:top w:w="70" w:type="dxa"/>
              <w:start w:w="90" w:type="dxa"/>
              <w:bottom w:w="70" w:type="dxa"/>
              <w:end w:w="90" w:type="dxa"/>
            </w:tcMar>
          </w:tcPr>
          <w:p>
            <w:pPr>
              <w:spacing w:after="0"/>
            </w:pPr>
            <w:r>
              <w:rPr>
                <w:rFonts w:ascii="Liberation Sans" w:hAnsi="Liberation Sans"/>
                <w:sz w:val="14"/>
              </w:rPr>
              <w:t>R1</w:t>
            </w:r>
          </w:p>
        </w:tc>
        <w:tc>
          <w:tcPr>
            <w:tcW w:type="dxa" w:w="4176"/>
            <w:vAlign w:val="top"/>
            <w:tcMar>
              <w:top w:w="70" w:type="dxa"/>
              <w:start w:w="90" w:type="dxa"/>
              <w:bottom w:w="70" w:type="dxa"/>
              <w:end w:w="90" w:type="dxa"/>
            </w:tcMar>
          </w:tcPr>
          <w:p>
            <w:pPr>
              <w:spacing w:after="0"/>
            </w:pPr>
            <w:r>
              <w:rPr>
                <w:rFonts w:ascii="Liberation Sans" w:hAnsi="Liberation Sans"/>
                <w:sz w:val="14"/>
              </w:rPr>
              <w:t>Basel Committee on Banking Supervision — CRE20, Standardised approach: individual exposures</w:t>
            </w:r>
          </w:p>
        </w:tc>
        <w:tc>
          <w:tcPr>
            <w:tcW w:type="dxa" w:w="5472"/>
            <w:vAlign w:val="top"/>
            <w:tcMar>
              <w:top w:w="70" w:type="dxa"/>
              <w:start w:w="90" w:type="dxa"/>
              <w:bottom w:w="70" w:type="dxa"/>
              <w:end w:w="90" w:type="dxa"/>
            </w:tcMar>
          </w:tcPr>
          <w:p>
            <w:pPr>
              <w:spacing w:after="0"/>
            </w:pPr>
            <w:r>
              <w:rPr>
                <w:rFonts w:ascii="Liberation Sans" w:hAnsi="Liberation Sans"/>
                <w:sz w:val="14"/>
              </w:rPr>
              <w:t>https://www.bis.org/basel_framework/chapter/CRE/20.htm</w:t>
            </w:r>
          </w:p>
        </w:tc>
      </w:tr>
      <w:tr>
        <w:tc>
          <w:tcPr>
            <w:tcW w:type="dxa" w:w="648"/>
            <w:vAlign w:val="top"/>
            <w:tcMar>
              <w:top w:w="70" w:type="dxa"/>
              <w:start w:w="90" w:type="dxa"/>
              <w:bottom w:w="70" w:type="dxa"/>
              <w:end w:w="90" w:type="dxa"/>
            </w:tcMar>
            <w:shd w:fill="F7F9FB"/>
          </w:tcPr>
          <w:p>
            <w:pPr>
              <w:spacing w:after="0"/>
            </w:pPr>
            <w:r>
              <w:rPr>
                <w:rFonts w:ascii="Liberation Sans" w:hAnsi="Liberation Sans"/>
                <w:sz w:val="14"/>
              </w:rPr>
              <w:t>R2</w:t>
            </w:r>
          </w:p>
        </w:tc>
        <w:tc>
          <w:tcPr>
            <w:tcW w:type="dxa" w:w="4176"/>
            <w:vAlign w:val="top"/>
            <w:tcMar>
              <w:top w:w="70" w:type="dxa"/>
              <w:start w:w="90" w:type="dxa"/>
              <w:bottom w:w="70" w:type="dxa"/>
              <w:end w:w="90" w:type="dxa"/>
            </w:tcMar>
            <w:shd w:fill="F7F9FB"/>
          </w:tcPr>
          <w:p>
            <w:pPr>
              <w:spacing w:after="0"/>
            </w:pPr>
            <w:r>
              <w:rPr>
                <w:rFonts w:ascii="Liberation Sans" w:hAnsi="Liberation Sans"/>
                <w:sz w:val="14"/>
              </w:rPr>
              <w:t>Federal Reserve — 19 March 2026 proposals to modernize regulatory capital framework</w:t>
            </w:r>
          </w:p>
        </w:tc>
        <w:tc>
          <w:tcPr>
            <w:tcW w:type="dxa" w:w="5472"/>
            <w:vAlign w:val="top"/>
            <w:tcMar>
              <w:top w:w="70" w:type="dxa"/>
              <w:start w:w="90" w:type="dxa"/>
              <w:bottom w:w="70" w:type="dxa"/>
              <w:end w:w="90" w:type="dxa"/>
            </w:tcMar>
            <w:shd w:fill="F7F9FB"/>
          </w:tcPr>
          <w:p>
            <w:pPr>
              <w:spacing w:after="0"/>
            </w:pPr>
            <w:r>
              <w:rPr>
                <w:rFonts w:ascii="Liberation Sans" w:hAnsi="Liberation Sans"/>
                <w:sz w:val="14"/>
              </w:rPr>
              <w:t>https://www.federalreserve.gov/newsevents/pressreleases/bcreg20260319a.htm</w:t>
            </w:r>
          </w:p>
        </w:tc>
      </w:tr>
      <w:tr>
        <w:tc>
          <w:tcPr>
            <w:tcW w:type="dxa" w:w="648"/>
            <w:vAlign w:val="top"/>
            <w:tcMar>
              <w:top w:w="70" w:type="dxa"/>
              <w:start w:w="90" w:type="dxa"/>
              <w:bottom w:w="70" w:type="dxa"/>
              <w:end w:w="90" w:type="dxa"/>
            </w:tcMar>
          </w:tcPr>
          <w:p>
            <w:pPr>
              <w:spacing w:after="0"/>
            </w:pPr>
            <w:r>
              <w:rPr>
                <w:rFonts w:ascii="Liberation Sans" w:hAnsi="Liberation Sans"/>
                <w:sz w:val="14"/>
              </w:rPr>
              <w:t>R3</w:t>
            </w:r>
          </w:p>
        </w:tc>
        <w:tc>
          <w:tcPr>
            <w:tcW w:type="dxa" w:w="4176"/>
            <w:vAlign w:val="top"/>
            <w:tcMar>
              <w:top w:w="70" w:type="dxa"/>
              <w:start w:w="90" w:type="dxa"/>
              <w:bottom w:w="70" w:type="dxa"/>
              <w:end w:w="90" w:type="dxa"/>
            </w:tcMar>
          </w:tcPr>
          <w:p>
            <w:pPr>
              <w:spacing w:after="0"/>
            </w:pPr>
            <w:r>
              <w:rPr>
                <w:rFonts w:ascii="Liberation Sans" w:hAnsi="Liberation Sans"/>
                <w:sz w:val="14"/>
              </w:rPr>
              <w:t>FFIEC — FFIEC 101 Current Information (June 2026 form / extension)</w:t>
            </w:r>
          </w:p>
        </w:tc>
        <w:tc>
          <w:tcPr>
            <w:tcW w:type="dxa" w:w="5472"/>
            <w:vAlign w:val="top"/>
            <w:tcMar>
              <w:top w:w="70" w:type="dxa"/>
              <w:start w:w="90" w:type="dxa"/>
              <w:bottom w:w="70" w:type="dxa"/>
              <w:end w:w="90" w:type="dxa"/>
            </w:tcMar>
          </w:tcPr>
          <w:p>
            <w:pPr>
              <w:spacing w:after="0"/>
            </w:pPr>
            <w:r>
              <w:rPr>
                <w:rFonts w:ascii="Liberation Sans" w:hAnsi="Liberation Sans"/>
                <w:sz w:val="14"/>
              </w:rPr>
              <w:t>https://www.ffiec.gov/resources/reporting-forms/ffiec101</w:t>
            </w:r>
          </w:p>
        </w:tc>
      </w:tr>
      <w:tr>
        <w:tc>
          <w:tcPr>
            <w:tcW w:type="dxa" w:w="648"/>
            <w:vAlign w:val="top"/>
            <w:tcMar>
              <w:top w:w="70" w:type="dxa"/>
              <w:start w:w="90" w:type="dxa"/>
              <w:bottom w:w="70" w:type="dxa"/>
              <w:end w:w="90" w:type="dxa"/>
            </w:tcMar>
            <w:shd w:fill="F7F9FB"/>
          </w:tcPr>
          <w:p>
            <w:pPr>
              <w:spacing w:after="0"/>
            </w:pPr>
            <w:r>
              <w:rPr>
                <w:rFonts w:ascii="Liberation Sans" w:hAnsi="Liberation Sans"/>
                <w:sz w:val="14"/>
              </w:rPr>
              <w:t>R4</w:t>
            </w:r>
          </w:p>
        </w:tc>
        <w:tc>
          <w:tcPr>
            <w:tcW w:type="dxa" w:w="4176"/>
            <w:vAlign w:val="top"/>
            <w:tcMar>
              <w:top w:w="70" w:type="dxa"/>
              <w:start w:w="90" w:type="dxa"/>
              <w:bottom w:w="70" w:type="dxa"/>
              <w:end w:w="90" w:type="dxa"/>
            </w:tcMar>
            <w:shd w:fill="F7F9FB"/>
          </w:tcPr>
          <w:p>
            <w:pPr>
              <w:spacing w:after="0"/>
            </w:pPr>
            <w:r>
              <w:rPr>
                <w:rFonts w:ascii="Liberation Sans" w:hAnsi="Liberation Sans"/>
                <w:sz w:val="14"/>
              </w:rPr>
              <w:t>Bank of England / PRA — PS1/26 Implementation of Basel 3.1: Final rules</w:t>
            </w:r>
          </w:p>
        </w:tc>
        <w:tc>
          <w:tcPr>
            <w:tcW w:type="dxa" w:w="5472"/>
            <w:vAlign w:val="top"/>
            <w:tcMar>
              <w:top w:w="70" w:type="dxa"/>
              <w:start w:w="90" w:type="dxa"/>
              <w:bottom w:w="70" w:type="dxa"/>
              <w:end w:w="90" w:type="dxa"/>
            </w:tcMar>
            <w:shd w:fill="F7F9FB"/>
          </w:tcPr>
          <w:p>
            <w:pPr>
              <w:spacing w:after="0"/>
            </w:pPr>
            <w:r>
              <w:rPr>
                <w:rFonts w:ascii="Liberation Sans" w:hAnsi="Liberation Sans"/>
                <w:sz w:val="14"/>
              </w:rPr>
              <w:t>https://www.bankofengland.co.uk/prudential-regulation/publication/2026/january/implementation-of-the-basel-3-1-final-rules-policy-statement</w:t>
            </w:r>
          </w:p>
        </w:tc>
      </w:tr>
      <w:tr>
        <w:tc>
          <w:tcPr>
            <w:tcW w:type="dxa" w:w="648"/>
            <w:vAlign w:val="top"/>
            <w:tcMar>
              <w:top w:w="70" w:type="dxa"/>
              <w:start w:w="90" w:type="dxa"/>
              <w:bottom w:w="70" w:type="dxa"/>
              <w:end w:w="90" w:type="dxa"/>
            </w:tcMar>
          </w:tcPr>
          <w:p>
            <w:pPr>
              <w:spacing w:after="0"/>
            </w:pPr>
            <w:r>
              <w:rPr>
                <w:rFonts w:ascii="Liberation Sans" w:hAnsi="Liberation Sans"/>
                <w:sz w:val="14"/>
              </w:rPr>
              <w:t>R5</w:t>
            </w:r>
          </w:p>
        </w:tc>
        <w:tc>
          <w:tcPr>
            <w:tcW w:type="dxa" w:w="4176"/>
            <w:vAlign w:val="top"/>
            <w:tcMar>
              <w:top w:w="70" w:type="dxa"/>
              <w:start w:w="90" w:type="dxa"/>
              <w:bottom w:w="70" w:type="dxa"/>
              <w:end w:w="90" w:type="dxa"/>
            </w:tcMar>
          </w:tcPr>
          <w:p>
            <w:pPr>
              <w:spacing w:after="0"/>
            </w:pPr>
            <w:r>
              <w:rPr>
                <w:rFonts w:ascii="Liberation Sans" w:hAnsi="Liberation Sans"/>
                <w:sz w:val="14"/>
              </w:rPr>
              <w:t>European Banking Authority — Supervisory reporting / CRR3 &amp; CRD6 implementation materials</w:t>
            </w:r>
          </w:p>
        </w:tc>
        <w:tc>
          <w:tcPr>
            <w:tcW w:type="dxa" w:w="5472"/>
            <w:vAlign w:val="top"/>
            <w:tcMar>
              <w:top w:w="70" w:type="dxa"/>
              <w:start w:w="90" w:type="dxa"/>
              <w:bottom w:w="70" w:type="dxa"/>
              <w:end w:w="90" w:type="dxa"/>
            </w:tcMar>
          </w:tcPr>
          <w:p>
            <w:pPr>
              <w:spacing w:after="0"/>
            </w:pPr>
            <w:r>
              <w:rPr>
                <w:rFonts w:ascii="Liberation Sans" w:hAnsi="Liberation Sans"/>
                <w:sz w:val="14"/>
              </w:rPr>
              <w:t>https://www.eba.europa.eu/regulation-and-policy/supervisory-reporting</w:t>
            </w:r>
          </w:p>
        </w:tc>
      </w:tr>
      <w:tr>
        <w:tc>
          <w:tcPr>
            <w:tcW w:type="dxa" w:w="648"/>
            <w:vAlign w:val="top"/>
            <w:tcMar>
              <w:top w:w="70" w:type="dxa"/>
              <w:start w:w="90" w:type="dxa"/>
              <w:bottom w:w="70" w:type="dxa"/>
              <w:end w:w="90" w:type="dxa"/>
            </w:tcMar>
            <w:shd w:fill="F7F9FB"/>
          </w:tcPr>
          <w:p>
            <w:pPr>
              <w:spacing w:after="0"/>
            </w:pPr>
            <w:r>
              <w:rPr>
                <w:rFonts w:ascii="Liberation Sans" w:hAnsi="Liberation Sans"/>
                <w:sz w:val="14"/>
              </w:rPr>
              <w:t>R6</w:t>
            </w:r>
          </w:p>
        </w:tc>
        <w:tc>
          <w:tcPr>
            <w:tcW w:type="dxa" w:w="4176"/>
            <w:vAlign w:val="top"/>
            <w:tcMar>
              <w:top w:w="70" w:type="dxa"/>
              <w:start w:w="90" w:type="dxa"/>
              <w:bottom w:w="70" w:type="dxa"/>
              <w:end w:w="90" w:type="dxa"/>
            </w:tcMar>
            <w:shd w:fill="F7F9FB"/>
          </w:tcPr>
          <w:p>
            <w:pPr>
              <w:spacing w:after="0"/>
            </w:pPr>
            <w:r>
              <w:rPr>
                <w:rFonts w:ascii="Liberation Sans" w:hAnsi="Liberation Sans"/>
                <w:sz w:val="14"/>
              </w:rPr>
              <w:t>Saudi Central Bank (SAMA) — Minimum Capital Requirements for Credit Risk</w:t>
            </w:r>
          </w:p>
        </w:tc>
        <w:tc>
          <w:tcPr>
            <w:tcW w:type="dxa" w:w="5472"/>
            <w:vAlign w:val="top"/>
            <w:tcMar>
              <w:top w:w="70" w:type="dxa"/>
              <w:start w:w="90" w:type="dxa"/>
              <w:bottom w:w="70" w:type="dxa"/>
              <w:end w:w="90" w:type="dxa"/>
            </w:tcMar>
            <w:shd w:fill="F7F9FB"/>
          </w:tcPr>
          <w:p>
            <w:pPr>
              <w:spacing w:after="0"/>
            </w:pPr>
            <w:r>
              <w:rPr>
                <w:rFonts w:ascii="Liberation Sans" w:hAnsi="Liberation Sans"/>
                <w:sz w:val="14"/>
              </w:rPr>
              <w:t>https://rulebook.sama.gov.sa/en/minimum-capital-requirements-credit-risk</w:t>
            </w:r>
          </w:p>
        </w:tc>
      </w:tr>
      <w:tr>
        <w:tc>
          <w:tcPr>
            <w:tcW w:type="dxa" w:w="648"/>
            <w:vAlign w:val="top"/>
            <w:tcMar>
              <w:top w:w="70" w:type="dxa"/>
              <w:start w:w="90" w:type="dxa"/>
              <w:bottom w:w="70" w:type="dxa"/>
              <w:end w:w="90" w:type="dxa"/>
            </w:tcMar>
          </w:tcPr>
          <w:p>
            <w:pPr>
              <w:spacing w:after="0"/>
            </w:pPr>
            <w:r>
              <w:rPr>
                <w:rFonts w:ascii="Liberation Sans" w:hAnsi="Liberation Sans"/>
                <w:sz w:val="14"/>
              </w:rPr>
              <w:t>R7</w:t>
            </w:r>
          </w:p>
        </w:tc>
        <w:tc>
          <w:tcPr>
            <w:tcW w:type="dxa" w:w="4176"/>
            <w:vAlign w:val="top"/>
            <w:tcMar>
              <w:top w:w="70" w:type="dxa"/>
              <w:start w:w="90" w:type="dxa"/>
              <w:bottom w:w="70" w:type="dxa"/>
              <w:end w:w="90" w:type="dxa"/>
            </w:tcMar>
          </w:tcPr>
          <w:p>
            <w:pPr>
              <w:spacing w:after="0"/>
            </w:pPr>
            <w:r>
              <w:rPr>
                <w:rFonts w:ascii="Liberation Sans" w:hAnsi="Liberation Sans"/>
                <w:sz w:val="14"/>
              </w:rPr>
              <w:t>Central Bank of the UAE — Standards for Capital Adequacy of Banks in the UAE</w:t>
            </w:r>
          </w:p>
        </w:tc>
        <w:tc>
          <w:tcPr>
            <w:tcW w:type="dxa" w:w="5472"/>
            <w:vAlign w:val="top"/>
            <w:tcMar>
              <w:top w:w="70" w:type="dxa"/>
              <w:start w:w="90" w:type="dxa"/>
              <w:bottom w:w="70" w:type="dxa"/>
              <w:end w:w="90" w:type="dxa"/>
            </w:tcMar>
          </w:tcPr>
          <w:p>
            <w:pPr>
              <w:spacing w:after="0"/>
            </w:pPr>
            <w:r>
              <w:rPr>
                <w:rFonts w:ascii="Liberation Sans" w:hAnsi="Liberation Sans"/>
                <w:sz w:val="14"/>
              </w:rPr>
              <w:t>https://rulebook.centralbank.ae/en/rulebook/standards-capital-adequacy-banks-uae</w:t>
            </w:r>
          </w:p>
        </w:tc>
      </w:tr>
      <w:tr>
        <w:tc>
          <w:tcPr>
            <w:tcW w:type="dxa" w:w="648"/>
            <w:vAlign w:val="top"/>
            <w:tcMar>
              <w:top w:w="70" w:type="dxa"/>
              <w:start w:w="90" w:type="dxa"/>
              <w:bottom w:w="70" w:type="dxa"/>
              <w:end w:w="90" w:type="dxa"/>
            </w:tcMar>
            <w:shd w:fill="F7F9FB"/>
          </w:tcPr>
          <w:p>
            <w:pPr>
              <w:spacing w:after="0"/>
            </w:pPr>
            <w:r>
              <w:rPr>
                <w:rFonts w:ascii="Liberation Sans" w:hAnsi="Liberation Sans"/>
                <w:sz w:val="14"/>
              </w:rPr>
              <w:t>R8</w:t>
            </w:r>
          </w:p>
        </w:tc>
        <w:tc>
          <w:tcPr>
            <w:tcW w:type="dxa" w:w="4176"/>
            <w:vAlign w:val="top"/>
            <w:tcMar>
              <w:top w:w="70" w:type="dxa"/>
              <w:start w:w="90" w:type="dxa"/>
              <w:bottom w:w="70" w:type="dxa"/>
              <w:end w:w="90" w:type="dxa"/>
            </w:tcMar>
            <w:shd w:fill="F7F9FB"/>
          </w:tcPr>
          <w:p>
            <w:pPr>
              <w:spacing w:after="0"/>
            </w:pPr>
            <w:r>
              <w:rPr>
                <w:rFonts w:ascii="Liberation Sans" w:hAnsi="Liberation Sans"/>
                <w:sz w:val="14"/>
              </w:rPr>
              <w:t>Central Bank of the UAE — Guidance for Capital Adequacy of Banks in the UAE</w:t>
            </w:r>
          </w:p>
        </w:tc>
        <w:tc>
          <w:tcPr>
            <w:tcW w:type="dxa" w:w="5472"/>
            <w:vAlign w:val="top"/>
            <w:tcMar>
              <w:top w:w="70" w:type="dxa"/>
              <w:start w:w="90" w:type="dxa"/>
              <w:bottom w:w="70" w:type="dxa"/>
              <w:end w:w="90" w:type="dxa"/>
            </w:tcMar>
            <w:shd w:fill="F7F9FB"/>
          </w:tcPr>
          <w:p>
            <w:pPr>
              <w:spacing w:after="0"/>
            </w:pPr>
            <w:r>
              <w:rPr>
                <w:rFonts w:ascii="Liberation Sans" w:hAnsi="Liberation Sans"/>
                <w:sz w:val="14"/>
              </w:rPr>
              <w:t>https://rulebook.centralbank.ae/en/rulebook/guidance-capital-adequacy-banks-uae</w:t>
            </w:r>
          </w:p>
        </w:tc>
      </w:tr>
      <w:tr>
        <w:tc>
          <w:tcPr>
            <w:tcW w:type="dxa" w:w="648"/>
            <w:vAlign w:val="top"/>
            <w:tcMar>
              <w:top w:w="70" w:type="dxa"/>
              <w:start w:w="90" w:type="dxa"/>
              <w:bottom w:w="70" w:type="dxa"/>
              <w:end w:w="90" w:type="dxa"/>
            </w:tcMar>
          </w:tcPr>
          <w:p>
            <w:pPr>
              <w:spacing w:after="0"/>
            </w:pPr>
            <w:r>
              <w:rPr>
                <w:rFonts w:ascii="Liberation Sans" w:hAnsi="Liberation Sans"/>
                <w:sz w:val="14"/>
              </w:rPr>
              <w:t>R9</w:t>
            </w:r>
          </w:p>
        </w:tc>
        <w:tc>
          <w:tcPr>
            <w:tcW w:type="dxa" w:w="4176"/>
            <w:vAlign w:val="top"/>
            <w:tcMar>
              <w:top w:w="70" w:type="dxa"/>
              <w:start w:w="90" w:type="dxa"/>
              <w:bottom w:w="70" w:type="dxa"/>
              <w:end w:w="90" w:type="dxa"/>
            </w:tcMar>
          </w:tcPr>
          <w:p>
            <w:pPr>
              <w:spacing w:after="0"/>
            </w:pPr>
            <w:r>
              <w:rPr>
                <w:rFonts w:ascii="Liberation Sans" w:hAnsi="Liberation Sans"/>
                <w:sz w:val="14"/>
              </w:rPr>
              <w:t>CUBE — What is regulatory change management?</w:t>
            </w:r>
          </w:p>
        </w:tc>
        <w:tc>
          <w:tcPr>
            <w:tcW w:type="dxa" w:w="5472"/>
            <w:vAlign w:val="top"/>
            <w:tcMar>
              <w:top w:w="70" w:type="dxa"/>
              <w:start w:w="90" w:type="dxa"/>
              <w:bottom w:w="70" w:type="dxa"/>
              <w:end w:w="90" w:type="dxa"/>
            </w:tcMar>
          </w:tcPr>
          <w:p>
            <w:pPr>
              <w:spacing w:after="0"/>
            </w:pPr>
            <w:r>
              <w:rPr>
                <w:rFonts w:ascii="Liberation Sans" w:hAnsi="Liberation Sans"/>
                <w:sz w:val="14"/>
              </w:rPr>
              <w:t>https://cube.global/resources/compliance-corner/what-is-regulatory-change-management</w:t>
            </w:r>
          </w:p>
        </w:tc>
      </w:tr>
      <w:tr>
        <w:tc>
          <w:tcPr>
            <w:tcW w:type="dxa" w:w="648"/>
            <w:vAlign w:val="top"/>
            <w:tcMar>
              <w:top w:w="70" w:type="dxa"/>
              <w:start w:w="90" w:type="dxa"/>
              <w:bottom w:w="70" w:type="dxa"/>
              <w:end w:w="90" w:type="dxa"/>
            </w:tcMar>
            <w:shd w:fill="F7F9FB"/>
          </w:tcPr>
          <w:p>
            <w:pPr>
              <w:spacing w:after="0"/>
            </w:pPr>
            <w:r>
              <w:rPr>
                <w:rFonts w:ascii="Liberation Sans" w:hAnsi="Liberation Sans"/>
                <w:sz w:val="14"/>
              </w:rPr>
              <w:t>R10</w:t>
            </w:r>
          </w:p>
        </w:tc>
        <w:tc>
          <w:tcPr>
            <w:tcW w:type="dxa" w:w="4176"/>
            <w:vAlign w:val="top"/>
            <w:tcMar>
              <w:top w:w="70" w:type="dxa"/>
              <w:start w:w="90" w:type="dxa"/>
              <w:bottom w:w="70" w:type="dxa"/>
              <w:end w:w="90" w:type="dxa"/>
            </w:tcMar>
            <w:shd w:fill="F7F9FB"/>
          </w:tcPr>
          <w:p>
            <w:pPr>
              <w:spacing w:after="0"/>
            </w:pPr>
            <w:r>
              <w:rPr>
                <w:rFonts w:ascii="Liberation Sans" w:hAnsi="Liberation Sans"/>
                <w:sz w:val="14"/>
              </w:rPr>
              <w:t>CUBE — Regulatory Change Management</w:t>
            </w:r>
          </w:p>
        </w:tc>
        <w:tc>
          <w:tcPr>
            <w:tcW w:type="dxa" w:w="5472"/>
            <w:vAlign w:val="top"/>
            <w:tcMar>
              <w:top w:w="70" w:type="dxa"/>
              <w:start w:w="90" w:type="dxa"/>
              <w:bottom w:w="70" w:type="dxa"/>
              <w:end w:w="90" w:type="dxa"/>
            </w:tcMar>
            <w:shd w:fill="F7F9FB"/>
          </w:tcPr>
          <w:p>
            <w:pPr>
              <w:spacing w:after="0"/>
            </w:pPr>
            <w:r>
              <w:rPr>
                <w:rFonts w:ascii="Liberation Sans" w:hAnsi="Liberation Sans"/>
                <w:sz w:val="14"/>
              </w:rPr>
              <w:t>https://cube.global/sectors/requirement/regulatory-change-management</w:t>
            </w:r>
          </w:p>
        </w:tc>
      </w:tr>
      <w:tr>
        <w:tc>
          <w:tcPr>
            <w:tcW w:type="dxa" w:w="648"/>
            <w:vAlign w:val="top"/>
            <w:tcMar>
              <w:top w:w="70" w:type="dxa"/>
              <w:start w:w="90" w:type="dxa"/>
              <w:bottom w:w="70" w:type="dxa"/>
              <w:end w:w="90" w:type="dxa"/>
            </w:tcMar>
          </w:tcPr>
          <w:p>
            <w:pPr>
              <w:spacing w:after="0"/>
            </w:pPr>
            <w:r>
              <w:rPr>
                <w:rFonts w:ascii="Liberation Sans" w:hAnsi="Liberation Sans"/>
                <w:sz w:val="14"/>
              </w:rPr>
              <w:t>R11</w:t>
            </w:r>
          </w:p>
        </w:tc>
        <w:tc>
          <w:tcPr>
            <w:tcW w:type="dxa" w:w="4176"/>
            <w:vAlign w:val="top"/>
            <w:tcMar>
              <w:top w:w="70" w:type="dxa"/>
              <w:start w:w="90" w:type="dxa"/>
              <w:bottom w:w="70" w:type="dxa"/>
              <w:end w:w="90" w:type="dxa"/>
            </w:tcMar>
          </w:tcPr>
          <w:p>
            <w:pPr>
              <w:spacing w:after="0"/>
            </w:pPr>
            <w:r>
              <w:rPr>
                <w:rFonts w:ascii="Liberation Sans" w:hAnsi="Liberation Sans"/>
                <w:sz w:val="14"/>
              </w:rPr>
              <w:t>FinregE — End-to-End Regulatory Compliance Software</w:t>
            </w:r>
          </w:p>
        </w:tc>
        <w:tc>
          <w:tcPr>
            <w:tcW w:type="dxa" w:w="5472"/>
            <w:vAlign w:val="top"/>
            <w:tcMar>
              <w:top w:w="70" w:type="dxa"/>
              <w:start w:w="90" w:type="dxa"/>
              <w:bottom w:w="70" w:type="dxa"/>
              <w:end w:w="90" w:type="dxa"/>
            </w:tcMar>
          </w:tcPr>
          <w:p>
            <w:pPr>
              <w:spacing w:after="0"/>
            </w:pPr>
            <w:r>
              <w:rPr>
                <w:rFonts w:ascii="Liberation Sans" w:hAnsi="Liberation Sans"/>
                <w:sz w:val="14"/>
              </w:rPr>
              <w:t>https://finreg-e.com/</w:t>
            </w:r>
          </w:p>
        </w:tc>
      </w:tr>
      <w:tr>
        <w:tc>
          <w:tcPr>
            <w:tcW w:type="dxa" w:w="648"/>
            <w:vAlign w:val="top"/>
            <w:tcMar>
              <w:top w:w="70" w:type="dxa"/>
              <w:start w:w="90" w:type="dxa"/>
              <w:bottom w:w="70" w:type="dxa"/>
              <w:end w:w="90" w:type="dxa"/>
            </w:tcMar>
            <w:shd w:fill="F7F9FB"/>
          </w:tcPr>
          <w:p>
            <w:pPr>
              <w:spacing w:after="0"/>
            </w:pPr>
            <w:r>
              <w:rPr>
                <w:rFonts w:ascii="Liberation Sans" w:hAnsi="Liberation Sans"/>
                <w:sz w:val="14"/>
              </w:rPr>
              <w:t>R12</w:t>
            </w:r>
          </w:p>
        </w:tc>
        <w:tc>
          <w:tcPr>
            <w:tcW w:type="dxa" w:w="4176"/>
            <w:vAlign w:val="top"/>
            <w:tcMar>
              <w:top w:w="70" w:type="dxa"/>
              <w:start w:w="90" w:type="dxa"/>
              <w:bottom w:w="70" w:type="dxa"/>
              <w:end w:w="90" w:type="dxa"/>
            </w:tcMar>
            <w:shd w:fill="F7F9FB"/>
          </w:tcPr>
          <w:p>
            <w:pPr>
              <w:spacing w:after="0"/>
            </w:pPr>
            <w:r>
              <w:rPr>
                <w:rFonts w:ascii="Liberation Sans" w:hAnsi="Liberation Sans"/>
                <w:sz w:val="14"/>
              </w:rPr>
              <w:t>FinregE — Transforming Credit Risk with Generative AI</w:t>
            </w:r>
          </w:p>
        </w:tc>
        <w:tc>
          <w:tcPr>
            <w:tcW w:type="dxa" w:w="5472"/>
            <w:vAlign w:val="top"/>
            <w:tcMar>
              <w:top w:w="70" w:type="dxa"/>
              <w:start w:w="90" w:type="dxa"/>
              <w:bottom w:w="70" w:type="dxa"/>
              <w:end w:w="90" w:type="dxa"/>
            </w:tcMar>
            <w:shd w:fill="F7F9FB"/>
          </w:tcPr>
          <w:p>
            <w:pPr>
              <w:spacing w:after="0"/>
            </w:pPr>
            <w:r>
              <w:rPr>
                <w:rFonts w:ascii="Liberation Sans" w:hAnsi="Liberation Sans"/>
                <w:sz w:val="14"/>
              </w:rPr>
              <w:t>https://finreg-e.com/transforming-credit-risk-with-generative-ai/</w:t>
            </w:r>
          </w:p>
        </w:tc>
      </w:tr>
      <w:tr>
        <w:tc>
          <w:tcPr>
            <w:tcW w:type="dxa" w:w="648"/>
            <w:vAlign w:val="top"/>
            <w:tcMar>
              <w:top w:w="70" w:type="dxa"/>
              <w:start w:w="90" w:type="dxa"/>
              <w:bottom w:w="70" w:type="dxa"/>
              <w:end w:w="90" w:type="dxa"/>
            </w:tcMar>
          </w:tcPr>
          <w:p>
            <w:pPr>
              <w:spacing w:after="0"/>
            </w:pPr>
            <w:r>
              <w:rPr>
                <w:rFonts w:ascii="Liberation Sans" w:hAnsi="Liberation Sans"/>
                <w:sz w:val="14"/>
              </w:rPr>
              <w:t>R13</w:t>
            </w:r>
          </w:p>
        </w:tc>
        <w:tc>
          <w:tcPr>
            <w:tcW w:type="dxa" w:w="4176"/>
            <w:vAlign w:val="top"/>
            <w:tcMar>
              <w:top w:w="70" w:type="dxa"/>
              <w:start w:w="90" w:type="dxa"/>
              <w:bottom w:w="70" w:type="dxa"/>
              <w:end w:w="90" w:type="dxa"/>
            </w:tcMar>
          </w:tcPr>
          <w:p>
            <w:pPr>
              <w:spacing w:after="0"/>
            </w:pPr>
            <w:r>
              <w:rPr>
                <w:rFonts w:ascii="Liberation Sans" w:hAnsi="Liberation Sans"/>
                <w:sz w:val="14"/>
              </w:rPr>
              <w:t>Nasdaq AxiomSL — Capital Risk Reporting</w:t>
            </w:r>
          </w:p>
        </w:tc>
        <w:tc>
          <w:tcPr>
            <w:tcW w:type="dxa" w:w="5472"/>
            <w:vAlign w:val="top"/>
            <w:tcMar>
              <w:top w:w="70" w:type="dxa"/>
              <w:start w:w="90" w:type="dxa"/>
              <w:bottom w:w="70" w:type="dxa"/>
              <w:end w:w="90" w:type="dxa"/>
            </w:tcMar>
          </w:tcPr>
          <w:p>
            <w:pPr>
              <w:spacing w:after="0"/>
            </w:pPr>
            <w:r>
              <w:rPr>
                <w:rFonts w:ascii="Liberation Sans" w:hAnsi="Liberation Sans"/>
                <w:sz w:val="14"/>
              </w:rPr>
              <w:t>https://www.nasdaq.com/solutions/fintech/nasdaq-axiomsl/capital-risk-reporting</w:t>
            </w:r>
          </w:p>
        </w:tc>
      </w:tr>
      <w:tr>
        <w:tc>
          <w:tcPr>
            <w:tcW w:type="dxa" w:w="648"/>
            <w:vAlign w:val="top"/>
            <w:tcMar>
              <w:top w:w="70" w:type="dxa"/>
              <w:start w:w="90" w:type="dxa"/>
              <w:bottom w:w="70" w:type="dxa"/>
              <w:end w:w="90" w:type="dxa"/>
            </w:tcMar>
            <w:shd w:fill="F7F9FB"/>
          </w:tcPr>
          <w:p>
            <w:pPr>
              <w:spacing w:after="0"/>
            </w:pPr>
            <w:r>
              <w:rPr>
                <w:rFonts w:ascii="Liberation Sans" w:hAnsi="Liberation Sans"/>
                <w:sz w:val="14"/>
              </w:rPr>
              <w:t>R14</w:t>
            </w:r>
          </w:p>
        </w:tc>
        <w:tc>
          <w:tcPr>
            <w:tcW w:type="dxa" w:w="4176"/>
            <w:vAlign w:val="top"/>
            <w:tcMar>
              <w:top w:w="70" w:type="dxa"/>
              <w:start w:w="90" w:type="dxa"/>
              <w:bottom w:w="70" w:type="dxa"/>
              <w:end w:w="90" w:type="dxa"/>
            </w:tcMar>
            <w:shd w:fill="F7F9FB"/>
          </w:tcPr>
          <w:p>
            <w:pPr>
              <w:spacing w:after="0"/>
            </w:pPr>
            <w:r>
              <w:rPr>
                <w:rFonts w:ascii="Liberation Sans" w:hAnsi="Liberation Sans"/>
                <w:sz w:val="14"/>
              </w:rPr>
              <w:t>Nasdaq AxiomSL — Solutions / Regulatory Change Services</w:t>
            </w:r>
          </w:p>
        </w:tc>
        <w:tc>
          <w:tcPr>
            <w:tcW w:type="dxa" w:w="5472"/>
            <w:vAlign w:val="top"/>
            <w:tcMar>
              <w:top w:w="70" w:type="dxa"/>
              <w:start w:w="90" w:type="dxa"/>
              <w:bottom w:w="70" w:type="dxa"/>
              <w:end w:w="90" w:type="dxa"/>
            </w:tcMar>
            <w:shd w:fill="F7F9FB"/>
          </w:tcPr>
          <w:p>
            <w:pPr>
              <w:spacing w:after="0"/>
            </w:pPr>
            <w:r>
              <w:rPr>
                <w:rFonts w:ascii="Liberation Sans" w:hAnsi="Liberation Sans"/>
                <w:sz w:val="14"/>
              </w:rPr>
              <w:t>https://www.nasdaq.com/solutions/fintech/nasdaq-axiomsl</w:t>
            </w:r>
          </w:p>
        </w:tc>
      </w:tr>
      <w:tr>
        <w:tc>
          <w:tcPr>
            <w:tcW w:type="dxa" w:w="648"/>
            <w:vAlign w:val="top"/>
            <w:tcMar>
              <w:top w:w="70" w:type="dxa"/>
              <w:start w:w="90" w:type="dxa"/>
              <w:bottom w:w="70" w:type="dxa"/>
              <w:end w:w="90" w:type="dxa"/>
            </w:tcMar>
          </w:tcPr>
          <w:p>
            <w:pPr>
              <w:spacing w:after="0"/>
            </w:pPr>
            <w:r>
              <w:rPr>
                <w:rFonts w:ascii="Liberation Sans" w:hAnsi="Liberation Sans"/>
                <w:sz w:val="14"/>
              </w:rPr>
              <w:t>R15</w:t>
            </w:r>
          </w:p>
        </w:tc>
        <w:tc>
          <w:tcPr>
            <w:tcW w:type="dxa" w:w="4176"/>
            <w:vAlign w:val="top"/>
            <w:tcMar>
              <w:top w:w="70" w:type="dxa"/>
              <w:start w:w="90" w:type="dxa"/>
              <w:bottom w:w="70" w:type="dxa"/>
              <w:end w:w="90" w:type="dxa"/>
            </w:tcMar>
          </w:tcPr>
          <w:p>
            <w:pPr>
              <w:spacing w:after="0"/>
            </w:pPr>
            <w:r>
              <w:rPr>
                <w:rFonts w:ascii="Liberation Sans" w:hAnsi="Liberation Sans"/>
                <w:sz w:val="14"/>
              </w:rPr>
              <w:t>Oracle University — OFSAA Basel Regulatory Capital</w:t>
            </w:r>
          </w:p>
        </w:tc>
        <w:tc>
          <w:tcPr>
            <w:tcW w:type="dxa" w:w="5472"/>
            <w:vAlign w:val="top"/>
            <w:tcMar>
              <w:top w:w="70" w:type="dxa"/>
              <w:start w:w="90" w:type="dxa"/>
              <w:bottom w:w="70" w:type="dxa"/>
              <w:end w:w="90" w:type="dxa"/>
            </w:tcMar>
          </w:tcPr>
          <w:p>
            <w:pPr>
              <w:spacing w:after="0"/>
            </w:pPr>
            <w:r>
              <w:rPr>
                <w:rFonts w:ascii="Liberation Sans" w:hAnsi="Liberation Sans"/>
                <w:sz w:val="14"/>
              </w:rPr>
              <w:t>https://learn.oracle.com/ols/course/ofsaa-basel-regulatory-capital/55129/55639</w:t>
            </w:r>
          </w:p>
        </w:tc>
      </w:tr>
      <w:tr>
        <w:tc>
          <w:tcPr>
            <w:tcW w:type="dxa" w:w="648"/>
            <w:vAlign w:val="top"/>
            <w:tcMar>
              <w:top w:w="70" w:type="dxa"/>
              <w:start w:w="90" w:type="dxa"/>
              <w:bottom w:w="70" w:type="dxa"/>
              <w:end w:w="90" w:type="dxa"/>
            </w:tcMar>
            <w:shd w:fill="F7F9FB"/>
          </w:tcPr>
          <w:p>
            <w:pPr>
              <w:spacing w:after="0"/>
            </w:pPr>
            <w:r>
              <w:rPr>
                <w:rFonts w:ascii="Liberation Sans" w:hAnsi="Liberation Sans"/>
                <w:sz w:val="14"/>
              </w:rPr>
              <w:t>R16</w:t>
            </w:r>
          </w:p>
        </w:tc>
        <w:tc>
          <w:tcPr>
            <w:tcW w:type="dxa" w:w="4176"/>
            <w:vAlign w:val="top"/>
            <w:tcMar>
              <w:top w:w="70" w:type="dxa"/>
              <w:start w:w="90" w:type="dxa"/>
              <w:bottom w:w="70" w:type="dxa"/>
              <w:end w:w="90" w:type="dxa"/>
            </w:tcMar>
            <w:shd w:fill="F7F9FB"/>
          </w:tcPr>
          <w:p>
            <w:pPr>
              <w:spacing w:after="0"/>
            </w:pPr>
            <w:r>
              <w:rPr>
                <w:rFonts w:ascii="Liberation Sans" w:hAnsi="Liberation Sans"/>
                <w:sz w:val="14"/>
              </w:rPr>
              <w:t>Oracle — Financial Services Analytics</w:t>
            </w:r>
          </w:p>
        </w:tc>
        <w:tc>
          <w:tcPr>
            <w:tcW w:type="dxa" w:w="5472"/>
            <w:vAlign w:val="top"/>
            <w:tcMar>
              <w:top w:w="70" w:type="dxa"/>
              <w:start w:w="90" w:type="dxa"/>
              <w:bottom w:w="70" w:type="dxa"/>
              <w:end w:w="90" w:type="dxa"/>
            </w:tcMar>
            <w:shd w:fill="F7F9FB"/>
          </w:tcPr>
          <w:p>
            <w:pPr>
              <w:spacing w:after="0"/>
            </w:pPr>
            <w:r>
              <w:rPr>
                <w:rFonts w:ascii="Liberation Sans" w:hAnsi="Liberation Sans"/>
                <w:sz w:val="14"/>
              </w:rPr>
              <w:t>https://www.oracle.com/financial-services/analytics/</w:t>
            </w:r>
          </w:p>
        </w:tc>
      </w:tr>
      <w:tr>
        <w:tc>
          <w:tcPr>
            <w:tcW w:type="dxa" w:w="648"/>
            <w:vAlign w:val="top"/>
            <w:tcMar>
              <w:top w:w="70" w:type="dxa"/>
              <w:start w:w="90" w:type="dxa"/>
              <w:bottom w:w="70" w:type="dxa"/>
              <w:end w:w="90" w:type="dxa"/>
            </w:tcMar>
          </w:tcPr>
          <w:p>
            <w:pPr>
              <w:spacing w:after="0"/>
            </w:pPr>
            <w:r>
              <w:rPr>
                <w:rFonts w:ascii="Liberation Sans" w:hAnsi="Liberation Sans"/>
                <w:sz w:val="14"/>
              </w:rPr>
              <w:t>R17</w:t>
            </w:r>
          </w:p>
        </w:tc>
        <w:tc>
          <w:tcPr>
            <w:tcW w:type="dxa" w:w="4176"/>
            <w:vAlign w:val="top"/>
            <w:tcMar>
              <w:top w:w="70" w:type="dxa"/>
              <w:start w:w="90" w:type="dxa"/>
              <w:bottom w:w="70" w:type="dxa"/>
              <w:end w:w="90" w:type="dxa"/>
            </w:tcMar>
          </w:tcPr>
          <w:p>
            <w:pPr>
              <w:spacing w:after="0"/>
            </w:pPr>
            <w:r>
              <w:rPr>
                <w:rFonts w:ascii="Liberation Sans" w:hAnsi="Liberation Sans"/>
                <w:sz w:val="14"/>
              </w:rPr>
              <w:t>Suade — Implementation of Basel 3.1</w:t>
            </w:r>
          </w:p>
        </w:tc>
        <w:tc>
          <w:tcPr>
            <w:tcW w:type="dxa" w:w="5472"/>
            <w:vAlign w:val="top"/>
            <w:tcMar>
              <w:top w:w="70" w:type="dxa"/>
              <w:start w:w="90" w:type="dxa"/>
              <w:bottom w:w="70" w:type="dxa"/>
              <w:end w:w="90" w:type="dxa"/>
            </w:tcMar>
          </w:tcPr>
          <w:p>
            <w:pPr>
              <w:spacing w:after="0"/>
            </w:pPr>
            <w:r>
              <w:rPr>
                <w:rFonts w:ascii="Liberation Sans" w:hAnsi="Liberation Sans"/>
                <w:sz w:val="14"/>
              </w:rPr>
              <w:t>https://suade.org/implementation-of-basel-3-1-how-to-efficiently-manage-reforms/</w:t>
            </w:r>
          </w:p>
        </w:tc>
      </w:tr>
      <w:tr>
        <w:tc>
          <w:tcPr>
            <w:tcW w:type="dxa" w:w="648"/>
            <w:vAlign w:val="top"/>
            <w:tcMar>
              <w:top w:w="70" w:type="dxa"/>
              <w:start w:w="90" w:type="dxa"/>
              <w:bottom w:w="70" w:type="dxa"/>
              <w:end w:w="90" w:type="dxa"/>
            </w:tcMar>
            <w:shd w:fill="F7F9FB"/>
          </w:tcPr>
          <w:p>
            <w:pPr>
              <w:spacing w:after="0"/>
            </w:pPr>
            <w:r>
              <w:rPr>
                <w:rFonts w:ascii="Liberation Sans" w:hAnsi="Liberation Sans"/>
                <w:sz w:val="14"/>
              </w:rPr>
              <w:t>R18</w:t>
            </w:r>
          </w:p>
        </w:tc>
        <w:tc>
          <w:tcPr>
            <w:tcW w:type="dxa" w:w="4176"/>
            <w:vAlign w:val="top"/>
            <w:tcMar>
              <w:top w:w="70" w:type="dxa"/>
              <w:start w:w="90" w:type="dxa"/>
              <w:bottom w:w="70" w:type="dxa"/>
              <w:end w:w="90" w:type="dxa"/>
            </w:tcMar>
            <w:shd w:fill="F7F9FB"/>
          </w:tcPr>
          <w:p>
            <w:pPr>
              <w:spacing w:after="0"/>
            </w:pPr>
            <w:r>
              <w:rPr>
                <w:rFonts w:ascii="Liberation Sans" w:hAnsi="Liberation Sans"/>
                <w:sz w:val="14"/>
              </w:rPr>
              <w:t>Suade — Is your bank ready for Basel Endgame?</w:t>
            </w:r>
          </w:p>
        </w:tc>
        <w:tc>
          <w:tcPr>
            <w:tcW w:type="dxa" w:w="5472"/>
            <w:vAlign w:val="top"/>
            <w:tcMar>
              <w:top w:w="70" w:type="dxa"/>
              <w:start w:w="90" w:type="dxa"/>
              <w:bottom w:w="70" w:type="dxa"/>
              <w:end w:w="90" w:type="dxa"/>
            </w:tcMar>
            <w:shd w:fill="F7F9FB"/>
          </w:tcPr>
          <w:p>
            <w:pPr>
              <w:spacing w:after="0"/>
            </w:pPr>
            <w:r>
              <w:rPr>
                <w:rFonts w:ascii="Liberation Sans" w:hAnsi="Liberation Sans"/>
                <w:sz w:val="14"/>
              </w:rPr>
              <w:t>https://suade.org/are-you-ready-for-basel-endgame/</w:t>
            </w:r>
          </w:p>
        </w:tc>
      </w:tr>
      <w:tr>
        <w:tc>
          <w:tcPr>
            <w:tcW w:type="dxa" w:w="648"/>
            <w:vAlign w:val="top"/>
            <w:tcMar>
              <w:top w:w="70" w:type="dxa"/>
              <w:start w:w="90" w:type="dxa"/>
              <w:bottom w:w="70" w:type="dxa"/>
              <w:end w:w="90" w:type="dxa"/>
            </w:tcMar>
          </w:tcPr>
          <w:p>
            <w:pPr>
              <w:spacing w:after="0"/>
            </w:pPr>
            <w:r>
              <w:rPr>
                <w:rFonts w:ascii="Liberation Sans" w:hAnsi="Liberation Sans"/>
                <w:sz w:val="14"/>
              </w:rPr>
              <w:t>R19</w:t>
            </w:r>
          </w:p>
        </w:tc>
        <w:tc>
          <w:tcPr>
            <w:tcW w:type="dxa" w:w="4176"/>
            <w:vAlign w:val="top"/>
            <w:tcMar>
              <w:top w:w="70" w:type="dxa"/>
              <w:start w:w="90" w:type="dxa"/>
              <w:bottom w:w="70" w:type="dxa"/>
              <w:end w:w="90" w:type="dxa"/>
            </w:tcMar>
          </w:tcPr>
          <w:p>
            <w:pPr>
              <w:spacing w:after="0"/>
            </w:pPr>
            <w:r>
              <w:rPr>
                <w:rFonts w:ascii="Liberation Sans" w:hAnsi="Liberation Sans"/>
                <w:sz w:val="14"/>
              </w:rPr>
              <w:t>Basel Committee — CRE22, Standardised approach: credit risk mitigation</w:t>
            </w:r>
          </w:p>
        </w:tc>
        <w:tc>
          <w:tcPr>
            <w:tcW w:type="dxa" w:w="5472"/>
            <w:vAlign w:val="top"/>
            <w:tcMar>
              <w:top w:w="70" w:type="dxa"/>
              <w:start w:w="90" w:type="dxa"/>
              <w:bottom w:w="70" w:type="dxa"/>
              <w:end w:w="90" w:type="dxa"/>
            </w:tcMar>
          </w:tcPr>
          <w:p>
            <w:pPr>
              <w:spacing w:after="0"/>
            </w:pPr>
            <w:r>
              <w:rPr>
                <w:rFonts w:ascii="Liberation Sans" w:hAnsi="Liberation Sans"/>
                <w:sz w:val="14"/>
              </w:rPr>
              <w:t>https://www.bis.org/basel_framework/chapter/CRE/22.htm</w:t>
            </w:r>
          </w:p>
        </w:tc>
      </w:tr>
      <w:tr>
        <w:tc>
          <w:tcPr>
            <w:tcW w:type="dxa" w:w="648"/>
            <w:vAlign w:val="top"/>
            <w:tcMar>
              <w:top w:w="70" w:type="dxa"/>
              <w:start w:w="90" w:type="dxa"/>
              <w:bottom w:w="70" w:type="dxa"/>
              <w:end w:w="90" w:type="dxa"/>
            </w:tcMar>
            <w:shd w:fill="F7F9FB"/>
          </w:tcPr>
          <w:p>
            <w:pPr>
              <w:spacing w:after="0"/>
            </w:pPr>
            <w:r>
              <w:rPr>
                <w:rFonts w:ascii="Liberation Sans" w:hAnsi="Liberation Sans"/>
                <w:sz w:val="14"/>
              </w:rPr>
              <w:t>R20</w:t>
            </w:r>
          </w:p>
        </w:tc>
        <w:tc>
          <w:tcPr>
            <w:tcW w:type="dxa" w:w="4176"/>
            <w:vAlign w:val="top"/>
            <w:tcMar>
              <w:top w:w="70" w:type="dxa"/>
              <w:start w:w="90" w:type="dxa"/>
              <w:bottom w:w="70" w:type="dxa"/>
              <w:end w:w="90" w:type="dxa"/>
            </w:tcMar>
            <w:shd w:fill="F7F9FB"/>
          </w:tcPr>
          <w:p>
            <w:pPr>
              <w:spacing w:after="0"/>
            </w:pPr>
            <w:r>
              <w:rPr>
                <w:rFonts w:ascii="Liberation Sans" w:hAnsi="Liberation Sans"/>
                <w:sz w:val="14"/>
              </w:rPr>
              <w:t>Apache Spark 4.2 — Running Spark on Kubernetes</w:t>
            </w:r>
          </w:p>
        </w:tc>
        <w:tc>
          <w:tcPr>
            <w:tcW w:type="dxa" w:w="5472"/>
            <w:vAlign w:val="top"/>
            <w:tcMar>
              <w:top w:w="70" w:type="dxa"/>
              <w:start w:w="90" w:type="dxa"/>
              <w:bottom w:w="70" w:type="dxa"/>
              <w:end w:w="90" w:type="dxa"/>
            </w:tcMar>
            <w:shd w:fill="F7F9FB"/>
          </w:tcPr>
          <w:p>
            <w:pPr>
              <w:spacing w:after="0"/>
            </w:pPr>
            <w:r>
              <w:rPr>
                <w:rFonts w:ascii="Liberation Sans" w:hAnsi="Liberation Sans"/>
                <w:sz w:val="14"/>
              </w:rPr>
              <w:t>https://spark.apache.org/docs/latest/running-on-kubernetes.html</w:t>
            </w:r>
          </w:p>
        </w:tc>
      </w:tr>
      <w:tr>
        <w:tc>
          <w:tcPr>
            <w:tcW w:type="dxa" w:w="648"/>
            <w:vAlign w:val="top"/>
            <w:tcMar>
              <w:top w:w="70" w:type="dxa"/>
              <w:start w:w="90" w:type="dxa"/>
              <w:bottom w:w="70" w:type="dxa"/>
              <w:end w:w="90" w:type="dxa"/>
            </w:tcMar>
          </w:tcPr>
          <w:p>
            <w:pPr>
              <w:spacing w:after="0"/>
            </w:pPr>
            <w:r>
              <w:rPr>
                <w:rFonts w:ascii="Liberation Sans" w:hAnsi="Liberation Sans"/>
                <w:sz w:val="14"/>
              </w:rPr>
              <w:t>R21</w:t>
            </w:r>
          </w:p>
        </w:tc>
        <w:tc>
          <w:tcPr>
            <w:tcW w:type="dxa" w:w="4176"/>
            <w:vAlign w:val="top"/>
            <w:tcMar>
              <w:top w:w="70" w:type="dxa"/>
              <w:start w:w="90" w:type="dxa"/>
              <w:bottom w:w="70" w:type="dxa"/>
              <w:end w:w="90" w:type="dxa"/>
            </w:tcMar>
          </w:tcPr>
          <w:p>
            <w:pPr>
              <w:spacing w:after="0"/>
            </w:pPr>
            <w:r>
              <w:rPr>
                <w:rFonts w:ascii="Liberation Sans" w:hAnsi="Liberation Sans"/>
                <w:sz w:val="14"/>
              </w:rPr>
              <w:t>Apache Spark 4.2 — Overview / Spark SQL and cluster deployment</w:t>
            </w:r>
          </w:p>
        </w:tc>
        <w:tc>
          <w:tcPr>
            <w:tcW w:type="dxa" w:w="5472"/>
            <w:vAlign w:val="top"/>
            <w:tcMar>
              <w:top w:w="70" w:type="dxa"/>
              <w:start w:w="90" w:type="dxa"/>
              <w:bottom w:w="70" w:type="dxa"/>
              <w:end w:w="90" w:type="dxa"/>
            </w:tcMar>
          </w:tcPr>
          <w:p>
            <w:pPr>
              <w:spacing w:after="0"/>
            </w:pPr>
            <w:r>
              <w:rPr>
                <w:rFonts w:ascii="Liberation Sans" w:hAnsi="Liberation Sans"/>
                <w:sz w:val="14"/>
              </w:rPr>
              <w:t>https://spark.apache.org/docs/latest/</w:t>
            </w:r>
          </w:p>
        </w:tc>
      </w:tr>
    </w:tbl>
    <w:p>
      <w:pPr>
        <w:spacing w:after="20"/>
      </w:pPr>
    </w:p>
    <w:p>
      <w:pPr>
        <w:pStyle w:val="Heading2"/>
      </w:pPr>
      <w:r>
        <w:t>20.1 Current-state assumptions supplied by the founder</w:t>
      </w:r>
    </w:p>
    <w:p>
      <w:pPr>
        <w:pStyle w:val="ListBullet"/>
        <w:spacing w:after="40"/>
      </w:pPr>
      <w:r>
        <w:rPr>
          <w:rFonts w:ascii="Liberation Sans" w:hAnsi="Liberation Sans"/>
          <w:sz w:val="18"/>
        </w:rPr>
        <w:t>The existing product is written in Python.</w:t>
      </w:r>
    </w:p>
    <w:p>
      <w:pPr>
        <w:pStyle w:val="ListBullet"/>
        <w:spacing w:after="40"/>
      </w:pPr>
      <w:r>
        <w:rPr>
          <w:rFonts w:ascii="Liberation Sans" w:hAnsi="Liberation Sans"/>
          <w:sz w:val="18"/>
        </w:rPr>
        <w:t>It calculates RWA and capital for multiple exposure types through a unified data model.</w:t>
      </w:r>
    </w:p>
    <w:p>
      <w:pPr>
        <w:pStyle w:val="ListBullet"/>
        <w:spacing w:after="40"/>
      </w:pPr>
      <w:r>
        <w:rPr>
          <w:rFonts w:ascii="Liberation Sans" w:hAnsi="Liberation Sans"/>
          <w:sz w:val="18"/>
        </w:rPr>
        <w:t>It contains a U.S. ERBA implementation based on the March 2026 NPR.</w:t>
      </w:r>
    </w:p>
    <w:p>
      <w:pPr>
        <w:pStyle w:val="ListBullet"/>
        <w:spacing w:after="40"/>
      </w:pPr>
      <w:r>
        <w:rPr>
          <w:rFonts w:ascii="Liberation Sans" w:hAnsi="Liberation Sans"/>
          <w:sz w:val="18"/>
        </w:rPr>
        <w:t>It contains an FFIEC 101 reporting layer.</w:t>
      </w:r>
    </w:p>
    <w:p>
      <w:pPr>
        <w:pStyle w:val="ListBullet"/>
        <w:spacing w:after="40"/>
      </w:pPr>
      <w:r>
        <w:rPr>
          <w:rFonts w:ascii="Liberation Sans" w:hAnsi="Liberation Sans"/>
          <w:sz w:val="18"/>
        </w:rPr>
        <w:t>The implementation plan assumes these modules will be reviewed before any refactor; it does not assume their current rule coverage or calculations are independently validated yet.</w:t>
      </w:r>
    </w:p>
    <w:p>
      <w:pPr>
        <w:pStyle w:val="Heading2"/>
      </w:pPr>
      <w:r>
        <w:t>20.2 Final instruction to the build team</w:t>
      </w:r>
    </w:p>
    <w:tbl>
      <w:tblPr>
        <w:tblW w:type="auto" w:w="0"/>
        <w:jc w:val="center"/>
        <w:tblLayout w:type="fixed"/>
        <w:tblLook w:firstColumn="1" w:firstRow="1" w:lastColumn="0" w:lastRow="0" w:noHBand="0" w:noVBand="1" w:val="04A0"/>
      </w:tblPr>
      <w:tblGrid>
        <w:gridCol w:w="9792"/>
      </w:tblGrid>
      <w:tr>
        <w:tc>
          <w:tcPr>
            <w:tcW w:type="dxa" w:w="10080"/>
            <w:shd w:fill="EAF0F8"/>
            <w:tcMar>
              <w:top w:w="120" w:type="dxa"/>
              <w:start w:w="150" w:type="dxa"/>
              <w:bottom w:w="120" w:type="dxa"/>
              <w:end w:w="150" w:type="dxa"/>
            </w:tcMar>
          </w:tcPr>
          <w:p>
            <w:r>
              <w:rPr>
                <w:rFonts w:ascii="Liberation Sans" w:hAnsi="Liberation Sans"/>
                <w:b/>
                <w:color w:val="17365D"/>
                <w:sz w:val="20"/>
              </w:rPr>
              <w:t>The very next engineering deliverable is not Spark and not a global Radar. It is: Current-State Review → Golden Regulatory Portfolio → Versioned Rule/Run Model → U.S. 2026 Rule Crosswalk → Dual-Run ΔRWA MVP.</w:t>
            </w:r>
          </w:p>
        </w:tc>
      </w:tr>
    </w:tbl>
    <w:sectPr w:rsidR="00FC693F" w:rsidRPr="0006063C" w:rsidSect="00034616">
      <w:headerReference w:type="default" r:id="rId9"/>
      <w:footerReference w:type="default" r:id="rId10"/>
      <w:pgSz w:w="12240" w:h="15840"/>
      <w:pgMar w:top="1037" w:right="1037"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5B6573"/>
        <w:sz w:val="15"/>
      </w:rPr>
      <w:t>Confidential working plan • 15 August 2026</w:t>
    </w:r>
    <w:r>
      <w:rPr>
        <w:rFonts w:ascii="Liberation Sans" w:hAnsi="Liberation Sans"/>
        <w:color w:val="5B6573"/>
        <w:sz w:val="15"/>
      </w:rPr>
      <w:t xml:space="preserve">   |   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b/>
        <w:color w:val="5B6573"/>
        <w:sz w:val="15"/>
      </w:rPr>
      <w:t>PRUDENTIAL CAPITAL CHANGE ASSURANCE  |  FINAL IMPLEMENTATION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Liberation Sans" w:hAnsi="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Liberation Sans" w:hAnsi="Liberation Sans"/>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iberation Sans" w:hAnsi="Liberation San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Liberation Sans" w:hAnsi="Liberation Sans"/>
      <w:b/>
      <w:bCs/>
      <w:color w:val="5B657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Liberation Sans" w:hAnsi="Liberation Sans"/>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Custom"/>
    <w:rPr>
      <w:rFonts w:ascii="Liberation Sans" w:hAnsi="Liberation Sans"/>
      <w:b w:val="0"/>
      <w:color w:val="5B6573"/>
      <w:sz w:val="26"/>
    </w:rPr>
  </w:style>
  <w:style w:type="paragraph" w:customStyle="1" w:styleId="Callout">
    <w:name w:val="Callout"/>
    <w:rPr>
      <w:rFonts w:ascii="Liberation Sans" w:hAnsi="Liberation Sans"/>
      <w:b/>
      <w:color w:val="17365D"/>
      <w:sz w:val="20"/>
    </w:rPr>
  </w:style>
  <w:style w:type="paragraph" w:customStyle="1" w:styleId="Small">
    <w:name w:val="Small"/>
    <w:rPr>
      <w:rFonts w:ascii="Liberation Sans" w:hAnsi="Liberation Sans"/>
      <w:b w:val="0"/>
      <w:color w:val="5B657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Prudential Capital Change Assurance — Finalized Implementation Plan</dc:title>
  <dc:subject>Product, architecture, testing, scalability and commercialization roadmap</dc:subject>
  <dc:creator>python-docx</dc:creator>
  <cp:keywords>Basel III, ERBA, regulatory capital, RWA, RegTech, AI, PySpark, FFIEC 101, SAMA, CBUAE</cp:keywords>
  <dc:description>Finalized working implementation plan compiled from product research and architecture discussions.</dc:description>
  <cp:lastModifiedBy/>
  <cp:revision>1</cp:revision>
  <dcterms:created xsi:type="dcterms:W3CDTF">2013-12-23T23:15:00Z</dcterms:created>
  <dcterms:modified xsi:type="dcterms:W3CDTF">2013-12-23T23:15:00Z</dcterms:modified>
  <cp:category/>
</cp:coreProperties>
</file>