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30"/>
        </w:rPr>
        <w:t>FINANCIAL PODS</w:t>
      </w:r>
    </w:p>
    <w:p>
      <w:pPr>
        <w:pStyle w:val="Title"/>
        <w:jc w:val="center"/>
      </w:pPr>
      <w:r>
        <w:t>Content Growth and</w:t>
        <w:br/>
        <w:t>Publishing Strategy</w:t>
      </w:r>
    </w:p>
    <w:p>
      <w:pPr>
        <w:pStyle w:val="Subtitle"/>
        <w:jc w:val="center"/>
      </w:pPr>
      <w:r>
        <w:t>Growth Engine product workstream | Basel-first acquisition, validation, and enterprise demand generation</w:t>
      </w:r>
    </w:p>
    <w:p>
      <w:pPr>
        <w:pStyle w:val="LeadCallout"/>
      </w:pPr>
      <w:r>
        <w:t>Version 1.0  •  16 August 2026  •  Additional artifact; prior Financial Pods artifacts remain unchanged</w:t>
      </w:r>
    </w:p>
    <w:p>
      <w:pPr>
        <w:pStyle w:val="Heading2"/>
      </w:pPr>
      <w:r>
        <w:t>Strategic thesis</w:t>
      </w:r>
    </w:p>
    <w:p>
      <w:pPr>
        <w:pStyle w:val="LeadCallout"/>
      </w:pPr>
      <w:r>
        <w:t>Financial Pods Growth Engine is not a separate product. It is the governed acquisition and market-learning layer of Financial Pods. It turns the same approved regulatory knowledge, Golden Lesson components, FinBank scenarios, deterministic calculations, and bilingual teaching system into public content that attracts learners, captures demand, and converts qualified users into free-pod participants, paying customers, practitioners, and enterprise opportunities.</w:t>
      </w:r>
    </w:p>
    <w:p>
      <w:r>
        <w:t>Audience: founder, product and growth leaders, regulatory SMEs, content operators, developers/agents, analytics owners, and enterprise sales partners.</w:t>
      </w:r>
    </w:p>
    <w:p>
      <w:r>
        <w:br w:type="page"/>
      </w:r>
    </w:p>
    <w:p>
      <w:pPr>
        <w:pStyle w:val="Heading1"/>
      </w:pPr>
      <w:r>
        <w:t>Executive summary</w:t>
      </w:r>
    </w:p>
    <w:p>
      <w:r>
        <w:t>Financial Pods should begin publishing before the full paid product launches. Public content is useful education, not a public copy of the paid course. Social content explains and sparks practice; the product trains competency through classification, calculation, simulation, jurisdiction comparison, tutor interaction, assessment, voice viva, and mastery evidence.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r>
              <w:rPr>
                <w:b/>
                <w:color w:val="0B2545"/>
                <w:sz w:val="18"/>
              </w:rPr>
              <w:t>Product layer</w:t>
            </w:r>
          </w:p>
        </w:tc>
        <w:tc>
          <w:tcPr>
            <w:tcW w:type="dxa" w:w="3960"/>
            <w:shd w:fill="E8EEF5"/>
            <w:tcMar>
              <w:top w:w="80" w:type="dxa"/>
              <w:start w:w="120" w:type="dxa"/>
              <w:bottom w:w="80" w:type="dxa"/>
              <w:end w:w="120" w:type="dxa"/>
            </w:tcMar>
            <w:vAlign w:val="center"/>
          </w:tcPr>
          <w:p>
            <w:r>
              <w:rPr>
                <w:b/>
                <w:color w:val="0B2545"/>
                <w:sz w:val="18"/>
              </w:rPr>
              <w:t>Primary job</w:t>
            </w:r>
          </w:p>
        </w:tc>
        <w:tc>
          <w:tcPr>
            <w:tcW w:type="dxa" w:w="3456"/>
            <w:shd w:fill="E8EEF5"/>
            <w:tcMar>
              <w:top w:w="80" w:type="dxa"/>
              <w:start w:w="120" w:type="dxa"/>
              <w:bottom w:w="80" w:type="dxa"/>
              <w:end w:w="120" w:type="dxa"/>
            </w:tcMar>
            <w:vAlign w:val="center"/>
          </w:tcPr>
          <w:p>
            <w:r>
              <w:rPr>
                <w:b/>
                <w:color w:val="0B2545"/>
                <w:sz w:val="18"/>
              </w:rPr>
              <w:t>Proof of value</w:t>
            </w:r>
          </w:p>
        </w:tc>
      </w:tr>
      <w:tr>
        <w:trPr>
          <w:cantSplit/>
        </w:trPr>
        <w:tc>
          <w:tcPr>
            <w:tcW w:type="dxa" w:w="1944"/>
            <w:tcMar>
              <w:top w:w="80" w:type="dxa"/>
              <w:start w:w="120" w:type="dxa"/>
              <w:bottom w:w="80" w:type="dxa"/>
              <w:end w:w="120" w:type="dxa"/>
            </w:tcMar>
            <w:vAlign w:val="center"/>
          </w:tcPr>
          <w:p>
            <w:pPr>
              <w:spacing w:after="40" w:line="252" w:lineRule="auto"/>
            </w:pPr>
            <w:r>
              <w:rPr>
                <w:sz w:val="18"/>
              </w:rPr>
              <w:t>Public Growth Engine</w:t>
            </w:r>
          </w:p>
        </w:tc>
        <w:tc>
          <w:tcPr>
            <w:tcW w:type="dxa" w:w="3960"/>
            <w:tcMar>
              <w:top w:w="80" w:type="dxa"/>
              <w:start w:w="120" w:type="dxa"/>
              <w:bottom w:w="80" w:type="dxa"/>
              <w:end w:w="120" w:type="dxa"/>
            </w:tcMar>
            <w:vAlign w:val="center"/>
          </w:tcPr>
          <w:p>
            <w:pPr>
              <w:spacing w:after="40" w:line="252" w:lineRule="auto"/>
            </w:pPr>
            <w:r>
              <w:rPr>
                <w:sz w:val="18"/>
              </w:rPr>
              <w:t>Discoverability, trust, demand validation, list building</w:t>
            </w:r>
          </w:p>
        </w:tc>
        <w:tc>
          <w:tcPr>
            <w:tcW w:type="dxa" w:w="3456"/>
            <w:tcMar>
              <w:top w:w="80" w:type="dxa"/>
              <w:start w:w="120" w:type="dxa"/>
              <w:bottom w:w="80" w:type="dxa"/>
              <w:end w:w="120" w:type="dxa"/>
            </w:tcMar>
            <w:vAlign w:val="center"/>
          </w:tcPr>
          <w:p>
            <w:pPr>
              <w:spacing w:after="40" w:line="252" w:lineRule="auto"/>
            </w:pPr>
            <w:r>
              <w:rPr>
                <w:sz w:val="18"/>
              </w:rPr>
              <w:t>Useful Basel teaching; consistent, source-aware public voice</w:t>
            </w:r>
          </w:p>
        </w:tc>
      </w:tr>
      <w:tr>
        <w:trPr>
          <w:cantSplit/>
        </w:trPr>
        <w:tc>
          <w:tcPr>
            <w:tcW w:type="dxa" w:w="1944"/>
            <w:tcMar>
              <w:top w:w="80" w:type="dxa"/>
              <w:start w:w="120" w:type="dxa"/>
              <w:bottom w:w="80" w:type="dxa"/>
              <w:end w:w="120" w:type="dxa"/>
            </w:tcMar>
            <w:vAlign w:val="center"/>
          </w:tcPr>
          <w:p>
            <w:pPr>
              <w:spacing w:after="40" w:line="252" w:lineRule="auto"/>
            </w:pPr>
            <w:r>
              <w:rPr>
                <w:sz w:val="18"/>
              </w:rPr>
              <w:t>Free Pod</w:t>
            </w:r>
          </w:p>
        </w:tc>
        <w:tc>
          <w:tcPr>
            <w:tcW w:type="dxa" w:w="3960"/>
            <w:tcMar>
              <w:top w:w="80" w:type="dxa"/>
              <w:start w:w="120" w:type="dxa"/>
              <w:bottom w:w="80" w:type="dxa"/>
              <w:end w:w="120" w:type="dxa"/>
            </w:tcMar>
            <w:vAlign w:val="center"/>
          </w:tcPr>
          <w:p>
            <w:pPr>
              <w:spacing w:after="40" w:line="252" w:lineRule="auto"/>
            </w:pPr>
            <w:r>
              <w:rPr>
                <w:sz w:val="18"/>
              </w:rPr>
              <w:t>Activation and learning-value proof</w:t>
            </w:r>
          </w:p>
        </w:tc>
        <w:tc>
          <w:tcPr>
            <w:tcW w:type="dxa" w:w="3456"/>
            <w:tcMar>
              <w:top w:w="80" w:type="dxa"/>
              <w:start w:w="120" w:type="dxa"/>
              <w:bottom w:w="80" w:type="dxa"/>
              <w:end w:w="120" w:type="dxa"/>
            </w:tcMar>
            <w:vAlign w:val="center"/>
          </w:tcPr>
          <w:p>
            <w:pPr>
              <w:spacing w:after="40" w:line="252" w:lineRule="auto"/>
            </w:pPr>
            <w:r>
              <w:rPr>
                <w:sz w:val="18"/>
              </w:rPr>
              <w:t>A learner completes a real worked experience without a credit card</w:t>
            </w:r>
          </w:p>
        </w:tc>
      </w:tr>
      <w:tr>
        <w:trPr>
          <w:cantSplit/>
        </w:trPr>
        <w:tc>
          <w:tcPr>
            <w:tcW w:type="dxa" w:w="1944"/>
            <w:tcMar>
              <w:top w:w="80" w:type="dxa"/>
              <w:start w:w="120" w:type="dxa"/>
              <w:bottom w:w="80" w:type="dxa"/>
              <w:end w:w="120" w:type="dxa"/>
            </w:tcMar>
            <w:vAlign w:val="center"/>
          </w:tcPr>
          <w:p>
            <w:pPr>
              <w:spacing w:after="40" w:line="252" w:lineRule="auto"/>
            </w:pPr>
            <w:r>
              <w:rPr>
                <w:sz w:val="18"/>
              </w:rPr>
              <w:t>Paid Pods</w:t>
            </w:r>
          </w:p>
        </w:tc>
        <w:tc>
          <w:tcPr>
            <w:tcW w:type="dxa" w:w="3960"/>
            <w:tcMar>
              <w:top w:w="80" w:type="dxa"/>
              <w:start w:w="120" w:type="dxa"/>
              <w:bottom w:w="80" w:type="dxa"/>
              <w:end w:w="120" w:type="dxa"/>
            </w:tcMar>
            <w:vAlign w:val="center"/>
          </w:tcPr>
          <w:p>
            <w:pPr>
              <w:spacing w:after="40" w:line="252" w:lineRule="auto"/>
            </w:pPr>
            <w:r>
              <w:rPr>
                <w:sz w:val="18"/>
              </w:rPr>
              <w:t>Competency and progression</w:t>
            </w:r>
          </w:p>
        </w:tc>
        <w:tc>
          <w:tcPr>
            <w:tcW w:type="dxa" w:w="3456"/>
            <w:tcMar>
              <w:top w:w="80" w:type="dxa"/>
              <w:start w:w="120" w:type="dxa"/>
              <w:bottom w:w="80" w:type="dxa"/>
              <w:end w:w="120" w:type="dxa"/>
            </w:tcMar>
            <w:vAlign w:val="center"/>
          </w:tcPr>
          <w:p>
            <w:pPr>
              <w:spacing w:after="40" w:line="252" w:lineRule="auto"/>
            </w:pPr>
            <w:r>
              <w:rPr>
                <w:sz w:val="18"/>
              </w:rPr>
              <w:t>Interactive work, mastery, certification, expanding subject catalogue</w:t>
            </w:r>
          </w:p>
        </w:tc>
      </w:tr>
      <w:tr>
        <w:trPr>
          <w:cantSplit/>
        </w:trPr>
        <w:tc>
          <w:tcPr>
            <w:tcW w:type="dxa" w:w="1944"/>
            <w:tcMar>
              <w:top w:w="80" w:type="dxa"/>
              <w:start w:w="120" w:type="dxa"/>
              <w:bottom w:w="80" w:type="dxa"/>
              <w:end w:w="120" w:type="dxa"/>
            </w:tcMar>
            <w:vAlign w:val="center"/>
          </w:tcPr>
          <w:p>
            <w:pPr>
              <w:spacing w:after="40" w:line="252" w:lineRule="auto"/>
            </w:pPr>
            <w:r>
              <w:rPr>
                <w:sz w:val="18"/>
              </w:rPr>
              <w:t>Enterprise</w:t>
            </w:r>
          </w:p>
        </w:tc>
        <w:tc>
          <w:tcPr>
            <w:tcW w:type="dxa" w:w="3960"/>
            <w:tcMar>
              <w:top w:w="80" w:type="dxa"/>
              <w:start w:w="120" w:type="dxa"/>
              <w:bottom w:w="80" w:type="dxa"/>
              <w:end w:w="120" w:type="dxa"/>
            </w:tcMar>
            <w:vAlign w:val="center"/>
          </w:tcPr>
          <w:p>
            <w:pPr>
              <w:spacing w:after="40" w:line="252" w:lineRule="auto"/>
            </w:pPr>
            <w:r>
              <w:rPr>
                <w:sz w:val="18"/>
              </w:rPr>
              <w:t>Workforce capability and evidence</w:t>
            </w:r>
          </w:p>
        </w:tc>
        <w:tc>
          <w:tcPr>
            <w:tcW w:type="dxa" w:w="3456"/>
            <w:tcMar>
              <w:top w:w="80" w:type="dxa"/>
              <w:start w:w="120" w:type="dxa"/>
              <w:bottom w:w="80" w:type="dxa"/>
              <w:end w:w="120" w:type="dxa"/>
            </w:tcMar>
            <w:vAlign w:val="center"/>
          </w:tcPr>
          <w:p>
            <w:pPr>
              <w:spacing w:after="40" w:line="252" w:lineRule="auto"/>
            </w:pPr>
            <w:r>
              <w:rPr>
                <w:sz w:val="18"/>
              </w:rPr>
              <w:t>Cohorts, analytics, governance, customization, procurement-ready controls</w:t>
            </w:r>
          </w:p>
        </w:tc>
      </w:tr>
    </w:tbl>
    <w:p>
      <w:pPr>
        <w:spacing w:after="40"/>
      </w:pPr>
    </w:p>
    <w:p>
      <w:pPr>
        <w:pStyle w:val="Heading2"/>
      </w:pPr>
      <w:r>
        <w:t>North-star outcome</w:t>
      </w:r>
    </w:p>
    <w:p>
      <w:r>
        <w:t>Create a repeatable loop in which one SME-approved lesson produces 10–20 public assets, each asset has one measurable next step, behavior flows into product analytics, and audience questions inform the lesson roadmap. Optimize for qualified learning and revenue outcomes—not vanity reach.</w:t>
      </w:r>
    </w:p>
    <w:p>
      <w:pPr>
        <w:pStyle w:val="Heading2"/>
      </w:pPr>
      <w:r>
        <w:t>Operating principles</w:t>
      </w:r>
    </w:p>
    <w:p>
      <w:pPr>
        <w:pStyle w:val="ListBullet"/>
        <w:spacing w:after="80"/>
      </w:pPr>
      <w:r>
        <w:t>One knowledge system, multiple outputs: paid learning and public content derive from governed source objects and deterministic examples.</w:t>
      </w:r>
    </w:p>
    <w:p>
      <w:pPr>
        <w:pStyle w:val="ListBullet"/>
        <w:spacing w:after="80"/>
      </w:pPr>
      <w:r>
        <w:t>Official regulation remains authoritative; practitioner input adds operational realism but never replaces the source of truth.</w:t>
      </w:r>
    </w:p>
    <w:p>
      <w:pPr>
        <w:pStyle w:val="ListBullet"/>
        <w:spacing w:after="80"/>
      </w:pPr>
      <w:r>
        <w:t>Separate facts from interpretation, and label jurisdiction, version, effective date, and proposal/final/in-force status.</w:t>
      </w:r>
    </w:p>
    <w:p>
      <w:pPr>
        <w:pStyle w:val="ListBullet"/>
        <w:spacing w:after="80"/>
      </w:pPr>
      <w:r>
        <w:t>English and Arabic share one brand and conceptual glossary; localization is reviewed, not merely translated.</w:t>
      </w:r>
    </w:p>
    <w:p>
      <w:pPr>
        <w:pStyle w:val="ListBullet"/>
        <w:spacing w:after="80"/>
      </w:pPr>
      <w:r>
        <w:t>Every content item has a defined audience, learning promise, source packet, CTA, landing destination, campaign ID, and success metric.</w:t>
      </w:r>
    </w:p>
    <w:p>
      <w:pPr>
        <w:pStyle w:val="ListBullet"/>
        <w:spacing w:after="80"/>
      </w:pPr>
      <w:r>
        <w:t>Human approval is mandatory before publishing regulated or jurisdiction-specific claims.</w:t>
      </w:r>
    </w:p>
    <w:p>
      <w:pPr>
        <w:pStyle w:val="Heading1"/>
      </w:pPr>
      <w:r>
        <w:t>1. Product strategy: the Growth Engine</w:t>
      </w:r>
    </w:p>
    <w:p>
      <w:r>
        <w:t>The Growth Engine sits beside—rather than outside—the tutor, FinBank, calculation, knowledge, course, and assessment domains. It consumes approved learning components and returns demand signals to product planning.</w:t>
      </w:r>
    </w:p>
    <w:p>
      <w:pPr>
        <w:pStyle w:val="CodeBlock"/>
        <w:shd w:fill="F7F8FA"/>
      </w:pPr>
      <w:r>
        <w:t>Financial Pods</w:t>
        <w:br/>
        <w:t>├─ Paid learning: Tutor • FinBank • Calculations • Assessments • Voice Viva • Mastery</w:t>
        <w:br/>
        <w:t>├─ Free Pod: Basel Foundations + Golden Lesson preview</w:t>
        <w:br/>
        <w:t>└─ Growth Engine: YouTube • Shorts • Instagram • X • LinkedIn • Newsletter</w:t>
        <w:br/>
        <w:t xml:space="preserve">   └─ qualified traffic → registration → activation → trial → paid → enterprise</w:t>
      </w:r>
    </w:p>
    <w:p>
      <w:pPr>
        <w:pStyle w:val="Heading2"/>
      </w:pPr>
      <w:r>
        <w:t>Goals of social publishing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E8EEF5"/>
            <w:tcMar>
              <w:top w:w="80" w:type="dxa"/>
              <w:start w:w="120" w:type="dxa"/>
              <w:bottom w:w="80" w:type="dxa"/>
              <w:end w:w="120" w:type="dxa"/>
            </w:tcMar>
            <w:vAlign w:val="center"/>
          </w:tcPr>
          <w:p>
            <w:r>
              <w:rPr>
                <w:b/>
                <w:color w:val="0B2545"/>
                <w:sz w:val="18"/>
              </w:rPr>
              <w:t>Goal</w:t>
            </w:r>
          </w:p>
        </w:tc>
        <w:tc>
          <w:tcPr>
            <w:tcW w:type="dxa" w:w="4392"/>
            <w:shd w:fill="E8EEF5"/>
            <w:tcMar>
              <w:top w:w="80" w:type="dxa"/>
              <w:start w:w="120" w:type="dxa"/>
              <w:bottom w:w="80" w:type="dxa"/>
              <w:end w:w="120" w:type="dxa"/>
            </w:tcMar>
            <w:vAlign w:val="center"/>
          </w:tcPr>
          <w:p>
            <w:r>
              <w:rPr>
                <w:b/>
                <w:color w:val="0B2545"/>
                <w:sz w:val="18"/>
              </w:rPr>
              <w:t>What success looks like</w:t>
            </w:r>
          </w:p>
        </w:tc>
        <w:tc>
          <w:tcPr>
            <w:tcW w:type="dxa" w:w="3168"/>
            <w:shd w:fill="E8EEF5"/>
            <w:tcMar>
              <w:top w:w="80" w:type="dxa"/>
              <w:start w:w="120" w:type="dxa"/>
              <w:bottom w:w="80" w:type="dxa"/>
              <w:end w:w="120" w:type="dxa"/>
            </w:tcMar>
            <w:vAlign w:val="center"/>
          </w:tcPr>
          <w:p>
            <w:r>
              <w:rPr>
                <w:b/>
                <w:color w:val="0B2545"/>
                <w:sz w:val="18"/>
              </w:rPr>
              <w:t>Decision enabled</w:t>
            </w:r>
          </w:p>
        </w:tc>
      </w:tr>
      <w:tr>
        <w:trPr>
          <w:cantSplit/>
        </w:trPr>
        <w:tc>
          <w:tcPr>
            <w:tcW w:type="dxa" w:w="1800"/>
            <w:tcMar>
              <w:top w:w="80" w:type="dxa"/>
              <w:start w:w="120" w:type="dxa"/>
              <w:bottom w:w="80" w:type="dxa"/>
              <w:end w:w="120" w:type="dxa"/>
            </w:tcMar>
            <w:vAlign w:val="center"/>
          </w:tcPr>
          <w:p>
            <w:pPr>
              <w:spacing w:after="40" w:line="252" w:lineRule="auto"/>
            </w:pPr>
            <w:r>
              <w:rPr>
                <w:sz w:val="18"/>
              </w:rPr>
              <w:t>Authority</w:t>
            </w:r>
          </w:p>
        </w:tc>
        <w:tc>
          <w:tcPr>
            <w:tcW w:type="dxa" w:w="4392"/>
            <w:tcMar>
              <w:top w:w="80" w:type="dxa"/>
              <w:start w:w="120" w:type="dxa"/>
              <w:bottom w:w="80" w:type="dxa"/>
              <w:end w:w="120" w:type="dxa"/>
            </w:tcMar>
            <w:vAlign w:val="center"/>
          </w:tcPr>
          <w:p>
            <w:pPr>
              <w:spacing w:after="40" w:line="252" w:lineRule="auto"/>
            </w:pPr>
            <w:r>
              <w:rPr>
                <w:sz w:val="18"/>
              </w:rPr>
              <w:t>Financial Pods repeatedly appears around Basel, RWA, capital, SAMA, CBUAE, U.S. rules, ALM and FTP</w:t>
            </w:r>
          </w:p>
        </w:tc>
        <w:tc>
          <w:tcPr>
            <w:tcW w:type="dxa" w:w="3168"/>
            <w:tcMar>
              <w:top w:w="80" w:type="dxa"/>
              <w:start w:w="120" w:type="dxa"/>
              <w:bottom w:w="80" w:type="dxa"/>
              <w:end w:w="120" w:type="dxa"/>
            </w:tcMar>
            <w:vAlign w:val="center"/>
          </w:tcPr>
          <w:p>
            <w:pPr>
              <w:spacing w:after="40" w:line="252" w:lineRule="auto"/>
            </w:pPr>
            <w:r>
              <w:rPr>
                <w:sz w:val="18"/>
              </w:rPr>
              <w:t>Which domains earn trust and search demand</w:t>
            </w:r>
          </w:p>
        </w:tc>
      </w:tr>
      <w:tr>
        <w:trPr>
          <w:cantSplit/>
        </w:trPr>
        <w:tc>
          <w:tcPr>
            <w:tcW w:type="dxa" w:w="1800"/>
            <w:tcMar>
              <w:top w:w="80" w:type="dxa"/>
              <w:start w:w="120" w:type="dxa"/>
              <w:bottom w:w="80" w:type="dxa"/>
              <w:end w:w="120" w:type="dxa"/>
            </w:tcMar>
            <w:vAlign w:val="center"/>
          </w:tcPr>
          <w:p>
            <w:pPr>
              <w:spacing w:after="40" w:line="252" w:lineRule="auto"/>
            </w:pPr>
            <w:r>
              <w:rPr>
                <w:sz w:val="18"/>
              </w:rPr>
              <w:t>Demand validation</w:t>
            </w:r>
          </w:p>
        </w:tc>
        <w:tc>
          <w:tcPr>
            <w:tcW w:type="dxa" w:w="4392"/>
            <w:tcMar>
              <w:top w:w="80" w:type="dxa"/>
              <w:start w:w="120" w:type="dxa"/>
              <w:bottom w:w="80" w:type="dxa"/>
              <w:end w:w="120" w:type="dxa"/>
            </w:tcMar>
            <w:vAlign w:val="center"/>
          </w:tcPr>
          <w:p>
            <w:pPr>
              <w:spacing w:after="40" w:line="252" w:lineRule="auto"/>
            </w:pPr>
            <w:r>
              <w:rPr>
                <w:sz w:val="18"/>
              </w:rPr>
              <w:t>Topics and questions produce differentiated watch, save, click and signup behavior</w:t>
            </w:r>
          </w:p>
        </w:tc>
        <w:tc>
          <w:tcPr>
            <w:tcW w:type="dxa" w:w="3168"/>
            <w:tcMar>
              <w:top w:w="80" w:type="dxa"/>
              <w:start w:w="120" w:type="dxa"/>
              <w:bottom w:w="80" w:type="dxa"/>
              <w:end w:w="120" w:type="dxa"/>
            </w:tcMar>
            <w:vAlign w:val="center"/>
          </w:tcPr>
          <w:p>
            <w:pPr>
              <w:spacing w:after="40" w:line="252" w:lineRule="auto"/>
            </w:pPr>
            <w:r>
              <w:rPr>
                <w:sz w:val="18"/>
              </w:rPr>
              <w:t>Which lessons and jurisdictions to build next</w:t>
            </w:r>
          </w:p>
        </w:tc>
      </w:tr>
      <w:tr>
        <w:trPr>
          <w:cantSplit/>
        </w:trPr>
        <w:tc>
          <w:tcPr>
            <w:tcW w:type="dxa" w:w="1800"/>
            <w:tcMar>
              <w:top w:w="80" w:type="dxa"/>
              <w:start w:w="120" w:type="dxa"/>
              <w:bottom w:w="80" w:type="dxa"/>
              <w:end w:w="120" w:type="dxa"/>
            </w:tcMar>
            <w:vAlign w:val="center"/>
          </w:tcPr>
          <w:p>
            <w:pPr>
              <w:spacing w:after="40" w:line="252" w:lineRule="auto"/>
            </w:pPr>
            <w:r>
              <w:rPr>
                <w:sz w:val="18"/>
              </w:rPr>
              <w:t>Owned audience</w:t>
            </w:r>
          </w:p>
        </w:tc>
        <w:tc>
          <w:tcPr>
            <w:tcW w:type="dxa" w:w="4392"/>
            <w:tcMar>
              <w:top w:w="80" w:type="dxa"/>
              <w:start w:w="120" w:type="dxa"/>
              <w:bottom w:w="80" w:type="dxa"/>
              <w:end w:w="120" w:type="dxa"/>
            </w:tcMar>
            <w:vAlign w:val="center"/>
          </w:tcPr>
          <w:p>
            <w:pPr>
              <w:spacing w:after="40" w:line="252" w:lineRule="auto"/>
            </w:pPr>
            <w:r>
              <w:rPr>
                <w:sz w:val="18"/>
              </w:rPr>
              <w:t>Followers become consented email subscribers and product accounts</w:t>
            </w:r>
          </w:p>
        </w:tc>
        <w:tc>
          <w:tcPr>
            <w:tcW w:type="dxa" w:w="3168"/>
            <w:tcMar>
              <w:top w:w="80" w:type="dxa"/>
              <w:start w:w="120" w:type="dxa"/>
              <w:bottom w:w="80" w:type="dxa"/>
              <w:end w:w="120" w:type="dxa"/>
            </w:tcMar>
            <w:vAlign w:val="center"/>
          </w:tcPr>
          <w:p>
            <w:pPr>
              <w:spacing w:after="40" w:line="252" w:lineRule="auto"/>
            </w:pPr>
            <w:r>
              <w:rPr>
                <w:sz w:val="18"/>
              </w:rPr>
              <w:t>Reduced dependence on platform algorithms</w:t>
            </w:r>
          </w:p>
        </w:tc>
      </w:tr>
      <w:tr>
        <w:trPr>
          <w:cantSplit/>
        </w:trPr>
        <w:tc>
          <w:tcPr>
            <w:tcW w:type="dxa" w:w="1800"/>
            <w:tcMar>
              <w:top w:w="80" w:type="dxa"/>
              <w:start w:w="120" w:type="dxa"/>
              <w:bottom w:w="80" w:type="dxa"/>
              <w:end w:w="120" w:type="dxa"/>
            </w:tcMar>
            <w:vAlign w:val="center"/>
          </w:tcPr>
          <w:p>
            <w:pPr>
              <w:spacing w:after="40" w:line="252" w:lineRule="auto"/>
            </w:pPr>
            <w:r>
              <w:rPr>
                <w:sz w:val="18"/>
              </w:rPr>
              <w:t>Teaching validation</w:t>
            </w:r>
          </w:p>
        </w:tc>
        <w:tc>
          <w:tcPr>
            <w:tcW w:type="dxa" w:w="4392"/>
            <w:tcMar>
              <w:top w:w="80" w:type="dxa"/>
              <w:start w:w="120" w:type="dxa"/>
              <w:bottom w:w="80" w:type="dxa"/>
              <w:end w:w="120" w:type="dxa"/>
            </w:tcMar>
            <w:vAlign w:val="center"/>
          </w:tcPr>
          <w:p>
            <w:pPr>
              <w:spacing w:after="40" w:line="252" w:lineRule="auto"/>
            </w:pPr>
            <w:r>
              <w:rPr>
                <w:sz w:val="18"/>
              </w:rPr>
              <w:t>Formats, lengths, voices, visuals and languages produce measurable learning engagement</w:t>
            </w:r>
          </w:p>
        </w:tc>
        <w:tc>
          <w:tcPr>
            <w:tcW w:type="dxa" w:w="3168"/>
            <w:tcMar>
              <w:top w:w="80" w:type="dxa"/>
              <w:start w:w="120" w:type="dxa"/>
              <w:bottom w:w="80" w:type="dxa"/>
              <w:end w:w="120" w:type="dxa"/>
            </w:tcMar>
            <w:vAlign w:val="center"/>
          </w:tcPr>
          <w:p>
            <w:pPr>
              <w:spacing w:after="40" w:line="252" w:lineRule="auto"/>
            </w:pPr>
            <w:r>
              <w:rPr>
                <w:sz w:val="18"/>
              </w:rPr>
              <w:t>How to shape Golden Lessons and microlearning</w:t>
            </w:r>
          </w:p>
        </w:tc>
      </w:tr>
      <w:tr>
        <w:trPr>
          <w:cantSplit/>
        </w:trPr>
        <w:tc>
          <w:tcPr>
            <w:tcW w:type="dxa" w:w="1800"/>
            <w:tcMar>
              <w:top w:w="80" w:type="dxa"/>
              <w:start w:w="120" w:type="dxa"/>
              <w:bottom w:w="80" w:type="dxa"/>
              <w:end w:w="120" w:type="dxa"/>
            </w:tcMar>
            <w:vAlign w:val="center"/>
          </w:tcPr>
          <w:p>
            <w:pPr>
              <w:spacing w:after="40" w:line="252" w:lineRule="auto"/>
            </w:pPr>
            <w:r>
              <w:rPr>
                <w:sz w:val="18"/>
              </w:rPr>
              <w:t>Partner discovery</w:t>
            </w:r>
          </w:p>
        </w:tc>
        <w:tc>
          <w:tcPr>
            <w:tcW w:type="dxa" w:w="4392"/>
            <w:tcMar>
              <w:top w:w="80" w:type="dxa"/>
              <w:start w:w="120" w:type="dxa"/>
              <w:bottom w:w="80" w:type="dxa"/>
              <w:end w:w="120" w:type="dxa"/>
            </w:tcMar>
            <w:vAlign w:val="center"/>
          </w:tcPr>
          <w:p>
            <w:pPr>
              <w:spacing w:after="40" w:line="252" w:lineRule="auto"/>
            </w:pPr>
            <w:r>
              <w:rPr>
                <w:sz w:val="18"/>
              </w:rPr>
              <w:t>SMEs, bankers, associations, universities and consultants engage</w:t>
            </w:r>
          </w:p>
        </w:tc>
        <w:tc>
          <w:tcPr>
            <w:tcW w:type="dxa" w:w="3168"/>
            <w:tcMar>
              <w:top w:w="80" w:type="dxa"/>
              <w:start w:w="120" w:type="dxa"/>
              <w:bottom w:w="80" w:type="dxa"/>
              <w:end w:w="120" w:type="dxa"/>
            </w:tcMar>
            <w:vAlign w:val="center"/>
          </w:tcPr>
          <w:p>
            <w:pPr>
              <w:spacing w:after="40" w:line="252" w:lineRule="auto"/>
            </w:pPr>
            <w:r>
              <w:rPr>
                <w:sz w:val="18"/>
              </w:rPr>
              <w:t>Who can review, distribute, pilot or advise</w:t>
            </w:r>
          </w:p>
        </w:tc>
      </w:tr>
      <w:tr>
        <w:trPr>
          <w:cantSplit/>
        </w:trPr>
        <w:tc>
          <w:tcPr>
            <w:tcW w:type="dxa" w:w="1800"/>
            <w:tcMar>
              <w:top w:w="80" w:type="dxa"/>
              <w:start w:w="120" w:type="dxa"/>
              <w:bottom w:w="80" w:type="dxa"/>
              <w:end w:w="120" w:type="dxa"/>
            </w:tcMar>
            <w:vAlign w:val="center"/>
          </w:tcPr>
          <w:p>
            <w:pPr>
              <w:spacing w:after="40" w:line="252" w:lineRule="auto"/>
            </w:pPr>
            <w:r>
              <w:rPr>
                <w:sz w:val="18"/>
              </w:rPr>
              <w:t>Customer acquisition</w:t>
            </w:r>
          </w:p>
        </w:tc>
        <w:tc>
          <w:tcPr>
            <w:tcW w:type="dxa" w:w="4392"/>
            <w:tcMar>
              <w:top w:w="80" w:type="dxa"/>
              <w:start w:w="120" w:type="dxa"/>
              <w:bottom w:w="80" w:type="dxa"/>
              <w:end w:w="120" w:type="dxa"/>
            </w:tcMar>
            <w:vAlign w:val="center"/>
          </w:tcPr>
          <w:p>
            <w:pPr>
              <w:spacing w:after="40" w:line="252" w:lineRule="auto"/>
            </w:pPr>
            <w:r>
              <w:rPr>
                <w:sz w:val="18"/>
              </w:rPr>
              <w:t>Content generates activated learners, paid conversions and enterprise leads</w:t>
            </w:r>
          </w:p>
        </w:tc>
        <w:tc>
          <w:tcPr>
            <w:tcW w:type="dxa" w:w="3168"/>
            <w:tcMar>
              <w:top w:w="80" w:type="dxa"/>
              <w:start w:w="120" w:type="dxa"/>
              <w:bottom w:w="80" w:type="dxa"/>
              <w:end w:w="120" w:type="dxa"/>
            </w:tcMar>
            <w:vAlign w:val="center"/>
          </w:tcPr>
          <w:p>
            <w:pPr>
              <w:spacing w:after="40" w:line="252" w:lineRule="auto"/>
            </w:pPr>
            <w:r>
              <w:rPr>
                <w:sz w:val="18"/>
              </w:rPr>
              <w:t>Where to invest production and promotion</w:t>
            </w:r>
          </w:p>
        </w:tc>
      </w:tr>
    </w:tbl>
    <w:p>
      <w:pPr>
        <w:spacing w:after="40"/>
      </w:pPr>
    </w:p>
    <w:p>
      <w:pPr>
        <w:pStyle w:val="Heading1"/>
      </w:pPr>
      <w:r>
        <w:t>2. Audience and customer funnel</w:t>
      </w:r>
    </w:p>
    <w:p>
      <w:pPr>
        <w:pStyle w:val="Heading2"/>
      </w:pPr>
      <w:r>
        <w:t>Priority audience segments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E8EEF5"/>
            <w:tcMar>
              <w:top w:w="80" w:type="dxa"/>
              <w:start w:w="120" w:type="dxa"/>
              <w:bottom w:w="80" w:type="dxa"/>
              <w:end w:w="120" w:type="dxa"/>
            </w:tcMar>
            <w:vAlign w:val="center"/>
          </w:tcPr>
          <w:p>
            <w:r>
              <w:rPr>
                <w:b/>
                <w:color w:val="0B2545"/>
                <w:sz w:val="18"/>
              </w:rPr>
              <w:t>Segment</w:t>
            </w:r>
          </w:p>
        </w:tc>
        <w:tc>
          <w:tcPr>
            <w:tcW w:type="dxa" w:w="2376"/>
            <w:shd w:fill="E8EEF5"/>
            <w:tcMar>
              <w:top w:w="80" w:type="dxa"/>
              <w:start w:w="120" w:type="dxa"/>
              <w:bottom w:w="80" w:type="dxa"/>
              <w:end w:w="120" w:type="dxa"/>
            </w:tcMar>
            <w:vAlign w:val="center"/>
          </w:tcPr>
          <w:p>
            <w:r>
              <w:rPr>
                <w:b/>
                <w:color w:val="0B2545"/>
                <w:sz w:val="18"/>
              </w:rPr>
              <w:t>Primary need</w:t>
            </w:r>
          </w:p>
        </w:tc>
        <w:tc>
          <w:tcPr>
            <w:tcW w:type="dxa" w:w="2952"/>
            <w:shd w:fill="E8EEF5"/>
            <w:tcMar>
              <w:top w:w="80" w:type="dxa"/>
              <w:start w:w="120" w:type="dxa"/>
              <w:bottom w:w="80" w:type="dxa"/>
              <w:end w:w="120" w:type="dxa"/>
            </w:tcMar>
            <w:vAlign w:val="center"/>
          </w:tcPr>
          <w:p>
            <w:r>
              <w:rPr>
                <w:b/>
                <w:color w:val="0B2545"/>
                <w:sz w:val="18"/>
              </w:rPr>
              <w:t>Entry content</w:t>
            </w:r>
          </w:p>
        </w:tc>
        <w:tc>
          <w:tcPr>
            <w:tcW w:type="dxa" w:w="2232"/>
            <w:shd w:fill="E8EEF5"/>
            <w:tcMar>
              <w:top w:w="80" w:type="dxa"/>
              <w:start w:w="120" w:type="dxa"/>
              <w:bottom w:w="80" w:type="dxa"/>
              <w:end w:w="120" w:type="dxa"/>
            </w:tcMar>
            <w:vAlign w:val="center"/>
          </w:tcPr>
          <w:p>
            <w:r>
              <w:rPr>
                <w:b/>
                <w:color w:val="0B2545"/>
                <w:sz w:val="18"/>
              </w:rPr>
              <w:t>Desired conversion</w:t>
            </w:r>
          </w:p>
        </w:tc>
      </w:tr>
      <w:tr>
        <w:trPr>
          <w:cantSplit/>
        </w:trPr>
        <w:tc>
          <w:tcPr>
            <w:tcW w:type="dxa" w:w="1800"/>
            <w:tcMar>
              <w:top w:w="80" w:type="dxa"/>
              <w:start w:w="120" w:type="dxa"/>
              <w:bottom w:w="80" w:type="dxa"/>
              <w:end w:w="120" w:type="dxa"/>
            </w:tcMar>
            <w:vAlign w:val="center"/>
          </w:tcPr>
          <w:p>
            <w:pPr>
              <w:spacing w:after="40" w:line="252" w:lineRule="auto"/>
            </w:pPr>
            <w:r>
              <w:rPr>
                <w:sz w:val="18"/>
              </w:rPr>
              <w:t>Early-career analysts / students</w:t>
            </w:r>
          </w:p>
        </w:tc>
        <w:tc>
          <w:tcPr>
            <w:tcW w:type="dxa" w:w="2376"/>
            <w:tcMar>
              <w:top w:w="80" w:type="dxa"/>
              <w:start w:w="120" w:type="dxa"/>
              <w:bottom w:w="80" w:type="dxa"/>
              <w:end w:w="120" w:type="dxa"/>
            </w:tcMar>
            <w:vAlign w:val="center"/>
          </w:tcPr>
          <w:p>
            <w:pPr>
              <w:spacing w:after="40" w:line="252" w:lineRule="auto"/>
            </w:pPr>
            <w:r>
              <w:rPr>
                <w:sz w:val="18"/>
              </w:rPr>
              <w:t>Understand concepts and prepare for work/interviews</w:t>
            </w:r>
          </w:p>
        </w:tc>
        <w:tc>
          <w:tcPr>
            <w:tcW w:type="dxa" w:w="2952"/>
            <w:tcMar>
              <w:top w:w="80" w:type="dxa"/>
              <w:start w:w="120" w:type="dxa"/>
              <w:bottom w:w="80" w:type="dxa"/>
              <w:end w:w="120" w:type="dxa"/>
            </w:tcMar>
            <w:vAlign w:val="center"/>
          </w:tcPr>
          <w:p>
            <w:pPr>
              <w:spacing w:after="40" w:line="252" w:lineRule="auto"/>
            </w:pPr>
            <w:r>
              <w:rPr>
                <w:sz w:val="18"/>
              </w:rPr>
              <w:t>60 Seconds of Basel; challenges; career content</w:t>
            </w:r>
          </w:p>
        </w:tc>
        <w:tc>
          <w:tcPr>
            <w:tcW w:type="dxa" w:w="2232"/>
            <w:tcMar>
              <w:top w:w="80" w:type="dxa"/>
              <w:start w:w="120" w:type="dxa"/>
              <w:bottom w:w="80" w:type="dxa"/>
              <w:end w:w="120" w:type="dxa"/>
            </w:tcMar>
            <w:vAlign w:val="center"/>
          </w:tcPr>
          <w:p>
            <w:pPr>
              <w:spacing w:after="40" w:line="252" w:lineRule="auto"/>
            </w:pPr>
            <w:r>
              <w:rPr>
                <w:sz w:val="18"/>
              </w:rPr>
              <w:t>Free account → Free Pod → paid individual</w:t>
            </w:r>
          </w:p>
        </w:tc>
      </w:tr>
      <w:tr>
        <w:trPr>
          <w:cantSplit/>
        </w:trPr>
        <w:tc>
          <w:tcPr>
            <w:tcW w:type="dxa" w:w="1800"/>
            <w:tcMar>
              <w:top w:w="80" w:type="dxa"/>
              <w:start w:w="120" w:type="dxa"/>
              <w:bottom w:w="80" w:type="dxa"/>
              <w:end w:w="120" w:type="dxa"/>
            </w:tcMar>
            <w:vAlign w:val="center"/>
          </w:tcPr>
          <w:p>
            <w:pPr>
              <w:spacing w:after="40" w:line="252" w:lineRule="auto"/>
            </w:pPr>
            <w:r>
              <w:rPr>
                <w:sz w:val="18"/>
              </w:rPr>
              <w:t>Capital / risk practitioners</w:t>
            </w:r>
          </w:p>
        </w:tc>
        <w:tc>
          <w:tcPr>
            <w:tcW w:type="dxa" w:w="2376"/>
            <w:tcMar>
              <w:top w:w="80" w:type="dxa"/>
              <w:start w:w="120" w:type="dxa"/>
              <w:bottom w:w="80" w:type="dxa"/>
              <w:end w:w="120" w:type="dxa"/>
            </w:tcMar>
            <w:vAlign w:val="center"/>
          </w:tcPr>
          <w:p>
            <w:pPr>
              <w:spacing w:after="40" w:line="252" w:lineRule="auto"/>
            </w:pPr>
            <w:r>
              <w:rPr>
                <w:sz w:val="18"/>
              </w:rPr>
              <w:t>Accurate refreshers, comparisons, implementation insight</w:t>
            </w:r>
          </w:p>
        </w:tc>
        <w:tc>
          <w:tcPr>
            <w:tcW w:type="dxa" w:w="2952"/>
            <w:tcMar>
              <w:top w:w="80" w:type="dxa"/>
              <w:start w:w="120" w:type="dxa"/>
              <w:bottom w:w="80" w:type="dxa"/>
              <w:end w:w="120" w:type="dxa"/>
            </w:tcMar>
            <w:vAlign w:val="center"/>
          </w:tcPr>
          <w:p>
            <w:pPr>
              <w:spacing w:after="40" w:line="252" w:lineRule="auto"/>
            </w:pPr>
            <w:r>
              <w:rPr>
                <w:sz w:val="18"/>
              </w:rPr>
              <w:t>Regulation Changed; Same Loan, Different Country</w:t>
            </w:r>
          </w:p>
        </w:tc>
        <w:tc>
          <w:tcPr>
            <w:tcW w:type="dxa" w:w="2232"/>
            <w:tcMar>
              <w:top w:w="80" w:type="dxa"/>
              <w:start w:w="120" w:type="dxa"/>
              <w:bottom w:w="80" w:type="dxa"/>
              <w:end w:w="120" w:type="dxa"/>
            </w:tcMar>
            <w:vAlign w:val="center"/>
          </w:tcPr>
          <w:p>
            <w:pPr>
              <w:spacing w:after="40" w:line="252" w:lineRule="auto"/>
            </w:pPr>
            <w:r>
              <w:rPr>
                <w:sz w:val="18"/>
              </w:rPr>
              <w:t>Newsletter → paid/professional plan</w:t>
            </w:r>
          </w:p>
        </w:tc>
      </w:tr>
      <w:tr>
        <w:trPr>
          <w:cantSplit/>
        </w:trPr>
        <w:tc>
          <w:tcPr>
            <w:tcW w:type="dxa" w:w="1800"/>
            <w:tcMar>
              <w:top w:w="80" w:type="dxa"/>
              <w:start w:w="120" w:type="dxa"/>
              <w:bottom w:w="80" w:type="dxa"/>
              <w:end w:w="120" w:type="dxa"/>
            </w:tcMar>
            <w:vAlign w:val="center"/>
          </w:tcPr>
          <w:p>
            <w:pPr>
              <w:spacing w:after="40" w:line="252" w:lineRule="auto"/>
            </w:pPr>
            <w:r>
              <w:rPr>
                <w:sz w:val="18"/>
              </w:rPr>
              <w:t>Managers / CRO organizations</w:t>
            </w:r>
          </w:p>
        </w:tc>
        <w:tc>
          <w:tcPr>
            <w:tcW w:type="dxa" w:w="2376"/>
            <w:tcMar>
              <w:top w:w="80" w:type="dxa"/>
              <w:start w:w="120" w:type="dxa"/>
              <w:bottom w:w="80" w:type="dxa"/>
              <w:end w:w="120" w:type="dxa"/>
            </w:tcMar>
            <w:vAlign w:val="center"/>
          </w:tcPr>
          <w:p>
            <w:pPr>
              <w:spacing w:after="40" w:line="252" w:lineRule="auto"/>
            </w:pPr>
            <w:r>
              <w:rPr>
                <w:sz w:val="18"/>
              </w:rPr>
              <w:t>Team capability, consistency, auditability</w:t>
            </w:r>
          </w:p>
        </w:tc>
        <w:tc>
          <w:tcPr>
            <w:tcW w:type="dxa" w:w="2952"/>
            <w:tcMar>
              <w:top w:w="80" w:type="dxa"/>
              <w:start w:w="120" w:type="dxa"/>
              <w:bottom w:w="80" w:type="dxa"/>
              <w:end w:w="120" w:type="dxa"/>
            </w:tcMar>
            <w:vAlign w:val="center"/>
          </w:tcPr>
          <w:p>
            <w:pPr>
              <w:spacing w:after="40" w:line="252" w:lineRule="auto"/>
            </w:pPr>
            <w:r>
              <w:rPr>
                <w:sz w:val="18"/>
              </w:rPr>
              <w:t>FinBank workflow, mastery and cohort evidence</w:t>
            </w:r>
          </w:p>
        </w:tc>
        <w:tc>
          <w:tcPr>
            <w:tcW w:type="dxa" w:w="2232"/>
            <w:tcMar>
              <w:top w:w="80" w:type="dxa"/>
              <w:start w:w="120" w:type="dxa"/>
              <w:bottom w:w="80" w:type="dxa"/>
              <w:end w:w="120" w:type="dxa"/>
            </w:tcMar>
            <w:vAlign w:val="center"/>
          </w:tcPr>
          <w:p>
            <w:pPr>
              <w:spacing w:after="40" w:line="252" w:lineRule="auto"/>
            </w:pPr>
            <w:r>
              <w:rPr>
                <w:sz w:val="18"/>
              </w:rPr>
              <w:t>Demo request → pilot → enterprise</w:t>
            </w:r>
          </w:p>
        </w:tc>
      </w:tr>
      <w:tr>
        <w:trPr>
          <w:cantSplit/>
        </w:trPr>
        <w:tc>
          <w:tcPr>
            <w:tcW w:type="dxa" w:w="1800"/>
            <w:tcMar>
              <w:top w:w="80" w:type="dxa"/>
              <w:start w:w="120" w:type="dxa"/>
              <w:bottom w:w="80" w:type="dxa"/>
              <w:end w:w="120" w:type="dxa"/>
            </w:tcMar>
            <w:vAlign w:val="center"/>
          </w:tcPr>
          <w:p>
            <w:pPr>
              <w:spacing w:after="40" w:line="252" w:lineRule="auto"/>
            </w:pPr>
            <w:r>
              <w:rPr>
                <w:sz w:val="18"/>
              </w:rPr>
              <w:t>Bank L&amp;D / talent</w:t>
            </w:r>
          </w:p>
        </w:tc>
        <w:tc>
          <w:tcPr>
            <w:tcW w:type="dxa" w:w="2376"/>
            <w:tcMar>
              <w:top w:w="80" w:type="dxa"/>
              <w:start w:w="120" w:type="dxa"/>
              <w:bottom w:w="80" w:type="dxa"/>
              <w:end w:w="120" w:type="dxa"/>
            </w:tcMar>
            <w:vAlign w:val="center"/>
          </w:tcPr>
          <w:p>
            <w:pPr>
              <w:spacing w:after="40" w:line="252" w:lineRule="auto"/>
            </w:pPr>
            <w:r>
              <w:rPr>
                <w:sz w:val="18"/>
              </w:rPr>
              <w:t>Role-ready learning with measurable outcomes</w:t>
            </w:r>
          </w:p>
        </w:tc>
        <w:tc>
          <w:tcPr>
            <w:tcW w:type="dxa" w:w="2952"/>
            <w:tcMar>
              <w:top w:w="80" w:type="dxa"/>
              <w:start w:w="120" w:type="dxa"/>
              <w:bottom w:w="80" w:type="dxa"/>
              <w:end w:w="120" w:type="dxa"/>
            </w:tcMar>
            <w:vAlign w:val="center"/>
          </w:tcPr>
          <w:p>
            <w:pPr>
              <w:spacing w:after="40" w:line="252" w:lineRule="auto"/>
            </w:pPr>
            <w:r>
              <w:rPr>
                <w:sz w:val="18"/>
              </w:rPr>
              <w:t>Program overview, learner proof, assessment examples</w:t>
            </w:r>
          </w:p>
        </w:tc>
        <w:tc>
          <w:tcPr>
            <w:tcW w:type="dxa" w:w="2232"/>
            <w:tcMar>
              <w:top w:w="80" w:type="dxa"/>
              <w:start w:w="120" w:type="dxa"/>
              <w:bottom w:w="80" w:type="dxa"/>
              <w:end w:w="120" w:type="dxa"/>
            </w:tcMar>
            <w:vAlign w:val="center"/>
          </w:tcPr>
          <w:p>
            <w:pPr>
              <w:spacing w:after="40" w:line="252" w:lineRule="auto"/>
            </w:pPr>
            <w:r>
              <w:rPr>
                <w:sz w:val="18"/>
              </w:rPr>
              <w:t>Discovery call → scoped pilot</w:t>
            </w:r>
          </w:p>
        </w:tc>
      </w:tr>
      <w:tr>
        <w:trPr>
          <w:cantSplit/>
        </w:trPr>
        <w:tc>
          <w:tcPr>
            <w:tcW w:type="dxa" w:w="1800"/>
            <w:tcMar>
              <w:top w:w="80" w:type="dxa"/>
              <w:start w:w="120" w:type="dxa"/>
              <w:bottom w:w="80" w:type="dxa"/>
              <w:end w:w="120" w:type="dxa"/>
            </w:tcMar>
            <w:vAlign w:val="center"/>
          </w:tcPr>
          <w:p>
            <w:pPr>
              <w:spacing w:after="40" w:line="252" w:lineRule="auto"/>
            </w:pPr>
            <w:r>
              <w:rPr>
                <w:sz w:val="18"/>
              </w:rPr>
              <w:t>Consultants / SMEs</w:t>
            </w:r>
          </w:p>
        </w:tc>
        <w:tc>
          <w:tcPr>
            <w:tcW w:type="dxa" w:w="2376"/>
            <w:tcMar>
              <w:top w:w="80" w:type="dxa"/>
              <w:start w:w="120" w:type="dxa"/>
              <w:bottom w:w="80" w:type="dxa"/>
              <w:end w:w="120" w:type="dxa"/>
            </w:tcMar>
            <w:vAlign w:val="center"/>
          </w:tcPr>
          <w:p>
            <w:pPr>
              <w:spacing w:after="40" w:line="252" w:lineRule="auto"/>
            </w:pPr>
            <w:r>
              <w:rPr>
                <w:sz w:val="18"/>
              </w:rPr>
              <w:t>Authority, collaboration, qualified network</w:t>
            </w:r>
          </w:p>
        </w:tc>
        <w:tc>
          <w:tcPr>
            <w:tcW w:type="dxa" w:w="2952"/>
            <w:tcMar>
              <w:top w:w="80" w:type="dxa"/>
              <w:start w:w="120" w:type="dxa"/>
              <w:bottom w:w="80" w:type="dxa"/>
              <w:end w:w="120" w:type="dxa"/>
            </w:tcMar>
            <w:vAlign w:val="center"/>
          </w:tcPr>
          <w:p>
            <w:pPr>
              <w:spacing w:after="40" w:line="252" w:lineRule="auto"/>
            </w:pPr>
            <w:r>
              <w:rPr>
                <w:sz w:val="18"/>
              </w:rPr>
              <w:t>Deep dives, source-led threads, reviewer program</w:t>
            </w:r>
          </w:p>
        </w:tc>
        <w:tc>
          <w:tcPr>
            <w:tcW w:type="dxa" w:w="2232"/>
            <w:tcMar>
              <w:top w:w="80" w:type="dxa"/>
              <w:start w:w="120" w:type="dxa"/>
              <w:bottom w:w="80" w:type="dxa"/>
              <w:end w:w="120" w:type="dxa"/>
            </w:tcMar>
            <w:vAlign w:val="center"/>
          </w:tcPr>
          <w:p>
            <w:pPr>
              <w:spacing w:after="40" w:line="252" w:lineRule="auto"/>
            </w:pPr>
            <w:r>
              <w:rPr>
                <w:sz w:val="18"/>
              </w:rPr>
              <w:t>SME network, referral, co-marketing</w:t>
            </w:r>
          </w:p>
        </w:tc>
      </w:tr>
      <w:tr>
        <w:trPr>
          <w:cantSplit/>
        </w:trPr>
        <w:tc>
          <w:tcPr>
            <w:tcW w:type="dxa" w:w="1800"/>
            <w:tcMar>
              <w:top w:w="80" w:type="dxa"/>
              <w:start w:w="120" w:type="dxa"/>
              <w:bottom w:w="80" w:type="dxa"/>
              <w:end w:w="120" w:type="dxa"/>
            </w:tcMar>
            <w:vAlign w:val="center"/>
          </w:tcPr>
          <w:p>
            <w:pPr>
              <w:spacing w:after="40" w:line="252" w:lineRule="auto"/>
            </w:pPr>
            <w:r>
              <w:rPr>
                <w:sz w:val="18"/>
              </w:rPr>
              <w:t>Universities / associations</w:t>
            </w:r>
          </w:p>
        </w:tc>
        <w:tc>
          <w:tcPr>
            <w:tcW w:type="dxa" w:w="2376"/>
            <w:tcMar>
              <w:top w:w="80" w:type="dxa"/>
              <w:start w:w="120" w:type="dxa"/>
              <w:bottom w:w="80" w:type="dxa"/>
              <w:end w:w="120" w:type="dxa"/>
            </w:tcMar>
            <w:vAlign w:val="center"/>
          </w:tcPr>
          <w:p>
            <w:pPr>
              <w:spacing w:after="40" w:line="252" w:lineRule="auto"/>
            </w:pPr>
            <w:r>
              <w:rPr>
                <w:sz w:val="18"/>
              </w:rPr>
              <w:t>Applied curriculum and employability</w:t>
            </w:r>
          </w:p>
        </w:tc>
        <w:tc>
          <w:tcPr>
            <w:tcW w:type="dxa" w:w="2952"/>
            <w:tcMar>
              <w:top w:w="80" w:type="dxa"/>
              <w:start w:w="120" w:type="dxa"/>
              <w:bottom w:w="80" w:type="dxa"/>
              <w:end w:w="120" w:type="dxa"/>
            </w:tcMar>
            <w:vAlign w:val="center"/>
          </w:tcPr>
          <w:p>
            <w:pPr>
              <w:spacing w:after="40" w:line="252" w:lineRule="auto"/>
            </w:pPr>
            <w:r>
              <w:rPr>
                <w:sz w:val="18"/>
              </w:rPr>
              <w:t>Foundations, simulations, instructor resources</w:t>
            </w:r>
          </w:p>
        </w:tc>
        <w:tc>
          <w:tcPr>
            <w:tcW w:type="dxa" w:w="2232"/>
            <w:tcMar>
              <w:top w:w="80" w:type="dxa"/>
              <w:start w:w="120" w:type="dxa"/>
              <w:bottom w:w="80" w:type="dxa"/>
              <w:end w:w="120" w:type="dxa"/>
            </w:tcMar>
            <w:vAlign w:val="center"/>
          </w:tcPr>
          <w:p>
            <w:pPr>
              <w:spacing w:after="40" w:line="252" w:lineRule="auto"/>
            </w:pPr>
            <w:r>
              <w:rPr>
                <w:sz w:val="18"/>
              </w:rPr>
              <w:t>Academic/association partnership</w:t>
            </w:r>
          </w:p>
        </w:tc>
      </w:tr>
    </w:tbl>
    <w:p>
      <w:pPr>
        <w:spacing w:after="40"/>
      </w:pPr>
    </w:p>
    <w:p>
      <w:pPr>
        <w:pStyle w:val="Heading2"/>
      </w:pPr>
      <w:r>
        <w:t>Funnel stages and instrumentation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shd w:fill="E8EEF5"/>
            <w:tcMar>
              <w:top w:w="80" w:type="dxa"/>
              <w:start w:w="120" w:type="dxa"/>
              <w:bottom w:w="80" w:type="dxa"/>
              <w:end w:w="120" w:type="dxa"/>
            </w:tcMar>
            <w:vAlign w:val="center"/>
          </w:tcPr>
          <w:p>
            <w:r>
              <w:rPr>
                <w:b/>
                <w:color w:val="0B2545"/>
                <w:sz w:val="17"/>
              </w:rPr>
              <w:t>Stage</w:t>
            </w:r>
          </w:p>
        </w:tc>
        <w:tc>
          <w:tcPr>
            <w:tcW w:type="dxa" w:w="2376"/>
            <w:shd w:fill="E8EEF5"/>
            <w:tcMar>
              <w:top w:w="80" w:type="dxa"/>
              <w:start w:w="120" w:type="dxa"/>
              <w:bottom w:w="80" w:type="dxa"/>
              <w:end w:w="120" w:type="dxa"/>
            </w:tcMar>
            <w:vAlign w:val="center"/>
          </w:tcPr>
          <w:p>
            <w:r>
              <w:rPr>
                <w:b/>
                <w:color w:val="0B2545"/>
                <w:sz w:val="17"/>
              </w:rPr>
              <w:t>User action</w:t>
            </w:r>
          </w:p>
        </w:tc>
        <w:tc>
          <w:tcPr>
            <w:tcW w:type="dxa" w:w="3312"/>
            <w:shd w:fill="E8EEF5"/>
            <w:tcMar>
              <w:top w:w="80" w:type="dxa"/>
              <w:start w:w="120" w:type="dxa"/>
              <w:bottom w:w="80" w:type="dxa"/>
              <w:end w:w="120" w:type="dxa"/>
            </w:tcMar>
            <w:vAlign w:val="center"/>
          </w:tcPr>
          <w:p>
            <w:r>
              <w:rPr>
                <w:b/>
                <w:color w:val="0B2545"/>
                <w:sz w:val="17"/>
              </w:rPr>
              <w:t>Core event</w:t>
            </w:r>
          </w:p>
        </w:tc>
        <w:tc>
          <w:tcPr>
            <w:tcW w:type="dxa" w:w="2232"/>
            <w:shd w:fill="E8EEF5"/>
            <w:tcMar>
              <w:top w:w="80" w:type="dxa"/>
              <w:start w:w="120" w:type="dxa"/>
              <w:bottom w:w="80" w:type="dxa"/>
              <w:end w:w="120" w:type="dxa"/>
            </w:tcMar>
            <w:vAlign w:val="center"/>
          </w:tcPr>
          <w:p>
            <w:r>
              <w:rPr>
                <w:b/>
                <w:color w:val="0B2545"/>
                <w:sz w:val="17"/>
              </w:rPr>
              <w:t>Primary metric</w:t>
            </w:r>
          </w:p>
        </w:tc>
      </w:tr>
      <w:tr>
        <w:trPr>
          <w:cantSplit/>
        </w:trPr>
        <w:tc>
          <w:tcPr>
            <w:tcW w:type="dxa" w:w="1440"/>
            <w:tcMar>
              <w:top w:w="80" w:type="dxa"/>
              <w:start w:w="120" w:type="dxa"/>
              <w:bottom w:w="80" w:type="dxa"/>
              <w:end w:w="120" w:type="dxa"/>
            </w:tcMar>
            <w:vAlign w:val="center"/>
          </w:tcPr>
          <w:p>
            <w:pPr>
              <w:spacing w:after="40" w:line="252" w:lineRule="auto"/>
            </w:pPr>
            <w:r>
              <w:rPr>
                <w:sz w:val="17"/>
              </w:rPr>
              <w:t>Reach</w:t>
            </w:r>
          </w:p>
        </w:tc>
        <w:tc>
          <w:tcPr>
            <w:tcW w:type="dxa" w:w="2376"/>
            <w:tcMar>
              <w:top w:w="80" w:type="dxa"/>
              <w:start w:w="120" w:type="dxa"/>
              <w:bottom w:w="80" w:type="dxa"/>
              <w:end w:w="120" w:type="dxa"/>
            </w:tcMar>
            <w:vAlign w:val="center"/>
          </w:tcPr>
          <w:p>
            <w:pPr>
              <w:spacing w:after="40" w:line="252" w:lineRule="auto"/>
            </w:pPr>
            <w:r>
              <w:rPr>
                <w:sz w:val="17"/>
              </w:rPr>
              <w:t>Sees post/video</w:t>
            </w:r>
          </w:p>
        </w:tc>
        <w:tc>
          <w:tcPr>
            <w:tcW w:type="dxa" w:w="3312"/>
            <w:tcMar>
              <w:top w:w="80" w:type="dxa"/>
              <w:start w:w="120" w:type="dxa"/>
              <w:bottom w:w="80" w:type="dxa"/>
              <w:end w:w="120" w:type="dxa"/>
            </w:tcMar>
            <w:vAlign w:val="center"/>
          </w:tcPr>
          <w:p>
            <w:pPr>
              <w:spacing w:after="40" w:line="252" w:lineRule="auto"/>
            </w:pPr>
            <w:r>
              <w:rPr>
                <w:sz w:val="17"/>
              </w:rPr>
              <w:t>content_impression / video_view</w:t>
            </w:r>
          </w:p>
        </w:tc>
        <w:tc>
          <w:tcPr>
            <w:tcW w:type="dxa" w:w="2232"/>
            <w:tcMar>
              <w:top w:w="80" w:type="dxa"/>
              <w:start w:w="120" w:type="dxa"/>
              <w:bottom w:w="80" w:type="dxa"/>
              <w:end w:w="120" w:type="dxa"/>
            </w:tcMar>
            <w:vAlign w:val="center"/>
          </w:tcPr>
          <w:p>
            <w:pPr>
              <w:spacing w:after="40" w:line="252" w:lineRule="auto"/>
            </w:pPr>
            <w:r>
              <w:rPr>
                <w:sz w:val="17"/>
              </w:rPr>
              <w:t>Qualified reach; view rate</w:t>
            </w:r>
          </w:p>
        </w:tc>
      </w:tr>
      <w:tr>
        <w:trPr>
          <w:cantSplit/>
        </w:trPr>
        <w:tc>
          <w:tcPr>
            <w:tcW w:type="dxa" w:w="1440"/>
            <w:tcMar>
              <w:top w:w="80" w:type="dxa"/>
              <w:start w:w="120" w:type="dxa"/>
              <w:bottom w:w="80" w:type="dxa"/>
              <w:end w:w="120" w:type="dxa"/>
            </w:tcMar>
            <w:vAlign w:val="center"/>
          </w:tcPr>
          <w:p>
            <w:pPr>
              <w:spacing w:after="40" w:line="252" w:lineRule="auto"/>
            </w:pPr>
            <w:r>
              <w:rPr>
                <w:sz w:val="17"/>
              </w:rPr>
              <w:t>Attention</w:t>
            </w:r>
          </w:p>
        </w:tc>
        <w:tc>
          <w:tcPr>
            <w:tcW w:type="dxa" w:w="2376"/>
            <w:tcMar>
              <w:top w:w="80" w:type="dxa"/>
              <w:start w:w="120" w:type="dxa"/>
              <w:bottom w:w="80" w:type="dxa"/>
              <w:end w:w="120" w:type="dxa"/>
            </w:tcMar>
            <w:vAlign w:val="center"/>
          </w:tcPr>
          <w:p>
            <w:pPr>
              <w:spacing w:after="40" w:line="252" w:lineRule="auto"/>
            </w:pPr>
            <w:r>
              <w:rPr>
                <w:sz w:val="17"/>
              </w:rPr>
              <w:t>Consumes meaningful portion</w:t>
            </w:r>
          </w:p>
        </w:tc>
        <w:tc>
          <w:tcPr>
            <w:tcW w:type="dxa" w:w="3312"/>
            <w:tcMar>
              <w:top w:w="80" w:type="dxa"/>
              <w:start w:w="120" w:type="dxa"/>
              <w:bottom w:w="80" w:type="dxa"/>
              <w:end w:w="120" w:type="dxa"/>
            </w:tcMar>
            <w:vAlign w:val="center"/>
          </w:tcPr>
          <w:p>
            <w:pPr>
              <w:spacing w:after="40" w:line="252" w:lineRule="auto"/>
            </w:pPr>
            <w:r>
              <w:rPr>
                <w:sz w:val="17"/>
              </w:rPr>
              <w:t>video_progress_25/50/75/95</w:t>
            </w:r>
          </w:p>
        </w:tc>
        <w:tc>
          <w:tcPr>
            <w:tcW w:type="dxa" w:w="2232"/>
            <w:tcMar>
              <w:top w:w="80" w:type="dxa"/>
              <w:start w:w="120" w:type="dxa"/>
              <w:bottom w:w="80" w:type="dxa"/>
              <w:end w:w="120" w:type="dxa"/>
            </w:tcMar>
            <w:vAlign w:val="center"/>
          </w:tcPr>
          <w:p>
            <w:pPr>
              <w:spacing w:after="40" w:line="252" w:lineRule="auto"/>
            </w:pPr>
            <w:r>
              <w:rPr>
                <w:sz w:val="17"/>
              </w:rPr>
              <w:t>Average % viewed; completion</w:t>
            </w:r>
          </w:p>
        </w:tc>
      </w:tr>
      <w:tr>
        <w:trPr>
          <w:cantSplit/>
        </w:trPr>
        <w:tc>
          <w:tcPr>
            <w:tcW w:type="dxa" w:w="1440"/>
            <w:tcMar>
              <w:top w:w="80" w:type="dxa"/>
              <w:start w:w="120" w:type="dxa"/>
              <w:bottom w:w="80" w:type="dxa"/>
              <w:end w:w="120" w:type="dxa"/>
            </w:tcMar>
            <w:vAlign w:val="center"/>
          </w:tcPr>
          <w:p>
            <w:pPr>
              <w:spacing w:after="40" w:line="252" w:lineRule="auto"/>
            </w:pPr>
            <w:r>
              <w:rPr>
                <w:sz w:val="17"/>
              </w:rPr>
              <w:t>Engagement</w:t>
            </w:r>
          </w:p>
        </w:tc>
        <w:tc>
          <w:tcPr>
            <w:tcW w:type="dxa" w:w="2376"/>
            <w:tcMar>
              <w:top w:w="80" w:type="dxa"/>
              <w:start w:w="120" w:type="dxa"/>
              <w:bottom w:w="80" w:type="dxa"/>
              <w:end w:w="120" w:type="dxa"/>
            </w:tcMar>
            <w:vAlign w:val="center"/>
          </w:tcPr>
          <w:p>
            <w:pPr>
              <w:spacing w:after="40" w:line="252" w:lineRule="auto"/>
            </w:pPr>
            <w:r>
              <w:rPr>
                <w:sz w:val="17"/>
              </w:rPr>
              <w:t>Saves, shares, comments, follows</w:t>
            </w:r>
          </w:p>
        </w:tc>
        <w:tc>
          <w:tcPr>
            <w:tcW w:type="dxa" w:w="3312"/>
            <w:tcMar>
              <w:top w:w="80" w:type="dxa"/>
              <w:start w:w="120" w:type="dxa"/>
              <w:bottom w:w="80" w:type="dxa"/>
              <w:end w:w="120" w:type="dxa"/>
            </w:tcMar>
            <w:vAlign w:val="center"/>
          </w:tcPr>
          <w:p>
            <w:pPr>
              <w:spacing w:after="40" w:line="252" w:lineRule="auto"/>
            </w:pPr>
            <w:r>
              <w:rPr>
                <w:sz w:val="17"/>
              </w:rPr>
              <w:t>content_engaged</w:t>
            </w:r>
          </w:p>
        </w:tc>
        <w:tc>
          <w:tcPr>
            <w:tcW w:type="dxa" w:w="2232"/>
            <w:tcMar>
              <w:top w:w="80" w:type="dxa"/>
              <w:start w:w="120" w:type="dxa"/>
              <w:bottom w:w="80" w:type="dxa"/>
              <w:end w:w="120" w:type="dxa"/>
            </w:tcMar>
            <w:vAlign w:val="center"/>
          </w:tcPr>
          <w:p>
            <w:pPr>
              <w:spacing w:after="40" w:line="252" w:lineRule="auto"/>
            </w:pPr>
            <w:r>
              <w:rPr>
                <w:sz w:val="17"/>
              </w:rPr>
              <w:t>Saves/shares; substantive comments</w:t>
            </w:r>
          </w:p>
        </w:tc>
      </w:tr>
      <w:tr>
        <w:trPr>
          <w:cantSplit/>
        </w:trPr>
        <w:tc>
          <w:tcPr>
            <w:tcW w:type="dxa" w:w="1440"/>
            <w:tcMar>
              <w:top w:w="80" w:type="dxa"/>
              <w:start w:w="120" w:type="dxa"/>
              <w:bottom w:w="80" w:type="dxa"/>
              <w:end w:w="120" w:type="dxa"/>
            </w:tcMar>
            <w:vAlign w:val="center"/>
          </w:tcPr>
          <w:p>
            <w:pPr>
              <w:spacing w:after="40" w:line="252" w:lineRule="auto"/>
            </w:pPr>
            <w:r>
              <w:rPr>
                <w:sz w:val="17"/>
              </w:rPr>
              <w:t>Intent</w:t>
            </w:r>
          </w:p>
        </w:tc>
        <w:tc>
          <w:tcPr>
            <w:tcW w:type="dxa" w:w="2376"/>
            <w:tcMar>
              <w:top w:w="80" w:type="dxa"/>
              <w:start w:w="120" w:type="dxa"/>
              <w:bottom w:w="80" w:type="dxa"/>
              <w:end w:w="120" w:type="dxa"/>
            </w:tcMar>
            <w:vAlign w:val="center"/>
          </w:tcPr>
          <w:p>
            <w:pPr>
              <w:spacing w:after="40" w:line="252" w:lineRule="auto"/>
            </w:pPr>
            <w:r>
              <w:rPr>
                <w:sz w:val="17"/>
              </w:rPr>
              <w:t>Visits profile or clicks CTA</w:t>
            </w:r>
          </w:p>
        </w:tc>
        <w:tc>
          <w:tcPr>
            <w:tcW w:type="dxa" w:w="3312"/>
            <w:tcMar>
              <w:top w:w="80" w:type="dxa"/>
              <w:start w:w="120" w:type="dxa"/>
              <w:bottom w:w="80" w:type="dxa"/>
              <w:end w:w="120" w:type="dxa"/>
            </w:tcMar>
            <w:vAlign w:val="center"/>
          </w:tcPr>
          <w:p>
            <w:pPr>
              <w:spacing w:after="40" w:line="252" w:lineRule="auto"/>
            </w:pPr>
            <w:r>
              <w:rPr>
                <w:sz w:val="17"/>
              </w:rPr>
              <w:t>cta_clicked</w:t>
            </w:r>
          </w:p>
        </w:tc>
        <w:tc>
          <w:tcPr>
            <w:tcW w:type="dxa" w:w="2232"/>
            <w:tcMar>
              <w:top w:w="80" w:type="dxa"/>
              <w:start w:w="120" w:type="dxa"/>
              <w:bottom w:w="80" w:type="dxa"/>
              <w:end w:w="120" w:type="dxa"/>
            </w:tcMar>
            <w:vAlign w:val="center"/>
          </w:tcPr>
          <w:p>
            <w:pPr>
              <w:spacing w:after="40" w:line="252" w:lineRule="auto"/>
            </w:pPr>
            <w:r>
              <w:rPr>
                <w:sz w:val="17"/>
              </w:rPr>
              <w:t>CTR by asset/CTA</w:t>
            </w:r>
          </w:p>
        </w:tc>
      </w:tr>
      <w:tr>
        <w:trPr>
          <w:cantSplit/>
        </w:trPr>
        <w:tc>
          <w:tcPr>
            <w:tcW w:type="dxa" w:w="1440"/>
            <w:tcMar>
              <w:top w:w="80" w:type="dxa"/>
              <w:start w:w="120" w:type="dxa"/>
              <w:bottom w:w="80" w:type="dxa"/>
              <w:end w:w="120" w:type="dxa"/>
            </w:tcMar>
            <w:vAlign w:val="center"/>
          </w:tcPr>
          <w:p>
            <w:pPr>
              <w:spacing w:after="40" w:line="252" w:lineRule="auto"/>
            </w:pPr>
            <w:r>
              <w:rPr>
                <w:sz w:val="17"/>
              </w:rPr>
              <w:t>Acquisition</w:t>
            </w:r>
          </w:p>
        </w:tc>
        <w:tc>
          <w:tcPr>
            <w:tcW w:type="dxa" w:w="2376"/>
            <w:tcMar>
              <w:top w:w="80" w:type="dxa"/>
              <w:start w:w="120" w:type="dxa"/>
              <w:bottom w:w="80" w:type="dxa"/>
              <w:end w:w="120" w:type="dxa"/>
            </w:tcMar>
            <w:vAlign w:val="center"/>
          </w:tcPr>
          <w:p>
            <w:pPr>
              <w:spacing w:after="40" w:line="252" w:lineRule="auto"/>
            </w:pPr>
            <w:r>
              <w:rPr>
                <w:sz w:val="17"/>
              </w:rPr>
              <w:t>Submits email or registers</w:t>
            </w:r>
          </w:p>
        </w:tc>
        <w:tc>
          <w:tcPr>
            <w:tcW w:type="dxa" w:w="3312"/>
            <w:tcMar>
              <w:top w:w="80" w:type="dxa"/>
              <w:start w:w="120" w:type="dxa"/>
              <w:bottom w:w="80" w:type="dxa"/>
              <w:end w:w="120" w:type="dxa"/>
            </w:tcMar>
            <w:vAlign w:val="center"/>
          </w:tcPr>
          <w:p>
            <w:pPr>
              <w:spacing w:after="40" w:line="252" w:lineRule="auto"/>
            </w:pPr>
            <w:r>
              <w:rPr>
                <w:sz w:val="17"/>
              </w:rPr>
              <w:t>lead_captured / account_created</w:t>
            </w:r>
          </w:p>
        </w:tc>
        <w:tc>
          <w:tcPr>
            <w:tcW w:type="dxa" w:w="2232"/>
            <w:tcMar>
              <w:top w:w="80" w:type="dxa"/>
              <w:start w:w="120" w:type="dxa"/>
              <w:bottom w:w="80" w:type="dxa"/>
              <w:end w:w="120" w:type="dxa"/>
            </w:tcMar>
            <w:vAlign w:val="center"/>
          </w:tcPr>
          <w:p>
            <w:pPr>
              <w:spacing w:after="40" w:line="252" w:lineRule="auto"/>
            </w:pPr>
            <w:r>
              <w:rPr>
                <w:sz w:val="17"/>
              </w:rPr>
              <w:t>Visitor-to-lead; signup rate</w:t>
            </w:r>
          </w:p>
        </w:tc>
      </w:tr>
      <w:tr>
        <w:trPr>
          <w:cantSplit/>
        </w:trPr>
        <w:tc>
          <w:tcPr>
            <w:tcW w:type="dxa" w:w="1440"/>
            <w:tcMar>
              <w:top w:w="80" w:type="dxa"/>
              <w:start w:w="120" w:type="dxa"/>
              <w:bottom w:w="80" w:type="dxa"/>
              <w:end w:w="120" w:type="dxa"/>
            </w:tcMar>
            <w:vAlign w:val="center"/>
          </w:tcPr>
          <w:p>
            <w:pPr>
              <w:spacing w:after="40" w:line="252" w:lineRule="auto"/>
            </w:pPr>
            <w:r>
              <w:rPr>
                <w:sz w:val="17"/>
              </w:rPr>
              <w:t>Activation</w:t>
            </w:r>
          </w:p>
        </w:tc>
        <w:tc>
          <w:tcPr>
            <w:tcW w:type="dxa" w:w="2376"/>
            <w:tcMar>
              <w:top w:w="80" w:type="dxa"/>
              <w:start w:w="120" w:type="dxa"/>
              <w:bottom w:w="80" w:type="dxa"/>
              <w:end w:w="120" w:type="dxa"/>
            </w:tcMar>
            <w:vAlign w:val="center"/>
          </w:tcPr>
          <w:p>
            <w:pPr>
              <w:spacing w:after="40" w:line="252" w:lineRule="auto"/>
            </w:pPr>
            <w:r>
              <w:rPr>
                <w:sz w:val="17"/>
              </w:rPr>
              <w:t>Starts and completes Free Pod action</w:t>
            </w:r>
          </w:p>
        </w:tc>
        <w:tc>
          <w:tcPr>
            <w:tcW w:type="dxa" w:w="3312"/>
            <w:tcMar>
              <w:top w:w="80" w:type="dxa"/>
              <w:start w:w="120" w:type="dxa"/>
              <w:bottom w:w="80" w:type="dxa"/>
              <w:end w:w="120" w:type="dxa"/>
            </w:tcMar>
            <w:vAlign w:val="center"/>
          </w:tcPr>
          <w:p>
            <w:pPr>
              <w:spacing w:after="40" w:line="252" w:lineRule="auto"/>
            </w:pPr>
            <w:r>
              <w:rPr>
                <w:sz w:val="17"/>
              </w:rPr>
              <w:t>lesson_started / calc_completed</w:t>
            </w:r>
          </w:p>
        </w:tc>
        <w:tc>
          <w:tcPr>
            <w:tcW w:type="dxa" w:w="2232"/>
            <w:tcMar>
              <w:top w:w="80" w:type="dxa"/>
              <w:start w:w="120" w:type="dxa"/>
              <w:bottom w:w="80" w:type="dxa"/>
              <w:end w:w="120" w:type="dxa"/>
            </w:tcMar>
            <w:vAlign w:val="center"/>
          </w:tcPr>
          <w:p>
            <w:pPr>
              <w:spacing w:after="40" w:line="252" w:lineRule="auto"/>
            </w:pPr>
            <w:r>
              <w:rPr>
                <w:sz w:val="17"/>
              </w:rPr>
              <w:t>Activation and lesson completion</w:t>
            </w:r>
          </w:p>
        </w:tc>
      </w:tr>
      <w:tr>
        <w:trPr>
          <w:cantSplit/>
        </w:trPr>
        <w:tc>
          <w:tcPr>
            <w:tcW w:type="dxa" w:w="1440"/>
            <w:tcMar>
              <w:top w:w="80" w:type="dxa"/>
              <w:start w:w="120" w:type="dxa"/>
              <w:bottom w:w="80" w:type="dxa"/>
              <w:end w:w="120" w:type="dxa"/>
            </w:tcMar>
            <w:vAlign w:val="center"/>
          </w:tcPr>
          <w:p>
            <w:pPr>
              <w:spacing w:after="40" w:line="252" w:lineRule="auto"/>
            </w:pPr>
            <w:r>
              <w:rPr>
                <w:sz w:val="17"/>
              </w:rPr>
              <w:t>Conversion</w:t>
            </w:r>
          </w:p>
        </w:tc>
        <w:tc>
          <w:tcPr>
            <w:tcW w:type="dxa" w:w="2376"/>
            <w:tcMar>
              <w:top w:w="80" w:type="dxa"/>
              <w:start w:w="120" w:type="dxa"/>
              <w:bottom w:w="80" w:type="dxa"/>
              <w:end w:w="120" w:type="dxa"/>
            </w:tcMar>
            <w:vAlign w:val="center"/>
          </w:tcPr>
          <w:p>
            <w:pPr>
              <w:spacing w:after="40" w:line="252" w:lineRule="auto"/>
            </w:pPr>
            <w:r>
              <w:rPr>
                <w:sz w:val="17"/>
              </w:rPr>
              <w:t>Starts trial or buys</w:t>
            </w:r>
          </w:p>
        </w:tc>
        <w:tc>
          <w:tcPr>
            <w:tcW w:type="dxa" w:w="3312"/>
            <w:tcMar>
              <w:top w:w="80" w:type="dxa"/>
              <w:start w:w="120" w:type="dxa"/>
              <w:bottom w:w="80" w:type="dxa"/>
              <w:end w:w="120" w:type="dxa"/>
            </w:tcMar>
            <w:vAlign w:val="center"/>
          </w:tcPr>
          <w:p>
            <w:pPr>
              <w:spacing w:after="40" w:line="252" w:lineRule="auto"/>
            </w:pPr>
            <w:r>
              <w:rPr>
                <w:sz w:val="17"/>
              </w:rPr>
              <w:t>trial_started / subscription_started</w:t>
            </w:r>
          </w:p>
        </w:tc>
        <w:tc>
          <w:tcPr>
            <w:tcW w:type="dxa" w:w="2232"/>
            <w:tcMar>
              <w:top w:w="80" w:type="dxa"/>
              <w:start w:w="120" w:type="dxa"/>
              <w:bottom w:w="80" w:type="dxa"/>
              <w:end w:w="120" w:type="dxa"/>
            </w:tcMar>
            <w:vAlign w:val="center"/>
          </w:tcPr>
          <w:p>
            <w:pPr>
              <w:spacing w:after="40" w:line="252" w:lineRule="auto"/>
            </w:pPr>
            <w:r>
              <w:rPr>
                <w:sz w:val="17"/>
              </w:rPr>
              <w:t>Free-to-trial; trial-to-paid</w:t>
            </w:r>
          </w:p>
        </w:tc>
      </w:tr>
      <w:tr>
        <w:trPr>
          <w:cantSplit/>
        </w:trPr>
        <w:tc>
          <w:tcPr>
            <w:tcW w:type="dxa" w:w="1440"/>
            <w:tcMar>
              <w:top w:w="80" w:type="dxa"/>
              <w:start w:w="120" w:type="dxa"/>
              <w:bottom w:w="80" w:type="dxa"/>
              <w:end w:w="120" w:type="dxa"/>
            </w:tcMar>
            <w:vAlign w:val="center"/>
          </w:tcPr>
          <w:p>
            <w:pPr>
              <w:spacing w:after="40" w:line="252" w:lineRule="auto"/>
            </w:pPr>
            <w:r>
              <w:rPr>
                <w:sz w:val="17"/>
              </w:rPr>
              <w:t>Retention</w:t>
            </w:r>
          </w:p>
        </w:tc>
        <w:tc>
          <w:tcPr>
            <w:tcW w:type="dxa" w:w="2376"/>
            <w:tcMar>
              <w:top w:w="80" w:type="dxa"/>
              <w:start w:w="120" w:type="dxa"/>
              <w:bottom w:w="80" w:type="dxa"/>
              <w:end w:w="120" w:type="dxa"/>
            </w:tcMar>
            <w:vAlign w:val="center"/>
          </w:tcPr>
          <w:p>
            <w:pPr>
              <w:spacing w:after="40" w:line="252" w:lineRule="auto"/>
            </w:pPr>
            <w:r>
              <w:rPr>
                <w:sz w:val="17"/>
              </w:rPr>
              <w:t>Returns and progresses</w:t>
            </w:r>
          </w:p>
        </w:tc>
        <w:tc>
          <w:tcPr>
            <w:tcW w:type="dxa" w:w="3312"/>
            <w:tcMar>
              <w:top w:w="80" w:type="dxa"/>
              <w:start w:w="120" w:type="dxa"/>
              <w:bottom w:w="80" w:type="dxa"/>
              <w:end w:w="120" w:type="dxa"/>
            </w:tcMar>
            <w:vAlign w:val="center"/>
          </w:tcPr>
          <w:p>
            <w:pPr>
              <w:spacing w:after="40" w:line="252" w:lineRule="auto"/>
            </w:pPr>
            <w:r>
              <w:rPr>
                <w:sz w:val="17"/>
              </w:rPr>
              <w:t>weekly_active / mastery_updated</w:t>
            </w:r>
          </w:p>
        </w:tc>
        <w:tc>
          <w:tcPr>
            <w:tcW w:type="dxa" w:w="2232"/>
            <w:tcMar>
              <w:top w:w="80" w:type="dxa"/>
              <w:start w:w="120" w:type="dxa"/>
              <w:bottom w:w="80" w:type="dxa"/>
              <w:end w:w="120" w:type="dxa"/>
            </w:tcMar>
            <w:vAlign w:val="center"/>
          </w:tcPr>
          <w:p>
            <w:pPr>
              <w:spacing w:after="40" w:line="252" w:lineRule="auto"/>
            </w:pPr>
            <w:r>
              <w:rPr>
                <w:sz w:val="17"/>
              </w:rPr>
              <w:t>W4 retention; mastery progress</w:t>
            </w:r>
          </w:p>
        </w:tc>
      </w:tr>
      <w:tr>
        <w:trPr>
          <w:cantSplit/>
        </w:trPr>
        <w:tc>
          <w:tcPr>
            <w:tcW w:type="dxa" w:w="1440"/>
            <w:tcMar>
              <w:top w:w="80" w:type="dxa"/>
              <w:start w:w="120" w:type="dxa"/>
              <w:bottom w:w="80" w:type="dxa"/>
              <w:end w:w="120" w:type="dxa"/>
            </w:tcMar>
            <w:vAlign w:val="center"/>
          </w:tcPr>
          <w:p>
            <w:pPr>
              <w:spacing w:after="40" w:line="252" w:lineRule="auto"/>
            </w:pPr>
            <w:r>
              <w:rPr>
                <w:sz w:val="17"/>
              </w:rPr>
              <w:t>Enterprise</w:t>
            </w:r>
          </w:p>
        </w:tc>
        <w:tc>
          <w:tcPr>
            <w:tcW w:type="dxa" w:w="2376"/>
            <w:tcMar>
              <w:top w:w="80" w:type="dxa"/>
              <w:start w:w="120" w:type="dxa"/>
              <w:bottom w:w="80" w:type="dxa"/>
              <w:end w:w="120" w:type="dxa"/>
            </w:tcMar>
            <w:vAlign w:val="center"/>
          </w:tcPr>
          <w:p>
            <w:pPr>
              <w:spacing w:after="40" w:line="252" w:lineRule="auto"/>
            </w:pPr>
            <w:r>
              <w:rPr>
                <w:sz w:val="17"/>
              </w:rPr>
              <w:t>Qualifies and enters sales process</w:t>
            </w:r>
          </w:p>
        </w:tc>
        <w:tc>
          <w:tcPr>
            <w:tcW w:type="dxa" w:w="3312"/>
            <w:tcMar>
              <w:top w:w="80" w:type="dxa"/>
              <w:start w:w="120" w:type="dxa"/>
              <w:bottom w:w="80" w:type="dxa"/>
              <w:end w:w="120" w:type="dxa"/>
            </w:tcMar>
            <w:vAlign w:val="center"/>
          </w:tcPr>
          <w:p>
            <w:pPr>
              <w:spacing w:after="40" w:line="252" w:lineRule="auto"/>
            </w:pPr>
            <w:r>
              <w:rPr>
                <w:sz w:val="17"/>
              </w:rPr>
              <w:t>enterprise_lead_qualified</w:t>
            </w:r>
          </w:p>
        </w:tc>
        <w:tc>
          <w:tcPr>
            <w:tcW w:type="dxa" w:w="2232"/>
            <w:tcMar>
              <w:top w:w="80" w:type="dxa"/>
              <w:start w:w="120" w:type="dxa"/>
              <w:bottom w:w="80" w:type="dxa"/>
              <w:end w:w="120" w:type="dxa"/>
            </w:tcMar>
            <w:vAlign w:val="center"/>
          </w:tcPr>
          <w:p>
            <w:pPr>
              <w:spacing w:after="40" w:line="252" w:lineRule="auto"/>
            </w:pPr>
            <w:r>
              <w:rPr>
                <w:sz w:val="17"/>
              </w:rPr>
              <w:t>MQL→SQL→pilot→contract</w:t>
            </w:r>
          </w:p>
        </w:tc>
      </w:tr>
    </w:tbl>
    <w:p>
      <w:pPr>
        <w:spacing w:after="40"/>
      </w:pPr>
    </w:p>
    <w:p>
      <w:r>
        <w:t>Illustrative funnel math is useful for capacity planning but is not a forecast. Establish baselines with the first 30 assets and replace assumptions with observed cohort conversion.</w:t>
      </w:r>
    </w:p>
    <w:p>
      <w:r>
        <w:br w:type="page"/>
      </w:r>
    </w:p>
    <w:p>
      <w:pPr>
        <w:pStyle w:val="Heading1"/>
      </w:pPr>
      <w:r>
        <w:t>3. Channel strategy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shd w:fill="E8EEF5"/>
            <w:tcMar>
              <w:top w:w="80" w:type="dxa"/>
              <w:start w:w="120" w:type="dxa"/>
              <w:bottom w:w="80" w:type="dxa"/>
              <w:end w:w="120" w:type="dxa"/>
            </w:tcMar>
            <w:vAlign w:val="center"/>
          </w:tcPr>
          <w:p>
            <w:r>
              <w:rPr>
                <w:b/>
                <w:color w:val="0B2545"/>
                <w:sz w:val="17"/>
              </w:rPr>
              <w:t>Channel</w:t>
            </w:r>
          </w:p>
        </w:tc>
        <w:tc>
          <w:tcPr>
            <w:tcW w:type="dxa" w:w="2376"/>
            <w:shd w:fill="E8EEF5"/>
            <w:tcMar>
              <w:top w:w="80" w:type="dxa"/>
              <w:start w:w="120" w:type="dxa"/>
              <w:bottom w:w="80" w:type="dxa"/>
              <w:end w:w="120" w:type="dxa"/>
            </w:tcMar>
            <w:vAlign w:val="center"/>
          </w:tcPr>
          <w:p>
            <w:r>
              <w:rPr>
                <w:b/>
                <w:color w:val="0B2545"/>
                <w:sz w:val="17"/>
              </w:rPr>
              <w:t>Role</w:t>
            </w:r>
          </w:p>
        </w:tc>
        <w:tc>
          <w:tcPr>
            <w:tcW w:type="dxa" w:w="2880"/>
            <w:shd w:fill="E8EEF5"/>
            <w:tcMar>
              <w:top w:w="80" w:type="dxa"/>
              <w:start w:w="120" w:type="dxa"/>
              <w:bottom w:w="80" w:type="dxa"/>
              <w:end w:w="120" w:type="dxa"/>
            </w:tcMar>
            <w:vAlign w:val="center"/>
          </w:tcPr>
          <w:p>
            <w:r>
              <w:rPr>
                <w:b/>
                <w:color w:val="0B2545"/>
                <w:sz w:val="17"/>
              </w:rPr>
              <w:t>Core formats</w:t>
            </w:r>
          </w:p>
        </w:tc>
        <w:tc>
          <w:tcPr>
            <w:tcW w:type="dxa" w:w="2664"/>
            <w:shd w:fill="E8EEF5"/>
            <w:tcMar>
              <w:top w:w="80" w:type="dxa"/>
              <w:start w:w="120" w:type="dxa"/>
              <w:bottom w:w="80" w:type="dxa"/>
              <w:end w:w="120" w:type="dxa"/>
            </w:tcMar>
            <w:vAlign w:val="center"/>
          </w:tcPr>
          <w:p>
            <w:r>
              <w:rPr>
                <w:b/>
                <w:color w:val="0B2545"/>
                <w:sz w:val="17"/>
              </w:rPr>
              <w:t>Publishing intent</w:t>
            </w:r>
          </w:p>
        </w:tc>
      </w:tr>
      <w:tr>
        <w:trPr>
          <w:cantSplit/>
        </w:trPr>
        <w:tc>
          <w:tcPr>
            <w:tcW w:type="dxa" w:w="1440"/>
            <w:tcMar>
              <w:top w:w="80" w:type="dxa"/>
              <w:start w:w="120" w:type="dxa"/>
              <w:bottom w:w="80" w:type="dxa"/>
              <w:end w:w="120" w:type="dxa"/>
            </w:tcMar>
            <w:vAlign w:val="center"/>
          </w:tcPr>
          <w:p>
            <w:pPr>
              <w:spacing w:after="40" w:line="252" w:lineRule="auto"/>
            </w:pPr>
            <w:r>
              <w:rPr>
                <w:sz w:val="17"/>
              </w:rPr>
              <w:t>YouTube</w:t>
            </w:r>
          </w:p>
        </w:tc>
        <w:tc>
          <w:tcPr>
            <w:tcW w:type="dxa" w:w="2376"/>
            <w:tcMar>
              <w:top w:w="80" w:type="dxa"/>
              <w:start w:w="120" w:type="dxa"/>
              <w:bottom w:w="80" w:type="dxa"/>
              <w:end w:w="120" w:type="dxa"/>
            </w:tcMar>
            <w:vAlign w:val="center"/>
          </w:tcPr>
          <w:p>
            <w:pPr>
              <w:spacing w:after="40" w:line="252" w:lineRule="auto"/>
            </w:pPr>
            <w:r>
              <w:rPr>
                <w:sz w:val="17"/>
              </w:rPr>
              <w:t>Evergreen authority, search discovery, deep trust</w:t>
            </w:r>
          </w:p>
        </w:tc>
        <w:tc>
          <w:tcPr>
            <w:tcW w:type="dxa" w:w="2880"/>
            <w:tcMar>
              <w:top w:w="80" w:type="dxa"/>
              <w:start w:w="120" w:type="dxa"/>
              <w:bottom w:w="80" w:type="dxa"/>
              <w:end w:w="120" w:type="dxa"/>
            </w:tcMar>
            <w:vAlign w:val="center"/>
          </w:tcPr>
          <w:p>
            <w:pPr>
              <w:spacing w:after="40" w:line="252" w:lineRule="auto"/>
            </w:pPr>
            <w:r>
              <w:rPr>
                <w:sz w:val="17"/>
              </w:rPr>
              <w:t>8–15 minute lessons, worked examples, live/Q&amp;A later</w:t>
            </w:r>
          </w:p>
        </w:tc>
        <w:tc>
          <w:tcPr>
            <w:tcW w:type="dxa" w:w="2664"/>
            <w:tcMar>
              <w:top w:w="80" w:type="dxa"/>
              <w:start w:w="120" w:type="dxa"/>
              <w:bottom w:w="80" w:type="dxa"/>
              <w:end w:w="120" w:type="dxa"/>
            </w:tcMar>
            <w:vAlign w:val="center"/>
          </w:tcPr>
          <w:p>
            <w:pPr>
              <w:spacing w:after="40" w:line="252" w:lineRule="auto"/>
            </w:pPr>
            <w:r>
              <w:rPr>
                <w:sz w:val="17"/>
              </w:rPr>
              <w:t>Own high-intent learning queries and demonstrate teaching quality</w:t>
            </w:r>
          </w:p>
        </w:tc>
      </w:tr>
      <w:tr>
        <w:trPr>
          <w:cantSplit/>
        </w:trPr>
        <w:tc>
          <w:tcPr>
            <w:tcW w:type="dxa" w:w="1440"/>
            <w:tcMar>
              <w:top w:w="80" w:type="dxa"/>
              <w:start w:w="120" w:type="dxa"/>
              <w:bottom w:w="80" w:type="dxa"/>
              <w:end w:w="120" w:type="dxa"/>
            </w:tcMar>
            <w:vAlign w:val="center"/>
          </w:tcPr>
          <w:p>
            <w:pPr>
              <w:spacing w:after="40" w:line="252" w:lineRule="auto"/>
            </w:pPr>
            <w:r>
              <w:rPr>
                <w:sz w:val="17"/>
              </w:rPr>
              <w:t>YouTube Shorts</w:t>
            </w:r>
          </w:p>
        </w:tc>
        <w:tc>
          <w:tcPr>
            <w:tcW w:type="dxa" w:w="2376"/>
            <w:tcMar>
              <w:top w:w="80" w:type="dxa"/>
              <w:start w:w="120" w:type="dxa"/>
              <w:bottom w:w="80" w:type="dxa"/>
              <w:end w:w="120" w:type="dxa"/>
            </w:tcMar>
            <w:vAlign w:val="center"/>
          </w:tcPr>
          <w:p>
            <w:pPr>
              <w:spacing w:after="40" w:line="252" w:lineRule="auto"/>
            </w:pPr>
            <w:r>
              <w:rPr>
                <w:sz w:val="17"/>
              </w:rPr>
              <w:t>Fast discovery and bridge to long-form/product</w:t>
            </w:r>
          </w:p>
        </w:tc>
        <w:tc>
          <w:tcPr>
            <w:tcW w:type="dxa" w:w="2880"/>
            <w:tcMar>
              <w:top w:w="80" w:type="dxa"/>
              <w:start w:w="120" w:type="dxa"/>
              <w:bottom w:w="80" w:type="dxa"/>
              <w:end w:w="120" w:type="dxa"/>
            </w:tcMar>
            <w:vAlign w:val="center"/>
          </w:tcPr>
          <w:p>
            <w:pPr>
              <w:spacing w:after="40" w:line="252" w:lineRule="auto"/>
            </w:pPr>
            <w:r>
              <w:rPr>
                <w:sz w:val="17"/>
              </w:rPr>
              <w:t>30–90 second concepts, challenges, clips</w:t>
            </w:r>
          </w:p>
        </w:tc>
        <w:tc>
          <w:tcPr>
            <w:tcW w:type="dxa" w:w="2664"/>
            <w:tcMar>
              <w:top w:w="80" w:type="dxa"/>
              <w:start w:w="120" w:type="dxa"/>
              <w:bottom w:w="80" w:type="dxa"/>
              <w:end w:w="120" w:type="dxa"/>
            </w:tcMar>
            <w:vAlign w:val="center"/>
          </w:tcPr>
          <w:p>
            <w:pPr>
              <w:spacing w:after="40" w:line="252" w:lineRule="auto"/>
            </w:pPr>
            <w:r>
              <w:rPr>
                <w:sz w:val="17"/>
              </w:rPr>
              <w:t>Earn completion, comments, and qualified next-step clicks</w:t>
            </w:r>
          </w:p>
        </w:tc>
      </w:tr>
      <w:tr>
        <w:trPr>
          <w:cantSplit/>
        </w:trPr>
        <w:tc>
          <w:tcPr>
            <w:tcW w:type="dxa" w:w="1440"/>
            <w:tcMar>
              <w:top w:w="80" w:type="dxa"/>
              <w:start w:w="120" w:type="dxa"/>
              <w:bottom w:w="80" w:type="dxa"/>
              <w:end w:w="120" w:type="dxa"/>
            </w:tcMar>
            <w:vAlign w:val="center"/>
          </w:tcPr>
          <w:p>
            <w:pPr>
              <w:spacing w:after="40" w:line="252" w:lineRule="auto"/>
            </w:pPr>
            <w:r>
              <w:rPr>
                <w:sz w:val="17"/>
              </w:rPr>
              <w:t>Instagram</w:t>
            </w:r>
          </w:p>
        </w:tc>
        <w:tc>
          <w:tcPr>
            <w:tcW w:type="dxa" w:w="2376"/>
            <w:tcMar>
              <w:top w:w="80" w:type="dxa"/>
              <w:start w:w="120" w:type="dxa"/>
              <w:bottom w:w="80" w:type="dxa"/>
              <w:end w:w="120" w:type="dxa"/>
            </w:tcMar>
            <w:vAlign w:val="center"/>
          </w:tcPr>
          <w:p>
            <w:pPr>
              <w:spacing w:after="40" w:line="252" w:lineRule="auto"/>
            </w:pPr>
            <w:r>
              <w:rPr>
                <w:sz w:val="17"/>
              </w:rPr>
              <w:t>Visual discovery and brand familiarity</w:t>
            </w:r>
          </w:p>
        </w:tc>
        <w:tc>
          <w:tcPr>
            <w:tcW w:type="dxa" w:w="2880"/>
            <w:tcMar>
              <w:top w:w="80" w:type="dxa"/>
              <w:start w:w="120" w:type="dxa"/>
              <w:bottom w:w="80" w:type="dxa"/>
              <w:end w:w="120" w:type="dxa"/>
            </w:tcMar>
            <w:vAlign w:val="center"/>
          </w:tcPr>
          <w:p>
            <w:pPr>
              <w:spacing w:after="40" w:line="252" w:lineRule="auto"/>
            </w:pPr>
            <w:r>
              <w:rPr>
                <w:sz w:val="17"/>
              </w:rPr>
              <w:t>Reels, carousels, stories, polls</w:t>
            </w:r>
          </w:p>
        </w:tc>
        <w:tc>
          <w:tcPr>
            <w:tcW w:type="dxa" w:w="2664"/>
            <w:tcMar>
              <w:top w:w="80" w:type="dxa"/>
              <w:start w:w="120" w:type="dxa"/>
              <w:bottom w:w="80" w:type="dxa"/>
              <w:end w:w="120" w:type="dxa"/>
            </w:tcMar>
            <w:vAlign w:val="center"/>
          </w:tcPr>
          <w:p>
            <w:pPr>
              <w:spacing w:after="40" w:line="252" w:lineRule="auto"/>
            </w:pPr>
            <w:r>
              <w:rPr>
                <w:sz w:val="17"/>
              </w:rPr>
              <w:t>Make finance legible, memorable, and shareable</w:t>
            </w:r>
          </w:p>
        </w:tc>
      </w:tr>
      <w:tr>
        <w:trPr>
          <w:cantSplit/>
        </w:trPr>
        <w:tc>
          <w:tcPr>
            <w:tcW w:type="dxa" w:w="1440"/>
            <w:tcMar>
              <w:top w:w="80" w:type="dxa"/>
              <w:start w:w="120" w:type="dxa"/>
              <w:bottom w:w="80" w:type="dxa"/>
              <w:end w:w="120" w:type="dxa"/>
            </w:tcMar>
            <w:vAlign w:val="center"/>
          </w:tcPr>
          <w:p>
            <w:pPr>
              <w:spacing w:after="40" w:line="252" w:lineRule="auto"/>
            </w:pPr>
            <w:r>
              <w:rPr>
                <w:sz w:val="17"/>
              </w:rPr>
              <w:t>X</w:t>
            </w:r>
          </w:p>
        </w:tc>
        <w:tc>
          <w:tcPr>
            <w:tcW w:type="dxa" w:w="2376"/>
            <w:tcMar>
              <w:top w:w="80" w:type="dxa"/>
              <w:start w:w="120" w:type="dxa"/>
              <w:bottom w:w="80" w:type="dxa"/>
              <w:end w:w="120" w:type="dxa"/>
            </w:tcMar>
            <w:vAlign w:val="center"/>
          </w:tcPr>
          <w:p>
            <w:pPr>
              <w:spacing w:after="40" w:line="252" w:lineRule="auto"/>
            </w:pPr>
            <w:r>
              <w:rPr>
                <w:sz w:val="17"/>
              </w:rPr>
              <w:t>Regulatory credibility and real-time professional dialogue</w:t>
            </w:r>
          </w:p>
        </w:tc>
        <w:tc>
          <w:tcPr>
            <w:tcW w:type="dxa" w:w="2880"/>
            <w:tcMar>
              <w:top w:w="80" w:type="dxa"/>
              <w:start w:w="120" w:type="dxa"/>
              <w:bottom w:w="80" w:type="dxa"/>
              <w:end w:w="120" w:type="dxa"/>
            </w:tcMar>
            <w:vAlign w:val="center"/>
          </w:tcPr>
          <w:p>
            <w:pPr>
              <w:spacing w:after="40" w:line="252" w:lineRule="auto"/>
            </w:pPr>
            <w:r>
              <w:rPr>
                <w:sz w:val="17"/>
              </w:rPr>
              <w:t>Threads, annotated charts, concise video, source notes</w:t>
            </w:r>
          </w:p>
        </w:tc>
        <w:tc>
          <w:tcPr>
            <w:tcW w:type="dxa" w:w="2664"/>
            <w:tcMar>
              <w:top w:w="80" w:type="dxa"/>
              <w:start w:w="120" w:type="dxa"/>
              <w:bottom w:w="80" w:type="dxa"/>
              <w:end w:w="120" w:type="dxa"/>
            </w:tcMar>
            <w:vAlign w:val="center"/>
          </w:tcPr>
          <w:p>
            <w:pPr>
              <w:spacing w:after="40" w:line="252" w:lineRule="auto"/>
            </w:pPr>
            <w:r>
              <w:rPr>
                <w:sz w:val="17"/>
              </w:rPr>
              <w:t>Engage practitioners around changes and implications</w:t>
            </w:r>
          </w:p>
        </w:tc>
      </w:tr>
      <w:tr>
        <w:trPr>
          <w:cantSplit/>
        </w:trPr>
        <w:tc>
          <w:tcPr>
            <w:tcW w:type="dxa" w:w="1440"/>
            <w:tcMar>
              <w:top w:w="80" w:type="dxa"/>
              <w:start w:w="120" w:type="dxa"/>
              <w:bottom w:w="80" w:type="dxa"/>
              <w:end w:w="120" w:type="dxa"/>
            </w:tcMar>
            <w:vAlign w:val="center"/>
          </w:tcPr>
          <w:p>
            <w:pPr>
              <w:spacing w:after="40" w:line="252" w:lineRule="auto"/>
            </w:pPr>
            <w:r>
              <w:rPr>
                <w:sz w:val="17"/>
              </w:rPr>
              <w:t>LinkedIn</w:t>
            </w:r>
          </w:p>
        </w:tc>
        <w:tc>
          <w:tcPr>
            <w:tcW w:type="dxa" w:w="2376"/>
            <w:tcMar>
              <w:top w:w="80" w:type="dxa"/>
              <w:start w:w="120" w:type="dxa"/>
              <w:bottom w:w="80" w:type="dxa"/>
              <w:end w:w="120" w:type="dxa"/>
            </w:tcMar>
            <w:vAlign w:val="center"/>
          </w:tcPr>
          <w:p>
            <w:pPr>
              <w:spacing w:after="40" w:line="252" w:lineRule="auto"/>
            </w:pPr>
            <w:r>
              <w:rPr>
                <w:sz w:val="17"/>
              </w:rPr>
              <w:t>Enterprise and career distribution</w:t>
            </w:r>
          </w:p>
        </w:tc>
        <w:tc>
          <w:tcPr>
            <w:tcW w:type="dxa" w:w="2880"/>
            <w:tcMar>
              <w:top w:w="80" w:type="dxa"/>
              <w:start w:w="120" w:type="dxa"/>
              <w:bottom w:w="80" w:type="dxa"/>
              <w:end w:w="120" w:type="dxa"/>
            </w:tcMar>
            <w:vAlign w:val="center"/>
          </w:tcPr>
          <w:p>
            <w:pPr>
              <w:spacing w:after="40" w:line="252" w:lineRule="auto"/>
            </w:pPr>
            <w:r>
              <w:rPr>
                <w:sz w:val="17"/>
              </w:rPr>
              <w:t>Native posts/video, documents, founder/SME viewpoints, case studies</w:t>
            </w:r>
          </w:p>
        </w:tc>
        <w:tc>
          <w:tcPr>
            <w:tcW w:type="dxa" w:w="2664"/>
            <w:tcMar>
              <w:top w:w="80" w:type="dxa"/>
              <w:start w:w="120" w:type="dxa"/>
              <w:bottom w:w="80" w:type="dxa"/>
              <w:end w:w="120" w:type="dxa"/>
            </w:tcMar>
            <w:vAlign w:val="center"/>
          </w:tcPr>
          <w:p>
            <w:pPr>
              <w:spacing w:after="40" w:line="252" w:lineRule="auto"/>
            </w:pPr>
            <w:r>
              <w:rPr>
                <w:sz w:val="17"/>
              </w:rPr>
              <w:t>Reach managers, L&amp;D, consultants, universities and buyers</w:t>
            </w:r>
          </w:p>
        </w:tc>
      </w:tr>
      <w:tr>
        <w:trPr>
          <w:cantSplit/>
        </w:trPr>
        <w:tc>
          <w:tcPr>
            <w:tcW w:type="dxa" w:w="1440"/>
            <w:tcMar>
              <w:top w:w="80" w:type="dxa"/>
              <w:start w:w="120" w:type="dxa"/>
              <w:bottom w:w="80" w:type="dxa"/>
              <w:end w:w="120" w:type="dxa"/>
            </w:tcMar>
            <w:vAlign w:val="center"/>
          </w:tcPr>
          <w:p>
            <w:pPr>
              <w:spacing w:after="40" w:line="252" w:lineRule="auto"/>
            </w:pPr>
            <w:r>
              <w:rPr>
                <w:sz w:val="17"/>
              </w:rPr>
              <w:t>Email/newsletter</w:t>
            </w:r>
          </w:p>
        </w:tc>
        <w:tc>
          <w:tcPr>
            <w:tcW w:type="dxa" w:w="2376"/>
            <w:tcMar>
              <w:top w:w="80" w:type="dxa"/>
              <w:start w:w="120" w:type="dxa"/>
              <w:bottom w:w="80" w:type="dxa"/>
              <w:end w:w="120" w:type="dxa"/>
            </w:tcMar>
            <w:vAlign w:val="center"/>
          </w:tcPr>
          <w:p>
            <w:pPr>
              <w:spacing w:after="40" w:line="252" w:lineRule="auto"/>
            </w:pPr>
            <w:r>
              <w:rPr>
                <w:sz w:val="17"/>
              </w:rPr>
              <w:t>Owned relationship and conversion layer</w:t>
            </w:r>
          </w:p>
        </w:tc>
        <w:tc>
          <w:tcPr>
            <w:tcW w:type="dxa" w:w="2880"/>
            <w:tcMar>
              <w:top w:w="80" w:type="dxa"/>
              <w:start w:w="120" w:type="dxa"/>
              <w:bottom w:w="80" w:type="dxa"/>
              <w:end w:w="120" w:type="dxa"/>
            </w:tcMar>
            <w:vAlign w:val="center"/>
          </w:tcPr>
          <w:p>
            <w:pPr>
              <w:spacing w:after="40" w:line="252" w:lineRule="auto"/>
            </w:pPr>
            <w:r>
              <w:rPr>
                <w:sz w:val="17"/>
              </w:rPr>
              <w:t>Weekly rule, lesson digest, product update, event invite</w:t>
            </w:r>
          </w:p>
        </w:tc>
        <w:tc>
          <w:tcPr>
            <w:tcW w:type="dxa" w:w="2664"/>
            <w:tcMar>
              <w:top w:w="80" w:type="dxa"/>
              <w:start w:w="120" w:type="dxa"/>
              <w:bottom w:w="80" w:type="dxa"/>
              <w:end w:w="120" w:type="dxa"/>
            </w:tcMar>
            <w:vAlign w:val="center"/>
          </w:tcPr>
          <w:p>
            <w:pPr>
              <w:spacing w:after="40" w:line="252" w:lineRule="auto"/>
            </w:pPr>
            <w:r>
              <w:rPr>
                <w:sz w:val="17"/>
              </w:rPr>
              <w:t>Nurture by segment and bring users back to the product</w:t>
            </w:r>
          </w:p>
        </w:tc>
      </w:tr>
    </w:tbl>
    <w:p>
      <w:pPr>
        <w:spacing w:after="40"/>
      </w:pPr>
    </w:p>
    <w:p>
      <w:pPr>
        <w:pStyle w:val="Heading2"/>
      </w:pPr>
      <w:r>
        <w:t>Channel execution rules</w:t>
      </w:r>
    </w:p>
    <w:p>
      <w:pPr>
        <w:pStyle w:val="ListBullet"/>
        <w:spacing w:after="80"/>
      </w:pPr>
      <w:r>
        <w:t>Do not mechanically cross-post. Preserve the claim and source packet, but rewrite the hook, pacing, aspect ratio, caption, CTA, and community prompt for each channel.</w:t>
      </w:r>
    </w:p>
    <w:p>
      <w:pPr>
        <w:pStyle w:val="ListBullet"/>
        <w:spacing w:after="80"/>
      </w:pPr>
      <w:r>
        <w:t>YouTube titles solve a query; Instagram openings create immediate visual tension; X leads with the regulatory change or implication; LinkedIn leads with the job, team, or business consequence.</w:t>
      </w:r>
    </w:p>
    <w:p>
      <w:pPr>
        <w:pStyle w:val="ListBullet"/>
        <w:spacing w:after="80"/>
      </w:pPr>
      <w:r>
        <w:t>Use one canonical asset ID across derivatives so analytics can connect every post back to the lesson, source set, experiment, and CTA.</w:t>
      </w:r>
    </w:p>
    <w:p>
      <w:pPr>
        <w:pStyle w:val="ListBullet"/>
        <w:spacing w:after="80"/>
      </w:pPr>
      <w:r>
        <w:t>Maintain a channel-specific platform checklist in configuration because upload limits and recommendation mechanics change over time.</w:t>
      </w:r>
    </w:p>
    <w:p>
      <w:pPr>
        <w:pStyle w:val="Heading1"/>
      </w:pPr>
      <w:r>
        <w:t>4. English and Arabic strategy</w:t>
      </w:r>
    </w:p>
    <w:p>
      <w:r>
        <w:t>Begin with one Financial Pods brand and bilingual playlists/series. Preserve common English abbreviations where practitioners use them, paired with approved Arabic terminology on first mention. Avoid separate brands until Arabic demand, operations, and community volume justify it.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shd w:fill="E8EEF5"/>
            <w:tcMar>
              <w:top w:w="80" w:type="dxa"/>
              <w:start w:w="120" w:type="dxa"/>
              <w:bottom w:w="80" w:type="dxa"/>
              <w:end w:w="120" w:type="dxa"/>
            </w:tcMar>
            <w:vAlign w:val="center"/>
          </w:tcPr>
          <w:p>
            <w:r>
              <w:rPr>
                <w:b/>
                <w:color w:val="0B2545"/>
                <w:sz w:val="18"/>
              </w:rPr>
              <w:t>Phase</w:t>
            </w:r>
          </w:p>
        </w:tc>
        <w:tc>
          <w:tcPr>
            <w:tcW w:type="dxa" w:w="2880"/>
            <w:shd w:fill="E8EEF5"/>
            <w:tcMar>
              <w:top w:w="80" w:type="dxa"/>
              <w:start w:w="120" w:type="dxa"/>
              <w:bottom w:w="80" w:type="dxa"/>
              <w:end w:w="120" w:type="dxa"/>
            </w:tcMar>
            <w:vAlign w:val="center"/>
          </w:tcPr>
          <w:p>
            <w:r>
              <w:rPr>
                <w:b/>
                <w:color w:val="0B2545"/>
                <w:sz w:val="18"/>
              </w:rPr>
              <w:t>English</w:t>
            </w:r>
          </w:p>
        </w:tc>
        <w:tc>
          <w:tcPr>
            <w:tcW w:type="dxa" w:w="2880"/>
            <w:shd w:fill="E8EEF5"/>
            <w:tcMar>
              <w:top w:w="80" w:type="dxa"/>
              <w:start w:w="120" w:type="dxa"/>
              <w:bottom w:w="80" w:type="dxa"/>
              <w:end w:w="120" w:type="dxa"/>
            </w:tcMar>
            <w:vAlign w:val="center"/>
          </w:tcPr>
          <w:p>
            <w:r>
              <w:rPr>
                <w:b/>
                <w:color w:val="0B2545"/>
                <w:sz w:val="18"/>
              </w:rPr>
              <w:t>Arabic</w:t>
            </w:r>
          </w:p>
        </w:tc>
        <w:tc>
          <w:tcPr>
            <w:tcW w:type="dxa" w:w="2160"/>
            <w:shd w:fill="E8EEF5"/>
            <w:tcMar>
              <w:top w:w="80" w:type="dxa"/>
              <w:start w:w="120" w:type="dxa"/>
              <w:bottom w:w="80" w:type="dxa"/>
              <w:end w:w="120" w:type="dxa"/>
            </w:tcMar>
            <w:vAlign w:val="center"/>
          </w:tcPr>
          <w:p>
            <w:r>
              <w:rPr>
                <w:b/>
                <w:color w:val="0B2545"/>
                <w:sz w:val="18"/>
              </w:rPr>
              <w:t>Gate</w:t>
            </w:r>
          </w:p>
        </w:tc>
      </w:tr>
      <w:tr>
        <w:trPr>
          <w:cantSplit/>
        </w:trPr>
        <w:tc>
          <w:tcPr>
            <w:tcW w:type="dxa" w:w="1440"/>
            <w:tcMar>
              <w:top w:w="80" w:type="dxa"/>
              <w:start w:w="120" w:type="dxa"/>
              <w:bottom w:w="80" w:type="dxa"/>
              <w:end w:w="120" w:type="dxa"/>
            </w:tcMar>
            <w:vAlign w:val="center"/>
          </w:tcPr>
          <w:p>
            <w:pPr>
              <w:spacing w:after="40" w:line="252" w:lineRule="auto"/>
            </w:pPr>
            <w:r>
              <w:rPr>
                <w:sz w:val="18"/>
              </w:rPr>
              <w:t>0–30 days</w:t>
            </w:r>
          </w:p>
        </w:tc>
        <w:tc>
          <w:tcPr>
            <w:tcW w:type="dxa" w:w="2880"/>
            <w:tcMar>
              <w:top w:w="80" w:type="dxa"/>
              <w:start w:w="120" w:type="dxa"/>
              <w:bottom w:w="80" w:type="dxa"/>
              <w:end w:w="120" w:type="dxa"/>
            </w:tcMar>
            <w:vAlign w:val="center"/>
          </w:tcPr>
          <w:p>
            <w:pPr>
              <w:spacing w:after="40" w:line="252" w:lineRule="auto"/>
            </w:pPr>
            <w:r>
              <w:rPr>
                <w:sz w:val="18"/>
              </w:rPr>
              <w:t>Primary narration; Arabic subtitles on priority assets</w:t>
            </w:r>
          </w:p>
        </w:tc>
        <w:tc>
          <w:tcPr>
            <w:tcW w:type="dxa" w:w="2880"/>
            <w:tcMar>
              <w:top w:w="80" w:type="dxa"/>
              <w:start w:w="120" w:type="dxa"/>
              <w:bottom w:w="80" w:type="dxa"/>
              <w:end w:w="120" w:type="dxa"/>
            </w:tcMar>
            <w:vAlign w:val="center"/>
          </w:tcPr>
          <w:p>
            <w:pPr>
              <w:spacing w:after="40" w:line="252" w:lineRule="auto"/>
            </w:pPr>
            <w:r>
              <w:rPr>
                <w:sz w:val="18"/>
              </w:rPr>
              <w:t>Terminology QA and 2–4 native tests</w:t>
            </w:r>
          </w:p>
        </w:tc>
        <w:tc>
          <w:tcPr>
            <w:tcW w:type="dxa" w:w="2160"/>
            <w:tcMar>
              <w:top w:w="80" w:type="dxa"/>
              <w:start w:w="120" w:type="dxa"/>
              <w:bottom w:w="80" w:type="dxa"/>
              <w:end w:w="120" w:type="dxa"/>
            </w:tcMar>
            <w:vAlign w:val="center"/>
          </w:tcPr>
          <w:p>
            <w:pPr>
              <w:spacing w:after="40" w:line="252" w:lineRule="auto"/>
            </w:pPr>
            <w:r>
              <w:rPr>
                <w:sz w:val="18"/>
              </w:rPr>
              <w:t>Subtitle accuracy; demand signals</w:t>
            </w:r>
          </w:p>
        </w:tc>
      </w:tr>
      <w:tr>
        <w:trPr>
          <w:cantSplit/>
        </w:trPr>
        <w:tc>
          <w:tcPr>
            <w:tcW w:type="dxa" w:w="1440"/>
            <w:tcMar>
              <w:top w:w="80" w:type="dxa"/>
              <w:start w:w="120" w:type="dxa"/>
              <w:bottom w:w="80" w:type="dxa"/>
              <w:end w:w="120" w:type="dxa"/>
            </w:tcMar>
            <w:vAlign w:val="center"/>
          </w:tcPr>
          <w:p>
            <w:pPr>
              <w:spacing w:after="40" w:line="252" w:lineRule="auto"/>
            </w:pPr>
            <w:r>
              <w:rPr>
                <w:sz w:val="18"/>
              </w:rPr>
              <w:t>31–60 days</w:t>
            </w:r>
          </w:p>
        </w:tc>
        <w:tc>
          <w:tcPr>
            <w:tcW w:type="dxa" w:w="2880"/>
            <w:tcMar>
              <w:top w:w="80" w:type="dxa"/>
              <w:start w:w="120" w:type="dxa"/>
              <w:bottom w:w="80" w:type="dxa"/>
              <w:end w:w="120" w:type="dxa"/>
            </w:tcMar>
            <w:vAlign w:val="center"/>
          </w:tcPr>
          <w:p>
            <w:pPr>
              <w:spacing w:after="40" w:line="252" w:lineRule="auto"/>
            </w:pPr>
            <w:r>
              <w:rPr>
                <w:sz w:val="18"/>
              </w:rPr>
              <w:t>Continue winning formats</w:t>
            </w:r>
          </w:p>
        </w:tc>
        <w:tc>
          <w:tcPr>
            <w:tcW w:type="dxa" w:w="2880"/>
            <w:tcMar>
              <w:top w:w="80" w:type="dxa"/>
              <w:start w:w="120" w:type="dxa"/>
              <w:bottom w:w="80" w:type="dxa"/>
              <w:end w:w="120" w:type="dxa"/>
            </w:tcMar>
            <w:vAlign w:val="center"/>
          </w:tcPr>
          <w:p>
            <w:pPr>
              <w:spacing w:after="40" w:line="252" w:lineRule="auto"/>
            </w:pPr>
            <w:r>
              <w:rPr>
                <w:sz w:val="18"/>
              </w:rPr>
              <w:t>Native Arabic Shorts/Reels for SAMA and foundations</w:t>
            </w:r>
          </w:p>
        </w:tc>
        <w:tc>
          <w:tcPr>
            <w:tcW w:type="dxa" w:w="2160"/>
            <w:tcMar>
              <w:top w:w="80" w:type="dxa"/>
              <w:start w:w="120" w:type="dxa"/>
              <w:bottom w:w="80" w:type="dxa"/>
              <w:end w:w="120" w:type="dxa"/>
            </w:tcMar>
            <w:vAlign w:val="center"/>
          </w:tcPr>
          <w:p>
            <w:pPr>
              <w:spacing w:after="40" w:line="252" w:lineRule="auto"/>
            </w:pPr>
            <w:r>
              <w:rPr>
                <w:sz w:val="18"/>
              </w:rPr>
              <w:t>Completion and save rate versus English cohorts</w:t>
            </w:r>
          </w:p>
        </w:tc>
      </w:tr>
      <w:tr>
        <w:trPr>
          <w:cantSplit/>
        </w:trPr>
        <w:tc>
          <w:tcPr>
            <w:tcW w:type="dxa" w:w="1440"/>
            <w:tcMar>
              <w:top w:w="80" w:type="dxa"/>
              <w:start w:w="120" w:type="dxa"/>
              <w:bottom w:w="80" w:type="dxa"/>
              <w:end w:w="120" w:type="dxa"/>
            </w:tcMar>
            <w:vAlign w:val="center"/>
          </w:tcPr>
          <w:p>
            <w:pPr>
              <w:spacing w:after="40" w:line="252" w:lineRule="auto"/>
            </w:pPr>
            <w:r>
              <w:rPr>
                <w:sz w:val="18"/>
              </w:rPr>
              <w:t>61–90 days</w:t>
            </w:r>
          </w:p>
        </w:tc>
        <w:tc>
          <w:tcPr>
            <w:tcW w:type="dxa" w:w="2880"/>
            <w:tcMar>
              <w:top w:w="80" w:type="dxa"/>
              <w:start w:w="120" w:type="dxa"/>
              <w:bottom w:w="80" w:type="dxa"/>
              <w:end w:w="120" w:type="dxa"/>
            </w:tcMar>
            <w:vAlign w:val="center"/>
          </w:tcPr>
          <w:p>
            <w:pPr>
              <w:spacing w:after="40" w:line="252" w:lineRule="auto"/>
            </w:pPr>
            <w:r>
              <w:rPr>
                <w:sz w:val="18"/>
              </w:rPr>
              <w:t>Long-form winners and jurisdiction content</w:t>
            </w:r>
          </w:p>
        </w:tc>
        <w:tc>
          <w:tcPr>
            <w:tcW w:type="dxa" w:w="2880"/>
            <w:tcMar>
              <w:top w:w="80" w:type="dxa"/>
              <w:start w:w="120" w:type="dxa"/>
              <w:bottom w:w="80" w:type="dxa"/>
              <w:end w:w="120" w:type="dxa"/>
            </w:tcMar>
            <w:vAlign w:val="center"/>
          </w:tcPr>
          <w:p>
            <w:pPr>
              <w:spacing w:after="40" w:line="252" w:lineRule="auto"/>
            </w:pPr>
            <w:r>
              <w:rPr>
                <w:sz w:val="18"/>
              </w:rPr>
              <w:t>At least one native Arabic deep lesson/pilot</w:t>
            </w:r>
          </w:p>
        </w:tc>
        <w:tc>
          <w:tcPr>
            <w:tcW w:type="dxa" w:w="2160"/>
            <w:tcMar>
              <w:top w:w="80" w:type="dxa"/>
              <w:start w:w="120" w:type="dxa"/>
              <w:bottom w:w="80" w:type="dxa"/>
              <w:end w:w="120" w:type="dxa"/>
            </w:tcMar>
            <w:vAlign w:val="center"/>
          </w:tcPr>
          <w:p>
            <w:pPr>
              <w:spacing w:after="40" w:line="252" w:lineRule="auto"/>
            </w:pPr>
            <w:r>
              <w:rPr>
                <w:sz w:val="18"/>
              </w:rPr>
              <w:t>Qualified registrations and retention</w:t>
            </w:r>
          </w:p>
        </w:tc>
      </w:tr>
      <w:tr>
        <w:trPr>
          <w:cantSplit/>
        </w:trPr>
        <w:tc>
          <w:tcPr>
            <w:tcW w:type="dxa" w:w="1440"/>
            <w:tcMar>
              <w:top w:w="80" w:type="dxa"/>
              <w:start w:w="120" w:type="dxa"/>
              <w:bottom w:w="80" w:type="dxa"/>
              <w:end w:w="120" w:type="dxa"/>
            </w:tcMar>
            <w:vAlign w:val="center"/>
          </w:tcPr>
          <w:p>
            <w:pPr>
              <w:spacing w:after="40" w:line="252" w:lineRule="auto"/>
            </w:pPr>
            <w:r>
              <w:rPr>
                <w:sz w:val="18"/>
              </w:rPr>
              <w:t>Scale</w:t>
            </w:r>
          </w:p>
        </w:tc>
        <w:tc>
          <w:tcPr>
            <w:tcW w:type="dxa" w:w="2880"/>
            <w:tcMar>
              <w:top w:w="80" w:type="dxa"/>
              <w:start w:w="120" w:type="dxa"/>
              <w:bottom w:w="80" w:type="dxa"/>
              <w:end w:w="120" w:type="dxa"/>
            </w:tcMar>
            <w:vAlign w:val="center"/>
          </w:tcPr>
          <w:p>
            <w:pPr>
              <w:spacing w:after="40" w:line="252" w:lineRule="auto"/>
            </w:pPr>
            <w:r>
              <w:rPr>
                <w:sz w:val="18"/>
              </w:rPr>
              <w:t>Shared lesson source; localized hooks/examples</w:t>
            </w:r>
          </w:p>
        </w:tc>
        <w:tc>
          <w:tcPr>
            <w:tcW w:type="dxa" w:w="2880"/>
            <w:tcMar>
              <w:top w:w="80" w:type="dxa"/>
              <w:start w:w="120" w:type="dxa"/>
              <w:bottom w:w="80" w:type="dxa"/>
              <w:end w:w="120" w:type="dxa"/>
            </w:tcMar>
            <w:vAlign w:val="center"/>
          </w:tcPr>
          <w:p>
            <w:pPr>
              <w:spacing w:after="40" w:line="252" w:lineRule="auto"/>
            </w:pPr>
            <w:r>
              <w:rPr>
                <w:sz w:val="18"/>
              </w:rPr>
              <w:t>Dedicated cadence or channel if justified</w:t>
            </w:r>
          </w:p>
        </w:tc>
        <w:tc>
          <w:tcPr>
            <w:tcW w:type="dxa" w:w="2160"/>
            <w:tcMar>
              <w:top w:w="80" w:type="dxa"/>
              <w:start w:w="120" w:type="dxa"/>
              <w:bottom w:w="80" w:type="dxa"/>
              <w:end w:w="120" w:type="dxa"/>
            </w:tcMar>
            <w:vAlign w:val="center"/>
          </w:tcPr>
          <w:p>
            <w:pPr>
              <w:spacing w:after="40" w:line="252" w:lineRule="auto"/>
            </w:pPr>
            <w:r>
              <w:rPr>
                <w:sz w:val="18"/>
              </w:rPr>
              <w:t>Sustainable reviewer and community capacity</w:t>
            </w:r>
          </w:p>
        </w:tc>
      </w:tr>
    </w:tbl>
    <w:p>
      <w:pPr>
        <w:spacing w:after="40"/>
      </w:pPr>
    </w:p>
    <w:p>
      <w:pPr>
        <w:pStyle w:val="Heading2"/>
      </w:pPr>
      <w:r>
        <w:t>Localization workflow</w:t>
      </w:r>
    </w:p>
    <w:p>
      <w:pPr>
        <w:pStyle w:val="ListNumber"/>
        <w:numPr>
          <w:numId w:val="10"/>
        </w:numPr>
        <w:spacing w:after="100"/>
      </w:pPr>
      <w:r>
        <w:t>Lock the canonical English concept, calculation, source status, and glossary terms.</w:t>
      </w:r>
    </w:p>
    <w:p>
      <w:pPr>
        <w:pStyle w:val="ListNumber"/>
        <w:numPr>
          <w:numId w:val="10"/>
        </w:numPr>
        <w:spacing w:after="100"/>
      </w:pPr>
      <w:r>
        <w:t>Create an Arabic adaptation brief specifying audience, dialect/register, terms that remain in English, and on-screen reading constraints.</w:t>
      </w:r>
    </w:p>
    <w:p>
      <w:pPr>
        <w:pStyle w:val="ListNumber"/>
        <w:numPr>
          <w:numId w:val="10"/>
        </w:numPr>
        <w:spacing w:after="100"/>
      </w:pPr>
      <w:r>
        <w:t>Translate for meaning and professional usage; do not translate citations, rule identifiers, or numeric assumptions loosely.</w:t>
      </w:r>
    </w:p>
    <w:p>
      <w:pPr>
        <w:pStyle w:val="ListNumber"/>
        <w:numPr>
          <w:numId w:val="10"/>
        </w:numPr>
        <w:spacing w:after="100"/>
      </w:pPr>
      <w:r>
        <w:t>Run bilingual regulatory SME review, pronunciation review, subtitle timing QA, and right-to-left visual QA.</w:t>
      </w:r>
    </w:p>
    <w:p>
      <w:pPr>
        <w:pStyle w:val="ListNumber"/>
        <w:numPr>
          <w:numId w:val="10"/>
        </w:numPr>
        <w:spacing w:after="100"/>
      </w:pPr>
      <w:r>
        <w:t>Publish with language-specific metadata and track cohorts separately while preserving the shared canonical asset ID.</w:t>
      </w:r>
    </w:p>
    <w:p>
      <w:pPr>
        <w:pStyle w:val="Heading1"/>
      </w:pPr>
      <w:r>
        <w:t>5. Recurring content franchises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088"/>
            <w:shd w:fill="E8EEF5"/>
            <w:tcMar>
              <w:top w:w="80" w:type="dxa"/>
              <w:start w:w="120" w:type="dxa"/>
              <w:bottom w:w="80" w:type="dxa"/>
              <w:end w:w="120" w:type="dxa"/>
            </w:tcMar>
            <w:vAlign w:val="center"/>
          </w:tcPr>
          <w:p>
            <w:r>
              <w:rPr>
                <w:b/>
                <w:color w:val="0B2545"/>
                <w:sz w:val="17"/>
              </w:rPr>
              <w:t>Franchise</w:t>
            </w:r>
          </w:p>
        </w:tc>
        <w:tc>
          <w:tcPr>
            <w:tcW w:type="dxa" w:w="2952"/>
            <w:shd w:fill="E8EEF5"/>
            <w:tcMar>
              <w:top w:w="80" w:type="dxa"/>
              <w:start w:w="120" w:type="dxa"/>
              <w:bottom w:w="80" w:type="dxa"/>
              <w:end w:w="120" w:type="dxa"/>
            </w:tcMar>
            <w:vAlign w:val="center"/>
          </w:tcPr>
          <w:p>
            <w:r>
              <w:rPr>
                <w:b/>
                <w:color w:val="0B2545"/>
                <w:sz w:val="17"/>
              </w:rPr>
              <w:t>Promise</w:t>
            </w:r>
          </w:p>
        </w:tc>
        <w:tc>
          <w:tcPr>
            <w:tcW w:type="dxa" w:w="2016"/>
            <w:shd w:fill="E8EEF5"/>
            <w:tcMar>
              <w:top w:w="80" w:type="dxa"/>
              <w:start w:w="120" w:type="dxa"/>
              <w:bottom w:w="80" w:type="dxa"/>
              <w:end w:w="120" w:type="dxa"/>
            </w:tcMar>
            <w:vAlign w:val="center"/>
          </w:tcPr>
          <w:p>
            <w:r>
              <w:rPr>
                <w:b/>
                <w:color w:val="0B2545"/>
                <w:sz w:val="17"/>
              </w:rPr>
              <w:t>Typical format</w:t>
            </w:r>
          </w:p>
        </w:tc>
        <w:tc>
          <w:tcPr>
            <w:tcW w:type="dxa" w:w="2304"/>
            <w:shd w:fill="E8EEF5"/>
            <w:tcMar>
              <w:top w:w="80" w:type="dxa"/>
              <w:start w:w="120" w:type="dxa"/>
              <w:bottom w:w="80" w:type="dxa"/>
              <w:end w:w="120" w:type="dxa"/>
            </w:tcMar>
            <w:vAlign w:val="center"/>
          </w:tcPr>
          <w:p>
            <w:r>
              <w:rPr>
                <w:b/>
                <w:color w:val="0B2545"/>
                <w:sz w:val="17"/>
              </w:rPr>
              <w:t>Product bridge</w:t>
            </w:r>
          </w:p>
        </w:tc>
      </w:tr>
      <w:tr>
        <w:trPr>
          <w:cantSplit/>
        </w:trPr>
        <w:tc>
          <w:tcPr>
            <w:tcW w:type="dxa" w:w="2088"/>
            <w:tcMar>
              <w:top w:w="80" w:type="dxa"/>
              <w:start w:w="120" w:type="dxa"/>
              <w:bottom w:w="80" w:type="dxa"/>
              <w:end w:w="120" w:type="dxa"/>
            </w:tcMar>
            <w:vAlign w:val="center"/>
          </w:tcPr>
          <w:p>
            <w:pPr>
              <w:spacing w:after="40" w:line="252" w:lineRule="auto"/>
            </w:pPr>
            <w:r>
              <w:rPr>
                <w:sz w:val="17"/>
              </w:rPr>
              <w:t>60 Seconds of Basel</w:t>
            </w:r>
          </w:p>
        </w:tc>
        <w:tc>
          <w:tcPr>
            <w:tcW w:type="dxa" w:w="2952"/>
            <w:tcMar>
              <w:top w:w="80" w:type="dxa"/>
              <w:start w:w="120" w:type="dxa"/>
              <w:bottom w:w="80" w:type="dxa"/>
              <w:end w:w="120" w:type="dxa"/>
            </w:tcMar>
            <w:vAlign w:val="center"/>
          </w:tcPr>
          <w:p>
            <w:pPr>
              <w:spacing w:after="40" w:line="252" w:lineRule="auto"/>
            </w:pPr>
            <w:r>
              <w:rPr>
                <w:sz w:val="17"/>
              </w:rPr>
              <w:t>One foundational concept made usable</w:t>
            </w:r>
          </w:p>
        </w:tc>
        <w:tc>
          <w:tcPr>
            <w:tcW w:type="dxa" w:w="2016"/>
            <w:tcMar>
              <w:top w:w="80" w:type="dxa"/>
              <w:start w:w="120" w:type="dxa"/>
              <w:bottom w:w="80" w:type="dxa"/>
              <w:end w:w="120" w:type="dxa"/>
            </w:tcMar>
            <w:vAlign w:val="center"/>
          </w:tcPr>
          <w:p>
            <w:pPr>
              <w:spacing w:after="40" w:line="252" w:lineRule="auto"/>
            </w:pPr>
            <w:r>
              <w:rPr>
                <w:sz w:val="17"/>
              </w:rPr>
              <w:t>30–75 sec vertical</w:t>
            </w:r>
          </w:p>
        </w:tc>
        <w:tc>
          <w:tcPr>
            <w:tcW w:type="dxa" w:w="2304"/>
            <w:tcMar>
              <w:top w:w="80" w:type="dxa"/>
              <w:start w:w="120" w:type="dxa"/>
              <w:bottom w:w="80" w:type="dxa"/>
              <w:end w:w="120" w:type="dxa"/>
            </w:tcMar>
            <w:vAlign w:val="center"/>
          </w:tcPr>
          <w:p>
            <w:pPr>
              <w:spacing w:after="40" w:line="252" w:lineRule="auto"/>
            </w:pPr>
            <w:r>
              <w:rPr>
                <w:sz w:val="17"/>
              </w:rPr>
              <w:t>Free Foundations lesson or glossary interaction</w:t>
            </w:r>
          </w:p>
        </w:tc>
      </w:tr>
      <w:tr>
        <w:trPr>
          <w:cantSplit/>
        </w:trPr>
        <w:tc>
          <w:tcPr>
            <w:tcW w:type="dxa" w:w="2088"/>
            <w:tcMar>
              <w:top w:w="80" w:type="dxa"/>
              <w:start w:w="120" w:type="dxa"/>
              <w:bottom w:w="80" w:type="dxa"/>
              <w:end w:w="120" w:type="dxa"/>
            </w:tcMar>
            <w:vAlign w:val="center"/>
          </w:tcPr>
          <w:p>
            <w:pPr>
              <w:spacing w:after="40" w:line="252" w:lineRule="auto"/>
            </w:pPr>
            <w:r>
              <w:rPr>
                <w:sz w:val="17"/>
              </w:rPr>
              <w:t>Basel Challenge</w:t>
            </w:r>
          </w:p>
        </w:tc>
        <w:tc>
          <w:tcPr>
            <w:tcW w:type="dxa" w:w="2952"/>
            <w:tcMar>
              <w:top w:w="80" w:type="dxa"/>
              <w:start w:w="120" w:type="dxa"/>
              <w:bottom w:w="80" w:type="dxa"/>
              <w:end w:w="120" w:type="dxa"/>
            </w:tcMar>
            <w:vAlign w:val="center"/>
          </w:tcPr>
          <w:p>
            <w:pPr>
              <w:spacing w:after="40" w:line="252" w:lineRule="auto"/>
            </w:pPr>
            <w:r>
              <w:rPr>
                <w:sz w:val="17"/>
              </w:rPr>
              <w:t>Solve before the explanation</w:t>
            </w:r>
          </w:p>
        </w:tc>
        <w:tc>
          <w:tcPr>
            <w:tcW w:type="dxa" w:w="2016"/>
            <w:tcMar>
              <w:top w:w="80" w:type="dxa"/>
              <w:start w:w="120" w:type="dxa"/>
              <w:bottom w:w="80" w:type="dxa"/>
              <w:end w:w="120" w:type="dxa"/>
            </w:tcMar>
            <w:vAlign w:val="center"/>
          </w:tcPr>
          <w:p>
            <w:pPr>
              <w:spacing w:after="40" w:line="252" w:lineRule="auto"/>
            </w:pPr>
            <w:r>
              <w:rPr>
                <w:sz w:val="17"/>
              </w:rPr>
              <w:t>45–90 sec video/poll</w:t>
            </w:r>
          </w:p>
        </w:tc>
        <w:tc>
          <w:tcPr>
            <w:tcW w:type="dxa" w:w="2304"/>
            <w:tcMar>
              <w:top w:w="80" w:type="dxa"/>
              <w:start w:w="120" w:type="dxa"/>
              <w:bottom w:w="80" w:type="dxa"/>
              <w:end w:w="120" w:type="dxa"/>
            </w:tcMar>
            <w:vAlign w:val="center"/>
          </w:tcPr>
          <w:p>
            <w:pPr>
              <w:spacing w:after="40" w:line="252" w:lineRule="auto"/>
            </w:pPr>
            <w:r>
              <w:rPr>
                <w:sz w:val="17"/>
              </w:rPr>
              <w:t>Interactive assessment or calculator</w:t>
            </w:r>
          </w:p>
        </w:tc>
      </w:tr>
      <w:tr>
        <w:trPr>
          <w:cantSplit/>
        </w:trPr>
        <w:tc>
          <w:tcPr>
            <w:tcW w:type="dxa" w:w="2088"/>
            <w:tcMar>
              <w:top w:w="80" w:type="dxa"/>
              <w:start w:w="120" w:type="dxa"/>
              <w:bottom w:w="80" w:type="dxa"/>
              <w:end w:w="120" w:type="dxa"/>
            </w:tcMar>
            <w:vAlign w:val="center"/>
          </w:tcPr>
          <w:p>
            <w:pPr>
              <w:spacing w:after="40" w:line="252" w:lineRule="auto"/>
            </w:pPr>
            <w:r>
              <w:rPr>
                <w:sz w:val="17"/>
              </w:rPr>
              <w:t>Same Loan, Different Country</w:t>
            </w:r>
          </w:p>
        </w:tc>
        <w:tc>
          <w:tcPr>
            <w:tcW w:type="dxa" w:w="2952"/>
            <w:tcMar>
              <w:top w:w="80" w:type="dxa"/>
              <w:start w:w="120" w:type="dxa"/>
              <w:bottom w:w="80" w:type="dxa"/>
              <w:end w:w="120" w:type="dxa"/>
            </w:tcMar>
            <w:vAlign w:val="center"/>
          </w:tcPr>
          <w:p>
            <w:pPr>
              <w:spacing w:after="40" w:line="252" w:lineRule="auto"/>
            </w:pPr>
            <w:r>
              <w:rPr>
                <w:sz w:val="17"/>
              </w:rPr>
              <w:t>Hold the exposure constant; compare jurisdiction treatment</w:t>
            </w:r>
          </w:p>
        </w:tc>
        <w:tc>
          <w:tcPr>
            <w:tcW w:type="dxa" w:w="2016"/>
            <w:tcMar>
              <w:top w:w="80" w:type="dxa"/>
              <w:start w:w="120" w:type="dxa"/>
              <w:bottom w:w="80" w:type="dxa"/>
              <w:end w:w="120" w:type="dxa"/>
            </w:tcMar>
            <w:vAlign w:val="center"/>
          </w:tcPr>
          <w:p>
            <w:pPr>
              <w:spacing w:after="40" w:line="252" w:lineRule="auto"/>
            </w:pPr>
            <w:r>
              <w:rPr>
                <w:sz w:val="17"/>
              </w:rPr>
              <w:t>Carousel, thread, 6–12 min video</w:t>
            </w:r>
          </w:p>
        </w:tc>
        <w:tc>
          <w:tcPr>
            <w:tcW w:type="dxa" w:w="2304"/>
            <w:tcMar>
              <w:top w:w="80" w:type="dxa"/>
              <w:start w:w="120" w:type="dxa"/>
              <w:bottom w:w="80" w:type="dxa"/>
              <w:end w:w="120" w:type="dxa"/>
            </w:tcMar>
            <w:vAlign w:val="center"/>
          </w:tcPr>
          <w:p>
            <w:pPr>
              <w:spacing w:after="40" w:line="252" w:lineRule="auto"/>
            </w:pPr>
            <w:r>
              <w:rPr>
                <w:sz w:val="17"/>
              </w:rPr>
              <w:t>Jurisdiction comparison inside Golden Lesson</w:t>
            </w:r>
          </w:p>
        </w:tc>
      </w:tr>
      <w:tr>
        <w:trPr>
          <w:cantSplit/>
        </w:trPr>
        <w:tc>
          <w:tcPr>
            <w:tcW w:type="dxa" w:w="2088"/>
            <w:tcMar>
              <w:top w:w="80" w:type="dxa"/>
              <w:start w:w="120" w:type="dxa"/>
              <w:bottom w:w="80" w:type="dxa"/>
              <w:end w:w="120" w:type="dxa"/>
            </w:tcMar>
            <w:vAlign w:val="center"/>
          </w:tcPr>
          <w:p>
            <w:pPr>
              <w:spacing w:after="40" w:line="252" w:lineRule="auto"/>
            </w:pPr>
            <w:r>
              <w:rPr>
                <w:sz w:val="17"/>
              </w:rPr>
              <w:t>Regulation Changed</w:t>
            </w:r>
          </w:p>
        </w:tc>
        <w:tc>
          <w:tcPr>
            <w:tcW w:type="dxa" w:w="2952"/>
            <w:tcMar>
              <w:top w:w="80" w:type="dxa"/>
              <w:start w:w="120" w:type="dxa"/>
              <w:bottom w:w="80" w:type="dxa"/>
              <w:end w:w="120" w:type="dxa"/>
            </w:tcMar>
            <w:vAlign w:val="center"/>
          </w:tcPr>
          <w:p>
            <w:pPr>
              <w:spacing w:after="40" w:line="252" w:lineRule="auto"/>
            </w:pPr>
            <w:r>
              <w:rPr>
                <w:sz w:val="17"/>
              </w:rPr>
              <w:t>What changed, status, affected audience, and next action</w:t>
            </w:r>
          </w:p>
        </w:tc>
        <w:tc>
          <w:tcPr>
            <w:tcW w:type="dxa" w:w="2016"/>
            <w:tcMar>
              <w:top w:w="80" w:type="dxa"/>
              <w:start w:w="120" w:type="dxa"/>
              <w:bottom w:w="80" w:type="dxa"/>
              <w:end w:w="120" w:type="dxa"/>
            </w:tcMar>
            <w:vAlign w:val="center"/>
          </w:tcPr>
          <w:p>
            <w:pPr>
              <w:spacing w:after="40" w:line="252" w:lineRule="auto"/>
            </w:pPr>
            <w:r>
              <w:rPr>
                <w:sz w:val="17"/>
              </w:rPr>
              <w:t>X/LinkedIn thread + video</w:t>
            </w:r>
          </w:p>
        </w:tc>
        <w:tc>
          <w:tcPr>
            <w:tcW w:type="dxa" w:w="2304"/>
            <w:tcMar>
              <w:top w:w="80" w:type="dxa"/>
              <w:start w:w="120" w:type="dxa"/>
              <w:bottom w:w="80" w:type="dxa"/>
              <w:end w:w="120" w:type="dxa"/>
            </w:tcMar>
            <w:vAlign w:val="center"/>
          </w:tcPr>
          <w:p>
            <w:pPr>
              <w:spacing w:after="40" w:line="252" w:lineRule="auto"/>
            </w:pPr>
            <w:r>
              <w:rPr>
                <w:sz w:val="17"/>
              </w:rPr>
              <w:t>Versioned update briefing / alert signup</w:t>
            </w:r>
          </w:p>
        </w:tc>
      </w:tr>
      <w:tr>
        <w:trPr>
          <w:cantSplit/>
        </w:trPr>
        <w:tc>
          <w:tcPr>
            <w:tcW w:type="dxa" w:w="2088"/>
            <w:tcMar>
              <w:top w:w="80" w:type="dxa"/>
              <w:start w:w="120" w:type="dxa"/>
              <w:bottom w:w="80" w:type="dxa"/>
              <w:end w:w="120" w:type="dxa"/>
            </w:tcMar>
            <w:vAlign w:val="center"/>
          </w:tcPr>
          <w:p>
            <w:pPr>
              <w:spacing w:after="40" w:line="252" w:lineRule="auto"/>
            </w:pPr>
            <w:r>
              <w:rPr>
                <w:sz w:val="17"/>
              </w:rPr>
              <w:t>Inside FinBank</w:t>
            </w:r>
          </w:p>
        </w:tc>
        <w:tc>
          <w:tcPr>
            <w:tcW w:type="dxa" w:w="2952"/>
            <w:tcMar>
              <w:top w:w="80" w:type="dxa"/>
              <w:start w:w="120" w:type="dxa"/>
              <w:bottom w:w="80" w:type="dxa"/>
              <w:end w:w="120" w:type="dxa"/>
            </w:tcMar>
            <w:vAlign w:val="center"/>
          </w:tcPr>
          <w:p>
            <w:pPr>
              <w:spacing w:after="40" w:line="252" w:lineRule="auto"/>
            </w:pPr>
            <w:r>
              <w:rPr>
                <w:sz w:val="17"/>
              </w:rPr>
              <w:t>Follow a realistic item through bank functions</w:t>
            </w:r>
          </w:p>
        </w:tc>
        <w:tc>
          <w:tcPr>
            <w:tcW w:type="dxa" w:w="2016"/>
            <w:tcMar>
              <w:top w:w="80" w:type="dxa"/>
              <w:start w:w="120" w:type="dxa"/>
              <w:bottom w:w="80" w:type="dxa"/>
              <w:end w:w="120" w:type="dxa"/>
            </w:tcMar>
            <w:vAlign w:val="center"/>
          </w:tcPr>
          <w:p>
            <w:pPr>
              <w:spacing w:after="40" w:line="252" w:lineRule="auto"/>
            </w:pPr>
            <w:r>
              <w:rPr>
                <w:sz w:val="17"/>
              </w:rPr>
              <w:t>Animated workflow / deep video</w:t>
            </w:r>
          </w:p>
        </w:tc>
        <w:tc>
          <w:tcPr>
            <w:tcW w:type="dxa" w:w="2304"/>
            <w:tcMar>
              <w:top w:w="80" w:type="dxa"/>
              <w:start w:w="120" w:type="dxa"/>
              <w:bottom w:w="80" w:type="dxa"/>
              <w:end w:w="120" w:type="dxa"/>
            </w:tcMar>
            <w:vAlign w:val="center"/>
          </w:tcPr>
          <w:p>
            <w:pPr>
              <w:spacing w:after="40" w:line="252" w:lineRule="auto"/>
            </w:pPr>
            <w:r>
              <w:rPr>
                <w:sz w:val="17"/>
              </w:rPr>
              <w:t>FinBank scenario and simulation</w:t>
            </w:r>
          </w:p>
        </w:tc>
      </w:tr>
      <w:tr>
        <w:trPr>
          <w:cantSplit/>
        </w:trPr>
        <w:tc>
          <w:tcPr>
            <w:tcW w:type="dxa" w:w="2088"/>
            <w:tcMar>
              <w:top w:w="80" w:type="dxa"/>
              <w:start w:w="120" w:type="dxa"/>
              <w:bottom w:w="80" w:type="dxa"/>
              <w:end w:w="120" w:type="dxa"/>
            </w:tcMar>
            <w:vAlign w:val="center"/>
          </w:tcPr>
          <w:p>
            <w:pPr>
              <w:spacing w:after="40" w:line="252" w:lineRule="auto"/>
            </w:pPr>
            <w:r>
              <w:rPr>
                <w:sz w:val="17"/>
              </w:rPr>
              <w:t>Banking Career</w:t>
            </w:r>
          </w:p>
        </w:tc>
        <w:tc>
          <w:tcPr>
            <w:tcW w:type="dxa" w:w="2952"/>
            <w:tcMar>
              <w:top w:w="80" w:type="dxa"/>
              <w:start w:w="120" w:type="dxa"/>
              <w:bottom w:w="80" w:type="dxa"/>
              <w:end w:w="120" w:type="dxa"/>
            </w:tcMar>
            <w:vAlign w:val="center"/>
          </w:tcPr>
          <w:p>
            <w:pPr>
              <w:spacing w:after="40" w:line="252" w:lineRule="auto"/>
            </w:pPr>
            <w:r>
              <w:rPr>
                <w:sz w:val="17"/>
              </w:rPr>
              <w:t>Roles, workflows, interviews and skill evidence</w:t>
            </w:r>
          </w:p>
        </w:tc>
        <w:tc>
          <w:tcPr>
            <w:tcW w:type="dxa" w:w="2016"/>
            <w:tcMar>
              <w:top w:w="80" w:type="dxa"/>
              <w:start w:w="120" w:type="dxa"/>
              <w:bottom w:w="80" w:type="dxa"/>
              <w:end w:w="120" w:type="dxa"/>
            </w:tcMar>
            <w:vAlign w:val="center"/>
          </w:tcPr>
          <w:p>
            <w:pPr>
              <w:spacing w:after="40" w:line="252" w:lineRule="auto"/>
            </w:pPr>
            <w:r>
              <w:rPr>
                <w:sz w:val="17"/>
              </w:rPr>
              <w:t>Short, post, webinar</w:t>
            </w:r>
          </w:p>
        </w:tc>
        <w:tc>
          <w:tcPr>
            <w:tcW w:type="dxa" w:w="2304"/>
            <w:tcMar>
              <w:top w:w="80" w:type="dxa"/>
              <w:start w:w="120" w:type="dxa"/>
              <w:bottom w:w="80" w:type="dxa"/>
              <w:end w:w="120" w:type="dxa"/>
            </w:tcMar>
            <w:vAlign w:val="center"/>
          </w:tcPr>
          <w:p>
            <w:pPr>
              <w:spacing w:after="40" w:line="252" w:lineRule="auto"/>
            </w:pPr>
            <w:r>
              <w:rPr>
                <w:sz w:val="17"/>
              </w:rPr>
              <w:t>Career pathway, assessment, certificate</w:t>
            </w:r>
          </w:p>
        </w:tc>
      </w:tr>
      <w:tr>
        <w:trPr>
          <w:cantSplit/>
        </w:trPr>
        <w:tc>
          <w:tcPr>
            <w:tcW w:type="dxa" w:w="2088"/>
            <w:tcMar>
              <w:top w:w="80" w:type="dxa"/>
              <w:start w:w="120" w:type="dxa"/>
              <w:bottom w:w="80" w:type="dxa"/>
              <w:end w:w="120" w:type="dxa"/>
            </w:tcMar>
            <w:vAlign w:val="center"/>
          </w:tcPr>
          <w:p>
            <w:pPr>
              <w:spacing w:after="40" w:line="252" w:lineRule="auto"/>
            </w:pPr>
            <w:r>
              <w:rPr>
                <w:sz w:val="17"/>
              </w:rPr>
              <w:t>Source to Calculation</w:t>
            </w:r>
          </w:p>
        </w:tc>
        <w:tc>
          <w:tcPr>
            <w:tcW w:type="dxa" w:w="2952"/>
            <w:tcMar>
              <w:top w:w="80" w:type="dxa"/>
              <w:start w:w="120" w:type="dxa"/>
              <w:bottom w:w="80" w:type="dxa"/>
              <w:end w:w="120" w:type="dxa"/>
            </w:tcMar>
            <w:vAlign w:val="center"/>
          </w:tcPr>
          <w:p>
            <w:pPr>
              <w:spacing w:after="40" w:line="252" w:lineRule="auto"/>
            </w:pPr>
            <w:r>
              <w:rPr>
                <w:sz w:val="17"/>
              </w:rPr>
              <w:t>Trace a rule into a deterministic worked example</w:t>
            </w:r>
          </w:p>
        </w:tc>
        <w:tc>
          <w:tcPr>
            <w:tcW w:type="dxa" w:w="2016"/>
            <w:tcMar>
              <w:top w:w="80" w:type="dxa"/>
              <w:start w:w="120" w:type="dxa"/>
              <w:bottom w:w="80" w:type="dxa"/>
              <w:end w:w="120" w:type="dxa"/>
            </w:tcMar>
            <w:vAlign w:val="center"/>
          </w:tcPr>
          <w:p>
            <w:pPr>
              <w:spacing w:after="40" w:line="252" w:lineRule="auto"/>
            </w:pPr>
            <w:r>
              <w:rPr>
                <w:sz w:val="17"/>
              </w:rPr>
              <w:t>Long video + annotated source</w:t>
            </w:r>
          </w:p>
        </w:tc>
        <w:tc>
          <w:tcPr>
            <w:tcW w:type="dxa" w:w="2304"/>
            <w:tcMar>
              <w:top w:w="80" w:type="dxa"/>
              <w:start w:w="120" w:type="dxa"/>
              <w:bottom w:w="80" w:type="dxa"/>
              <w:end w:w="120" w:type="dxa"/>
            </w:tcMar>
            <w:vAlign w:val="center"/>
          </w:tcPr>
          <w:p>
            <w:pPr>
              <w:spacing w:after="40" w:line="252" w:lineRule="auto"/>
            </w:pPr>
            <w:r>
              <w:rPr>
                <w:sz w:val="17"/>
              </w:rPr>
              <w:t>Calculation lab with source citations</w:t>
            </w:r>
          </w:p>
        </w:tc>
      </w:tr>
      <w:tr>
        <w:trPr>
          <w:cantSplit/>
        </w:trPr>
        <w:tc>
          <w:tcPr>
            <w:tcW w:type="dxa" w:w="2088"/>
            <w:tcMar>
              <w:top w:w="80" w:type="dxa"/>
              <w:start w:w="120" w:type="dxa"/>
              <w:bottom w:w="80" w:type="dxa"/>
              <w:end w:w="120" w:type="dxa"/>
            </w:tcMar>
            <w:vAlign w:val="center"/>
          </w:tcPr>
          <w:p>
            <w:pPr>
              <w:spacing w:after="40" w:line="252" w:lineRule="auto"/>
            </w:pPr>
            <w:r>
              <w:rPr>
                <w:sz w:val="17"/>
              </w:rPr>
              <w:t>Ask the Basel Tutor</w:t>
            </w:r>
          </w:p>
        </w:tc>
        <w:tc>
          <w:tcPr>
            <w:tcW w:type="dxa" w:w="2952"/>
            <w:tcMar>
              <w:top w:w="80" w:type="dxa"/>
              <w:start w:w="120" w:type="dxa"/>
              <w:bottom w:w="80" w:type="dxa"/>
              <w:end w:w="120" w:type="dxa"/>
            </w:tcMar>
            <w:vAlign w:val="center"/>
          </w:tcPr>
          <w:p>
            <w:pPr>
              <w:spacing w:after="40" w:line="252" w:lineRule="auto"/>
            </w:pPr>
            <w:r>
              <w:rPr>
                <w:sz w:val="17"/>
              </w:rPr>
              <w:t>Answer a real audience question with context</w:t>
            </w:r>
          </w:p>
        </w:tc>
        <w:tc>
          <w:tcPr>
            <w:tcW w:type="dxa" w:w="2016"/>
            <w:tcMar>
              <w:top w:w="80" w:type="dxa"/>
              <w:start w:w="120" w:type="dxa"/>
              <w:bottom w:w="80" w:type="dxa"/>
              <w:end w:w="120" w:type="dxa"/>
            </w:tcMar>
            <w:vAlign w:val="center"/>
          </w:tcPr>
          <w:p>
            <w:pPr>
              <w:spacing w:after="40" w:line="252" w:lineRule="auto"/>
            </w:pPr>
            <w:r>
              <w:rPr>
                <w:sz w:val="17"/>
              </w:rPr>
              <w:t>Short/Q&amp;A/live clip</w:t>
            </w:r>
          </w:p>
        </w:tc>
        <w:tc>
          <w:tcPr>
            <w:tcW w:type="dxa" w:w="2304"/>
            <w:tcMar>
              <w:top w:w="80" w:type="dxa"/>
              <w:start w:w="120" w:type="dxa"/>
              <w:bottom w:w="80" w:type="dxa"/>
              <w:end w:w="120" w:type="dxa"/>
            </w:tcMar>
            <w:vAlign w:val="center"/>
          </w:tcPr>
          <w:p>
            <w:pPr>
              <w:spacing w:after="40" w:line="252" w:lineRule="auto"/>
            </w:pPr>
            <w:r>
              <w:rPr>
                <w:sz w:val="17"/>
              </w:rPr>
              <w:t>Pause-anywhere tutor demonstration</w:t>
            </w:r>
          </w:p>
        </w:tc>
      </w:tr>
    </w:tbl>
    <w:p>
      <w:pPr>
        <w:spacing w:after="40"/>
      </w:pPr>
    </w:p>
    <w:p>
      <w:pPr>
        <w:pStyle w:val="Heading1"/>
      </w:pPr>
      <w:r>
        <w:t>6. Content-to-product conversion</w:t>
      </w:r>
    </w:p>
    <w:p>
      <w:pPr>
        <w:pStyle w:val="Heading2"/>
      </w:pPr>
      <w:r>
        <w:t>CTA ladder</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shd w:fill="E8EEF5"/>
            <w:tcMar>
              <w:top w:w="80" w:type="dxa"/>
              <w:start w:w="120" w:type="dxa"/>
              <w:bottom w:w="80" w:type="dxa"/>
              <w:end w:w="120" w:type="dxa"/>
            </w:tcMar>
            <w:vAlign w:val="center"/>
          </w:tcPr>
          <w:p>
            <w:r>
              <w:rPr>
                <w:b/>
                <w:color w:val="0B2545"/>
                <w:sz w:val="18"/>
              </w:rPr>
              <w:t>Intent level</w:t>
            </w:r>
          </w:p>
        </w:tc>
        <w:tc>
          <w:tcPr>
            <w:tcW w:type="dxa" w:w="4608"/>
            <w:shd w:fill="E8EEF5"/>
            <w:tcMar>
              <w:top w:w="80" w:type="dxa"/>
              <w:start w:w="120" w:type="dxa"/>
              <w:bottom w:w="80" w:type="dxa"/>
              <w:end w:w="120" w:type="dxa"/>
            </w:tcMar>
            <w:vAlign w:val="center"/>
          </w:tcPr>
          <w:p>
            <w:r>
              <w:rPr>
                <w:b/>
                <w:color w:val="0B2545"/>
                <w:sz w:val="18"/>
              </w:rPr>
              <w:t>CTA examples</w:t>
            </w:r>
          </w:p>
        </w:tc>
        <w:tc>
          <w:tcPr>
            <w:tcW w:type="dxa" w:w="3168"/>
            <w:shd w:fill="E8EEF5"/>
            <w:tcMar>
              <w:top w:w="80" w:type="dxa"/>
              <w:start w:w="120" w:type="dxa"/>
              <w:bottom w:w="80" w:type="dxa"/>
              <w:end w:w="120" w:type="dxa"/>
            </w:tcMar>
            <w:vAlign w:val="center"/>
          </w:tcPr>
          <w:p>
            <w:r>
              <w:rPr>
                <w:b/>
                <w:color w:val="0B2545"/>
                <w:sz w:val="18"/>
              </w:rPr>
              <w:t>Destination</w:t>
            </w:r>
          </w:p>
        </w:tc>
      </w:tr>
      <w:tr>
        <w:trPr>
          <w:cantSplit/>
        </w:trPr>
        <w:tc>
          <w:tcPr>
            <w:tcW w:type="dxa" w:w="1584"/>
            <w:tcMar>
              <w:top w:w="80" w:type="dxa"/>
              <w:start w:w="120" w:type="dxa"/>
              <w:bottom w:w="80" w:type="dxa"/>
              <w:end w:w="120" w:type="dxa"/>
            </w:tcMar>
            <w:vAlign w:val="center"/>
          </w:tcPr>
          <w:p>
            <w:pPr>
              <w:spacing w:after="40" w:line="252" w:lineRule="auto"/>
            </w:pPr>
            <w:r>
              <w:rPr>
                <w:sz w:val="18"/>
              </w:rPr>
              <w:t>Low</w:t>
            </w:r>
          </w:p>
        </w:tc>
        <w:tc>
          <w:tcPr>
            <w:tcW w:type="dxa" w:w="4608"/>
            <w:tcMar>
              <w:top w:w="80" w:type="dxa"/>
              <w:start w:w="120" w:type="dxa"/>
              <w:bottom w:w="80" w:type="dxa"/>
              <w:end w:w="120" w:type="dxa"/>
            </w:tcMar>
            <w:vAlign w:val="center"/>
          </w:tcPr>
          <w:p>
            <w:pPr>
              <w:spacing w:after="40" w:line="252" w:lineRule="auto"/>
            </w:pPr>
            <w:r>
              <w:rPr>
                <w:sz w:val="18"/>
              </w:rPr>
              <w:t>Save this checklist; comment your answer; follow the series</w:t>
            </w:r>
          </w:p>
        </w:tc>
        <w:tc>
          <w:tcPr>
            <w:tcW w:type="dxa" w:w="3168"/>
            <w:tcMar>
              <w:top w:w="80" w:type="dxa"/>
              <w:start w:w="120" w:type="dxa"/>
              <w:bottom w:w="80" w:type="dxa"/>
              <w:end w:w="120" w:type="dxa"/>
            </w:tcMar>
            <w:vAlign w:val="center"/>
          </w:tcPr>
          <w:p>
            <w:pPr>
              <w:spacing w:after="40" w:line="252" w:lineRule="auto"/>
            </w:pPr>
            <w:r>
              <w:rPr>
                <w:sz w:val="18"/>
              </w:rPr>
              <w:t>Platform engagement / retargetable audience</w:t>
            </w:r>
          </w:p>
        </w:tc>
      </w:tr>
      <w:tr>
        <w:trPr>
          <w:cantSplit/>
        </w:trPr>
        <w:tc>
          <w:tcPr>
            <w:tcW w:type="dxa" w:w="1584"/>
            <w:tcMar>
              <w:top w:w="80" w:type="dxa"/>
              <w:start w:w="120" w:type="dxa"/>
              <w:bottom w:w="80" w:type="dxa"/>
              <w:end w:w="120" w:type="dxa"/>
            </w:tcMar>
            <w:vAlign w:val="center"/>
          </w:tcPr>
          <w:p>
            <w:pPr>
              <w:spacing w:after="40" w:line="252" w:lineRule="auto"/>
            </w:pPr>
            <w:r>
              <w:rPr>
                <w:sz w:val="18"/>
              </w:rPr>
              <w:t>Medium</w:t>
            </w:r>
          </w:p>
        </w:tc>
        <w:tc>
          <w:tcPr>
            <w:tcW w:type="dxa" w:w="4608"/>
            <w:tcMar>
              <w:top w:w="80" w:type="dxa"/>
              <w:start w:w="120" w:type="dxa"/>
              <w:bottom w:w="80" w:type="dxa"/>
              <w:end w:w="120" w:type="dxa"/>
            </w:tcMar>
            <w:vAlign w:val="center"/>
          </w:tcPr>
          <w:p>
            <w:pPr>
              <w:spacing w:after="40" w:line="252" w:lineRule="auto"/>
            </w:pPr>
            <w:r>
              <w:rPr>
                <w:sz w:val="18"/>
              </w:rPr>
              <w:t>Download the worked-example sheet; join the weekly Basel rule</w:t>
            </w:r>
          </w:p>
        </w:tc>
        <w:tc>
          <w:tcPr>
            <w:tcW w:type="dxa" w:w="3168"/>
            <w:tcMar>
              <w:top w:w="80" w:type="dxa"/>
              <w:start w:w="120" w:type="dxa"/>
              <w:bottom w:w="80" w:type="dxa"/>
              <w:end w:w="120" w:type="dxa"/>
            </w:tcMar>
            <w:vAlign w:val="center"/>
          </w:tcPr>
          <w:p>
            <w:pPr>
              <w:spacing w:after="40" w:line="252" w:lineRule="auto"/>
            </w:pPr>
            <w:r>
              <w:rPr>
                <w:sz w:val="18"/>
              </w:rPr>
              <w:t>Topic landing page / email capture</w:t>
            </w:r>
          </w:p>
        </w:tc>
      </w:tr>
      <w:tr>
        <w:trPr>
          <w:cantSplit/>
        </w:trPr>
        <w:tc>
          <w:tcPr>
            <w:tcW w:type="dxa" w:w="1584"/>
            <w:tcMar>
              <w:top w:w="80" w:type="dxa"/>
              <w:start w:w="120" w:type="dxa"/>
              <w:bottom w:w="80" w:type="dxa"/>
              <w:end w:w="120" w:type="dxa"/>
            </w:tcMar>
            <w:vAlign w:val="center"/>
          </w:tcPr>
          <w:p>
            <w:pPr>
              <w:spacing w:after="40" w:line="252" w:lineRule="auto"/>
            </w:pPr>
            <w:r>
              <w:rPr>
                <w:sz w:val="18"/>
              </w:rPr>
              <w:t>High</w:t>
            </w:r>
          </w:p>
        </w:tc>
        <w:tc>
          <w:tcPr>
            <w:tcW w:type="dxa" w:w="4608"/>
            <w:tcMar>
              <w:top w:w="80" w:type="dxa"/>
              <w:start w:w="120" w:type="dxa"/>
              <w:bottom w:w="80" w:type="dxa"/>
              <w:end w:w="120" w:type="dxa"/>
            </w:tcMar>
            <w:vAlign w:val="center"/>
          </w:tcPr>
          <w:p>
            <w:pPr>
              <w:spacing w:after="40" w:line="252" w:lineRule="auto"/>
            </w:pPr>
            <w:r>
              <w:rPr>
                <w:sz w:val="18"/>
              </w:rPr>
              <w:t>Try the RWA calculator; take the 5-question SAMA assessment</w:t>
            </w:r>
          </w:p>
        </w:tc>
        <w:tc>
          <w:tcPr>
            <w:tcW w:type="dxa" w:w="3168"/>
            <w:tcMar>
              <w:top w:w="80" w:type="dxa"/>
              <w:start w:w="120" w:type="dxa"/>
              <w:bottom w:w="80" w:type="dxa"/>
              <w:end w:w="120" w:type="dxa"/>
            </w:tcMar>
            <w:vAlign w:val="center"/>
          </w:tcPr>
          <w:p>
            <w:pPr>
              <w:spacing w:after="40" w:line="252" w:lineRule="auto"/>
            </w:pPr>
            <w:r>
              <w:rPr>
                <w:sz w:val="18"/>
              </w:rPr>
              <w:t>Tool or assessment with registration</w:t>
            </w:r>
          </w:p>
        </w:tc>
      </w:tr>
      <w:tr>
        <w:trPr>
          <w:cantSplit/>
        </w:trPr>
        <w:tc>
          <w:tcPr>
            <w:tcW w:type="dxa" w:w="1584"/>
            <w:tcMar>
              <w:top w:w="80" w:type="dxa"/>
              <w:start w:w="120" w:type="dxa"/>
              <w:bottom w:w="80" w:type="dxa"/>
              <w:end w:w="120" w:type="dxa"/>
            </w:tcMar>
            <w:vAlign w:val="center"/>
          </w:tcPr>
          <w:p>
            <w:pPr>
              <w:spacing w:after="40" w:line="252" w:lineRule="auto"/>
            </w:pPr>
            <w:r>
              <w:rPr>
                <w:sz w:val="18"/>
              </w:rPr>
              <w:t>Product-ready</w:t>
            </w:r>
          </w:p>
        </w:tc>
        <w:tc>
          <w:tcPr>
            <w:tcW w:type="dxa" w:w="4608"/>
            <w:tcMar>
              <w:top w:w="80" w:type="dxa"/>
              <w:start w:w="120" w:type="dxa"/>
              <w:bottom w:w="80" w:type="dxa"/>
              <w:end w:w="120" w:type="dxa"/>
            </w:tcMar>
            <w:vAlign w:val="center"/>
          </w:tcPr>
          <w:p>
            <w:pPr>
              <w:spacing w:after="40" w:line="252" w:lineRule="auto"/>
            </w:pPr>
            <w:r>
              <w:rPr>
                <w:sz w:val="18"/>
              </w:rPr>
              <w:t>Complete the Corporate Exposure lesson free; compare jurisdictions</w:t>
            </w:r>
          </w:p>
        </w:tc>
        <w:tc>
          <w:tcPr>
            <w:tcW w:type="dxa" w:w="3168"/>
            <w:tcMar>
              <w:top w:w="80" w:type="dxa"/>
              <w:start w:w="120" w:type="dxa"/>
              <w:bottom w:w="80" w:type="dxa"/>
              <w:end w:w="120" w:type="dxa"/>
            </w:tcMar>
            <w:vAlign w:val="center"/>
          </w:tcPr>
          <w:p>
            <w:pPr>
              <w:spacing w:after="40" w:line="252" w:lineRule="auto"/>
            </w:pPr>
            <w:r>
              <w:rPr>
                <w:sz w:val="18"/>
              </w:rPr>
              <w:t>Free Pod / Golden Lesson</w:t>
            </w:r>
          </w:p>
        </w:tc>
      </w:tr>
      <w:tr>
        <w:trPr>
          <w:cantSplit/>
        </w:trPr>
        <w:tc>
          <w:tcPr>
            <w:tcW w:type="dxa" w:w="1584"/>
            <w:tcMar>
              <w:top w:w="80" w:type="dxa"/>
              <w:start w:w="120" w:type="dxa"/>
              <w:bottom w:w="80" w:type="dxa"/>
              <w:end w:w="120" w:type="dxa"/>
            </w:tcMar>
            <w:vAlign w:val="center"/>
          </w:tcPr>
          <w:p>
            <w:pPr>
              <w:spacing w:after="40" w:line="252" w:lineRule="auto"/>
            </w:pPr>
            <w:r>
              <w:rPr>
                <w:sz w:val="18"/>
              </w:rPr>
              <w:t>Enterprise</w:t>
            </w:r>
          </w:p>
        </w:tc>
        <w:tc>
          <w:tcPr>
            <w:tcW w:type="dxa" w:w="4608"/>
            <w:tcMar>
              <w:top w:w="80" w:type="dxa"/>
              <w:start w:w="120" w:type="dxa"/>
              <w:bottom w:w="80" w:type="dxa"/>
              <w:end w:w="120" w:type="dxa"/>
            </w:tcMar>
            <w:vAlign w:val="center"/>
          </w:tcPr>
          <w:p>
            <w:pPr>
              <w:spacing w:after="40" w:line="252" w:lineRule="auto"/>
            </w:pPr>
            <w:r>
              <w:rPr>
                <w:sz w:val="18"/>
              </w:rPr>
              <w:t>Request a team diagnostic; book a bank pilot discussion</w:t>
            </w:r>
          </w:p>
        </w:tc>
        <w:tc>
          <w:tcPr>
            <w:tcW w:type="dxa" w:w="3168"/>
            <w:tcMar>
              <w:top w:w="80" w:type="dxa"/>
              <w:start w:w="120" w:type="dxa"/>
              <w:bottom w:w="80" w:type="dxa"/>
              <w:end w:w="120" w:type="dxa"/>
            </w:tcMar>
            <w:vAlign w:val="center"/>
          </w:tcPr>
          <w:p>
            <w:pPr>
              <w:spacing w:after="40" w:line="252" w:lineRule="auto"/>
            </w:pPr>
            <w:r>
              <w:rPr>
                <w:sz w:val="18"/>
              </w:rPr>
              <w:t>Enterprise qualification form / calendar</w:t>
            </w:r>
          </w:p>
        </w:tc>
      </w:tr>
    </w:tbl>
    <w:p>
      <w:pPr>
        <w:spacing w:after="40"/>
      </w:pPr>
    </w:p>
    <w:p>
      <w:pPr>
        <w:pStyle w:val="Heading2"/>
      </w:pPr>
      <w:r>
        <w:t>CTA design rules</w:t>
      </w:r>
    </w:p>
    <w:p>
      <w:pPr>
        <w:pStyle w:val="ListBullet"/>
        <w:spacing w:after="80"/>
      </w:pPr>
      <w:r>
        <w:t>Use one primary CTA per asset. Secondary follow/follow-up language may appear, but it must not compete.</w:t>
      </w:r>
    </w:p>
    <w:p>
      <w:pPr>
        <w:pStyle w:val="ListBullet"/>
        <w:spacing w:after="80"/>
      </w:pPr>
      <w:r>
        <w:t>Match the CTA to the content promise: calculation content goes to a calculator; comparison content goes to a comparison; career content goes to a diagnostic or pathway.</w:t>
      </w:r>
    </w:p>
    <w:p>
      <w:pPr>
        <w:pStyle w:val="ListBullet"/>
        <w:spacing w:after="80"/>
      </w:pPr>
      <w:r>
        <w:t>Preserve the learner’s context on arrival: headline, example, jurisdiction, and terminology should continue from the content.</w:t>
      </w:r>
    </w:p>
    <w:p>
      <w:pPr>
        <w:pStyle w:val="ListBullet"/>
        <w:spacing w:after="80"/>
      </w:pPr>
      <w:r>
        <w:t>Use campaign and content IDs in every link; never use untagged profile links as the only route.</w:t>
      </w:r>
    </w:p>
    <w:p>
      <w:pPr>
        <w:pStyle w:val="ListBullet"/>
        <w:spacing w:after="80"/>
      </w:pPr>
      <w:r>
        <w:t>Do not gate the first moment of value. Let the learner see the problem, preview the tool, or begin the lesson before asking for registration when technically feasible.</w:t>
      </w:r>
    </w:p>
    <w:p>
      <w:pPr>
        <w:pStyle w:val="Heading1"/>
      </w:pPr>
      <w:r>
        <w:t>7. Landing page and Free Pod funnel</w:t>
      </w:r>
    </w:p>
    <w:p>
      <w:pPr>
        <w:pStyle w:val="Heading2"/>
      </w:pPr>
      <w:r>
        <w:t>Basel landing page</w:t>
      </w:r>
    </w:p>
    <w:p>
      <w:pPr>
        <w:pStyle w:val="ListNumber"/>
        <w:numPr>
          <w:numId w:val="11"/>
        </w:numPr>
        <w:spacing w:after="100"/>
      </w:pPr>
      <w:r>
        <w:t>Open with the outcome: “Master Basel by actually doing the work.”</w:t>
      </w:r>
    </w:p>
    <w:p>
      <w:pPr>
        <w:pStyle w:val="ListNumber"/>
        <w:numPr>
          <w:numId w:val="11"/>
        </w:numPr>
        <w:spacing w:after="100"/>
      </w:pPr>
      <w:r>
        <w:t>Show the learning loop: Watch → Ask Tutor → Classify → Calculate → Simulate → Compare → Practice → Voice Viva.</w:t>
      </w:r>
    </w:p>
    <w:p>
      <w:pPr>
        <w:pStyle w:val="ListNumber"/>
        <w:numPr>
          <w:numId w:val="11"/>
        </w:numPr>
        <w:spacing w:after="100"/>
      </w:pPr>
      <w:r>
        <w:t>Demonstrate one FinBank corporate exposure and one deterministic RWA output with clear “illustrative example” labeling.</w:t>
      </w:r>
    </w:p>
    <w:p>
      <w:pPr>
        <w:pStyle w:val="ListNumber"/>
        <w:numPr>
          <w:numId w:val="11"/>
        </w:numPr>
        <w:spacing w:after="100"/>
      </w:pPr>
      <w:r>
        <w:t>Offer the primary CTA: “Try the Corporate Exposure lesson free — no credit card.”</w:t>
      </w:r>
    </w:p>
    <w:p>
      <w:pPr>
        <w:pStyle w:val="ListNumber"/>
        <w:numPr>
          <w:numId w:val="11"/>
        </w:numPr>
        <w:spacing w:after="100"/>
      </w:pPr>
      <w:r>
        <w:t>Add trust evidence: official-source grounding, jurisdiction/version status, SME review workflow, and what the product is not (legal/regulatory advice).</w:t>
      </w:r>
    </w:p>
    <w:p>
      <w:pPr>
        <w:pStyle w:val="ListNumber"/>
        <w:numPr>
          <w:numId w:val="11"/>
        </w:numPr>
        <w:spacing w:after="100"/>
      </w:pPr>
      <w:r>
        <w:t>Add role-based proof: analyst, manager, L&amp;D, and enterprise paths; use case studies only when evidence exists.</w:t>
      </w:r>
    </w:p>
    <w:p>
      <w:pPr>
        <w:pStyle w:val="ListNumber"/>
        <w:numPr>
          <w:numId w:val="11"/>
        </w:numPr>
        <w:spacing w:after="100"/>
      </w:pPr>
      <w:r>
        <w:t>Capture consent and attribution, then route the user directly into the relevant lesson rather than a generic dashboard.</w:t>
      </w:r>
    </w:p>
    <w:p>
      <w:pPr>
        <w:pStyle w:val="Heading2"/>
      </w:pPr>
      <w:r>
        <w:t>Free Pod: Basel Foundations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fill="E8EEF5"/>
            <w:tcMar>
              <w:top w:w="80" w:type="dxa"/>
              <w:start w:w="120" w:type="dxa"/>
              <w:bottom w:w="80" w:type="dxa"/>
              <w:end w:w="120" w:type="dxa"/>
            </w:tcMar>
            <w:vAlign w:val="center"/>
          </w:tcPr>
          <w:p>
            <w:r>
              <w:rPr>
                <w:b/>
                <w:color w:val="0B2545"/>
                <w:sz w:val="18"/>
              </w:rPr>
              <w:t>Module</w:t>
            </w:r>
          </w:p>
        </w:tc>
        <w:tc>
          <w:tcPr>
            <w:tcW w:type="dxa" w:w="5328"/>
            <w:shd w:fill="E8EEF5"/>
            <w:tcMar>
              <w:top w:w="80" w:type="dxa"/>
              <w:start w:w="120" w:type="dxa"/>
              <w:bottom w:w="80" w:type="dxa"/>
              <w:end w:w="120" w:type="dxa"/>
            </w:tcMar>
            <w:vAlign w:val="center"/>
          </w:tcPr>
          <w:p>
            <w:r>
              <w:rPr>
                <w:b/>
                <w:color w:val="0B2545"/>
                <w:sz w:val="18"/>
              </w:rPr>
              <w:t>Free experience</w:t>
            </w:r>
          </w:p>
        </w:tc>
        <w:tc>
          <w:tcPr>
            <w:tcW w:type="dxa" w:w="2160"/>
            <w:shd w:fill="E8EEF5"/>
            <w:tcMar>
              <w:top w:w="80" w:type="dxa"/>
              <w:start w:w="120" w:type="dxa"/>
              <w:bottom w:w="80" w:type="dxa"/>
              <w:end w:w="120" w:type="dxa"/>
            </w:tcMar>
            <w:vAlign w:val="center"/>
          </w:tcPr>
          <w:p>
            <w:r>
              <w:rPr>
                <w:b/>
                <w:color w:val="0B2545"/>
                <w:sz w:val="18"/>
              </w:rPr>
              <w:t>Activation event</w:t>
            </w:r>
          </w:p>
        </w:tc>
      </w:tr>
      <w:tr>
        <w:trPr>
          <w:cantSplit/>
        </w:trPr>
        <w:tc>
          <w:tcPr>
            <w:tcW w:type="dxa" w:w="1872"/>
            <w:tcMar>
              <w:top w:w="80" w:type="dxa"/>
              <w:start w:w="120" w:type="dxa"/>
              <w:bottom w:w="80" w:type="dxa"/>
              <w:end w:w="120" w:type="dxa"/>
            </w:tcMar>
            <w:vAlign w:val="center"/>
          </w:tcPr>
          <w:p>
            <w:pPr>
              <w:spacing w:after="40" w:line="252" w:lineRule="auto"/>
            </w:pPr>
            <w:r>
              <w:rPr>
                <w:sz w:val="18"/>
              </w:rPr>
              <w:t>Capital and RWA</w:t>
            </w:r>
          </w:p>
        </w:tc>
        <w:tc>
          <w:tcPr>
            <w:tcW w:type="dxa" w:w="5328"/>
            <w:tcMar>
              <w:top w:w="80" w:type="dxa"/>
              <w:start w:w="120" w:type="dxa"/>
              <w:bottom w:w="80" w:type="dxa"/>
              <w:end w:w="120" w:type="dxa"/>
            </w:tcMar>
            <w:vAlign w:val="center"/>
          </w:tcPr>
          <w:p>
            <w:pPr>
              <w:spacing w:after="40" w:line="252" w:lineRule="auto"/>
            </w:pPr>
            <w:r>
              <w:rPr>
                <w:sz w:val="18"/>
              </w:rPr>
              <w:t>Short guided explanation + concept check</w:t>
            </w:r>
          </w:p>
        </w:tc>
        <w:tc>
          <w:tcPr>
            <w:tcW w:type="dxa" w:w="2160"/>
            <w:tcMar>
              <w:top w:w="80" w:type="dxa"/>
              <w:start w:w="120" w:type="dxa"/>
              <w:bottom w:w="80" w:type="dxa"/>
              <w:end w:w="120" w:type="dxa"/>
            </w:tcMar>
            <w:vAlign w:val="center"/>
          </w:tcPr>
          <w:p>
            <w:pPr>
              <w:spacing w:after="40" w:line="252" w:lineRule="auto"/>
            </w:pPr>
            <w:r>
              <w:rPr>
                <w:sz w:val="18"/>
              </w:rPr>
              <w:t>Concept check passed</w:t>
            </w:r>
          </w:p>
        </w:tc>
      </w:tr>
      <w:tr>
        <w:trPr>
          <w:cantSplit/>
        </w:trPr>
        <w:tc>
          <w:tcPr>
            <w:tcW w:type="dxa" w:w="1872"/>
            <w:tcMar>
              <w:top w:w="80" w:type="dxa"/>
              <w:start w:w="120" w:type="dxa"/>
              <w:bottom w:w="80" w:type="dxa"/>
              <w:end w:w="120" w:type="dxa"/>
            </w:tcMar>
            <w:vAlign w:val="center"/>
          </w:tcPr>
          <w:p>
            <w:pPr>
              <w:spacing w:after="40" w:line="252" w:lineRule="auto"/>
            </w:pPr>
            <w:r>
              <w:rPr>
                <w:sz w:val="18"/>
              </w:rPr>
              <w:t>EAD and risk weight</w:t>
            </w:r>
          </w:p>
        </w:tc>
        <w:tc>
          <w:tcPr>
            <w:tcW w:type="dxa" w:w="5328"/>
            <w:tcMar>
              <w:top w:w="80" w:type="dxa"/>
              <w:start w:w="120" w:type="dxa"/>
              <w:bottom w:w="80" w:type="dxa"/>
              <w:end w:w="120" w:type="dxa"/>
            </w:tcMar>
            <w:vAlign w:val="center"/>
          </w:tcPr>
          <w:p>
            <w:pPr>
              <w:spacing w:after="40" w:line="252" w:lineRule="auto"/>
            </w:pPr>
            <w:r>
              <w:rPr>
                <w:sz w:val="18"/>
              </w:rPr>
              <w:t>Interactive definitions and simple worked example</w:t>
            </w:r>
          </w:p>
        </w:tc>
        <w:tc>
          <w:tcPr>
            <w:tcW w:type="dxa" w:w="2160"/>
            <w:tcMar>
              <w:top w:w="80" w:type="dxa"/>
              <w:start w:w="120" w:type="dxa"/>
              <w:bottom w:w="80" w:type="dxa"/>
              <w:end w:w="120" w:type="dxa"/>
            </w:tcMar>
            <w:vAlign w:val="center"/>
          </w:tcPr>
          <w:p>
            <w:pPr>
              <w:spacing w:after="40" w:line="252" w:lineRule="auto"/>
            </w:pPr>
            <w:r>
              <w:rPr>
                <w:sz w:val="18"/>
              </w:rPr>
              <w:t>Inputs changed and recalculated</w:t>
            </w:r>
          </w:p>
        </w:tc>
      </w:tr>
      <w:tr>
        <w:trPr>
          <w:cantSplit/>
        </w:trPr>
        <w:tc>
          <w:tcPr>
            <w:tcW w:type="dxa" w:w="1872"/>
            <w:tcMar>
              <w:top w:w="80" w:type="dxa"/>
              <w:start w:w="120" w:type="dxa"/>
              <w:bottom w:w="80" w:type="dxa"/>
              <w:end w:w="120" w:type="dxa"/>
            </w:tcMar>
            <w:vAlign w:val="center"/>
          </w:tcPr>
          <w:p>
            <w:pPr>
              <w:spacing w:after="40" w:line="252" w:lineRule="auto"/>
            </w:pPr>
            <w:r>
              <w:rPr>
                <w:sz w:val="18"/>
              </w:rPr>
              <w:t>Corporate exposure</w:t>
            </w:r>
          </w:p>
        </w:tc>
        <w:tc>
          <w:tcPr>
            <w:tcW w:type="dxa" w:w="5328"/>
            <w:tcMar>
              <w:top w:w="80" w:type="dxa"/>
              <w:start w:w="120" w:type="dxa"/>
              <w:bottom w:w="80" w:type="dxa"/>
              <w:end w:w="120" w:type="dxa"/>
            </w:tcMar>
            <w:vAlign w:val="center"/>
          </w:tcPr>
          <w:p>
            <w:pPr>
              <w:spacing w:after="40" w:line="252" w:lineRule="auto"/>
            </w:pPr>
            <w:r>
              <w:rPr>
                <w:sz w:val="18"/>
              </w:rPr>
              <w:t>FinBank scenario; classify and calculate</w:t>
            </w:r>
          </w:p>
        </w:tc>
        <w:tc>
          <w:tcPr>
            <w:tcW w:type="dxa" w:w="2160"/>
            <w:tcMar>
              <w:top w:w="80" w:type="dxa"/>
              <w:start w:w="120" w:type="dxa"/>
              <w:bottom w:w="80" w:type="dxa"/>
              <w:end w:w="120" w:type="dxa"/>
            </w:tcMar>
            <w:vAlign w:val="center"/>
          </w:tcPr>
          <w:p>
            <w:pPr>
              <w:spacing w:after="40" w:line="252" w:lineRule="auto"/>
            </w:pPr>
            <w:r>
              <w:rPr>
                <w:sz w:val="18"/>
              </w:rPr>
              <w:t>Corporate lesson completed</w:t>
            </w:r>
          </w:p>
        </w:tc>
      </w:tr>
      <w:tr>
        <w:trPr>
          <w:cantSplit/>
        </w:trPr>
        <w:tc>
          <w:tcPr>
            <w:tcW w:type="dxa" w:w="1872"/>
            <w:tcMar>
              <w:top w:w="80" w:type="dxa"/>
              <w:start w:w="120" w:type="dxa"/>
              <w:bottom w:w="80" w:type="dxa"/>
              <w:end w:w="120" w:type="dxa"/>
            </w:tcMar>
            <w:vAlign w:val="center"/>
          </w:tcPr>
          <w:p>
            <w:pPr>
              <w:spacing w:after="40" w:line="252" w:lineRule="auto"/>
            </w:pPr>
            <w:r>
              <w:rPr>
                <w:sz w:val="18"/>
              </w:rPr>
              <w:t>Tutor interaction</w:t>
            </w:r>
          </w:p>
        </w:tc>
        <w:tc>
          <w:tcPr>
            <w:tcW w:type="dxa" w:w="5328"/>
            <w:tcMar>
              <w:top w:w="80" w:type="dxa"/>
              <w:start w:w="120" w:type="dxa"/>
              <w:bottom w:w="80" w:type="dxa"/>
              <w:end w:w="120" w:type="dxa"/>
            </w:tcMar>
            <w:vAlign w:val="center"/>
          </w:tcPr>
          <w:p>
            <w:pPr>
              <w:spacing w:after="40" w:line="252" w:lineRule="auto"/>
            </w:pPr>
            <w:r>
              <w:rPr>
                <w:sz w:val="18"/>
              </w:rPr>
              <w:t>One grounded text/voice exchange</w:t>
            </w:r>
          </w:p>
        </w:tc>
        <w:tc>
          <w:tcPr>
            <w:tcW w:type="dxa" w:w="2160"/>
            <w:tcMar>
              <w:top w:w="80" w:type="dxa"/>
              <w:start w:w="120" w:type="dxa"/>
              <w:bottom w:w="80" w:type="dxa"/>
              <w:end w:w="120" w:type="dxa"/>
            </w:tcMar>
            <w:vAlign w:val="center"/>
          </w:tcPr>
          <w:p>
            <w:pPr>
              <w:spacing w:after="40" w:line="252" w:lineRule="auto"/>
            </w:pPr>
            <w:r>
              <w:rPr>
                <w:sz w:val="18"/>
              </w:rPr>
              <w:t>Tutor question asked</w:t>
            </w:r>
          </w:p>
        </w:tc>
      </w:tr>
      <w:tr>
        <w:trPr>
          <w:cantSplit/>
        </w:trPr>
        <w:tc>
          <w:tcPr>
            <w:tcW w:type="dxa" w:w="1872"/>
            <w:tcMar>
              <w:top w:w="80" w:type="dxa"/>
              <w:start w:w="120" w:type="dxa"/>
              <w:bottom w:w="80" w:type="dxa"/>
              <w:end w:w="120" w:type="dxa"/>
            </w:tcMar>
            <w:vAlign w:val="center"/>
          </w:tcPr>
          <w:p>
            <w:pPr>
              <w:spacing w:after="40" w:line="252" w:lineRule="auto"/>
            </w:pPr>
            <w:r>
              <w:rPr>
                <w:sz w:val="18"/>
              </w:rPr>
              <w:t>Assessment</w:t>
            </w:r>
          </w:p>
        </w:tc>
        <w:tc>
          <w:tcPr>
            <w:tcW w:type="dxa" w:w="5328"/>
            <w:tcMar>
              <w:top w:w="80" w:type="dxa"/>
              <w:start w:w="120" w:type="dxa"/>
              <w:bottom w:w="80" w:type="dxa"/>
              <w:end w:w="120" w:type="dxa"/>
            </w:tcMar>
            <w:vAlign w:val="center"/>
          </w:tcPr>
          <w:p>
            <w:pPr>
              <w:spacing w:after="40" w:line="252" w:lineRule="auto"/>
            </w:pPr>
            <w:r>
              <w:rPr>
                <w:sz w:val="18"/>
              </w:rPr>
              <w:t>Five-question diagnostic with feedback</w:t>
            </w:r>
          </w:p>
        </w:tc>
        <w:tc>
          <w:tcPr>
            <w:tcW w:type="dxa" w:w="2160"/>
            <w:tcMar>
              <w:top w:w="80" w:type="dxa"/>
              <w:start w:w="120" w:type="dxa"/>
              <w:bottom w:w="80" w:type="dxa"/>
              <w:end w:w="120" w:type="dxa"/>
            </w:tcMar>
            <w:vAlign w:val="center"/>
          </w:tcPr>
          <w:p>
            <w:pPr>
              <w:spacing w:after="40" w:line="252" w:lineRule="auto"/>
            </w:pPr>
            <w:r>
              <w:rPr>
                <w:sz w:val="18"/>
              </w:rPr>
              <w:t>Assessment completed</w:t>
            </w:r>
          </w:p>
        </w:tc>
      </w:tr>
      <w:tr>
        <w:trPr>
          <w:cantSplit/>
        </w:trPr>
        <w:tc>
          <w:tcPr>
            <w:tcW w:type="dxa" w:w="1872"/>
            <w:tcMar>
              <w:top w:w="80" w:type="dxa"/>
              <w:start w:w="120" w:type="dxa"/>
              <w:bottom w:w="80" w:type="dxa"/>
              <w:end w:w="120" w:type="dxa"/>
            </w:tcMar>
            <w:vAlign w:val="center"/>
          </w:tcPr>
          <w:p>
            <w:pPr>
              <w:spacing w:after="40" w:line="252" w:lineRule="auto"/>
            </w:pPr>
            <w:r>
              <w:rPr>
                <w:sz w:val="18"/>
              </w:rPr>
              <w:t>Upgrade moment</w:t>
            </w:r>
          </w:p>
        </w:tc>
        <w:tc>
          <w:tcPr>
            <w:tcW w:type="dxa" w:w="5328"/>
            <w:tcMar>
              <w:top w:w="80" w:type="dxa"/>
              <w:start w:w="120" w:type="dxa"/>
              <w:bottom w:w="80" w:type="dxa"/>
              <w:end w:w="120" w:type="dxa"/>
            </w:tcMar>
            <w:vAlign w:val="center"/>
          </w:tcPr>
          <w:p>
            <w:pPr>
              <w:spacing w:after="40" w:line="252" w:lineRule="auto"/>
            </w:pPr>
            <w:r>
              <w:rPr>
                <w:sz w:val="18"/>
              </w:rPr>
              <w:t>Show locked jurisdiction comparison, practice set and viva</w:t>
            </w:r>
          </w:p>
        </w:tc>
        <w:tc>
          <w:tcPr>
            <w:tcW w:type="dxa" w:w="2160"/>
            <w:tcMar>
              <w:top w:w="80" w:type="dxa"/>
              <w:start w:w="120" w:type="dxa"/>
              <w:bottom w:w="80" w:type="dxa"/>
              <w:end w:w="120" w:type="dxa"/>
            </w:tcMar>
            <w:vAlign w:val="center"/>
          </w:tcPr>
          <w:p>
            <w:pPr>
              <w:spacing w:after="40" w:line="252" w:lineRule="auto"/>
            </w:pPr>
            <w:r>
              <w:rPr>
                <w:sz w:val="18"/>
              </w:rPr>
              <w:t>Trial or paid CTA viewed</w:t>
            </w:r>
          </w:p>
        </w:tc>
      </w:tr>
    </w:tbl>
    <w:p>
      <w:pPr>
        <w:spacing w:after="40"/>
      </w:pPr>
    </w:p>
    <w:p>
      <w:pPr>
        <w:pStyle w:val="Heading2"/>
      </w:pPr>
      <w:r>
        <w:t>Lifecycle messages</w:t>
      </w:r>
    </w:p>
    <w:p>
      <w:pPr>
        <w:pStyle w:val="ListBullet"/>
        <w:spacing w:after="80"/>
      </w:pPr>
      <w:r>
        <w:t>Immediate: deliver promised asset and resume the exact learning state.</w:t>
      </w:r>
    </w:p>
    <w:p>
      <w:pPr>
        <w:pStyle w:val="ListBullet"/>
        <w:spacing w:after="80"/>
      </w:pPr>
      <w:r>
        <w:t>Day 1: explain the next task and expected time, using the topic that generated the signup.</w:t>
      </w:r>
    </w:p>
    <w:p>
      <w:pPr>
        <w:pStyle w:val="ListBullet"/>
        <w:spacing w:after="80"/>
      </w:pPr>
      <w:r>
        <w:t>Day 3: send a worked challenge tied to incomplete progress.</w:t>
      </w:r>
    </w:p>
    <w:p>
      <w:pPr>
        <w:pStyle w:val="ListBullet"/>
        <w:spacing w:after="80"/>
      </w:pPr>
      <w:r>
        <w:t>Day 7: share progress/mastery evidence and invite the next module or trial.</w:t>
      </w:r>
    </w:p>
    <w:p>
      <w:pPr>
        <w:pStyle w:val="ListBullet"/>
        <w:spacing w:after="80"/>
      </w:pPr>
      <w:r>
        <w:t>Enterprise signal: if consented behavior shows team/buyer intent, invite a diagnostic or pilot discussion without overstating inference.</w:t>
      </w:r>
    </w:p>
    <w:p>
      <w:pPr>
        <w:pStyle w:val="Heading1"/>
      </w:pPr>
      <w:r>
        <w:t>8. First 30 / 60 / 90 days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296"/>
            <w:shd w:fill="E8EEF5"/>
            <w:tcMar>
              <w:top w:w="80" w:type="dxa"/>
              <w:start w:w="120" w:type="dxa"/>
              <w:bottom w:w="80" w:type="dxa"/>
              <w:end w:w="120" w:type="dxa"/>
            </w:tcMar>
            <w:vAlign w:val="center"/>
          </w:tcPr>
          <w:p>
            <w:r>
              <w:rPr>
                <w:b/>
                <w:color w:val="0B2545"/>
                <w:sz w:val="16"/>
              </w:rPr>
              <w:t>Window</w:t>
            </w:r>
          </w:p>
        </w:tc>
        <w:tc>
          <w:tcPr>
            <w:tcW w:type="dxa" w:w="2088"/>
            <w:shd w:fill="E8EEF5"/>
            <w:tcMar>
              <w:top w:w="80" w:type="dxa"/>
              <w:start w:w="120" w:type="dxa"/>
              <w:bottom w:w="80" w:type="dxa"/>
              <w:end w:w="120" w:type="dxa"/>
            </w:tcMar>
            <w:vAlign w:val="center"/>
          </w:tcPr>
          <w:p>
            <w:r>
              <w:rPr>
                <w:b/>
                <w:color w:val="0B2545"/>
                <w:sz w:val="16"/>
              </w:rPr>
              <w:t>Objective</w:t>
            </w:r>
          </w:p>
        </w:tc>
        <w:tc>
          <w:tcPr>
            <w:tcW w:type="dxa" w:w="4464"/>
            <w:shd w:fill="E8EEF5"/>
            <w:tcMar>
              <w:top w:w="80" w:type="dxa"/>
              <w:start w:w="120" w:type="dxa"/>
              <w:bottom w:w="80" w:type="dxa"/>
              <w:end w:w="120" w:type="dxa"/>
            </w:tcMar>
            <w:vAlign w:val="center"/>
          </w:tcPr>
          <w:p>
            <w:r>
              <w:rPr>
                <w:b/>
                <w:color w:val="0B2545"/>
                <w:sz w:val="16"/>
              </w:rPr>
              <w:t>Concrete deliverables</w:t>
            </w:r>
          </w:p>
        </w:tc>
        <w:tc>
          <w:tcPr>
            <w:tcW w:type="dxa" w:w="1512"/>
            <w:shd w:fill="E8EEF5"/>
            <w:tcMar>
              <w:top w:w="80" w:type="dxa"/>
              <w:start w:w="120" w:type="dxa"/>
              <w:bottom w:w="80" w:type="dxa"/>
              <w:end w:w="120" w:type="dxa"/>
            </w:tcMar>
            <w:vAlign w:val="center"/>
          </w:tcPr>
          <w:p>
            <w:r>
              <w:rPr>
                <w:b/>
                <w:color w:val="0B2545"/>
                <w:sz w:val="16"/>
              </w:rPr>
              <w:t>Exit criteria</w:t>
            </w:r>
          </w:p>
        </w:tc>
      </w:tr>
      <w:tr>
        <w:trPr>
          <w:cantSplit/>
        </w:trPr>
        <w:tc>
          <w:tcPr>
            <w:tcW w:type="dxa" w:w="1296"/>
            <w:tcMar>
              <w:top w:w="80" w:type="dxa"/>
              <w:start w:w="120" w:type="dxa"/>
              <w:bottom w:w="80" w:type="dxa"/>
              <w:end w:w="120" w:type="dxa"/>
            </w:tcMar>
            <w:vAlign w:val="center"/>
          </w:tcPr>
          <w:p>
            <w:pPr>
              <w:spacing w:after="40" w:line="252" w:lineRule="auto"/>
            </w:pPr>
            <w:r>
              <w:rPr>
                <w:sz w:val="16"/>
              </w:rPr>
              <w:t>Days 1–30</w:t>
            </w:r>
          </w:p>
        </w:tc>
        <w:tc>
          <w:tcPr>
            <w:tcW w:type="dxa" w:w="2088"/>
            <w:tcMar>
              <w:top w:w="80" w:type="dxa"/>
              <w:start w:w="120" w:type="dxa"/>
              <w:bottom w:w="80" w:type="dxa"/>
              <w:end w:w="120" w:type="dxa"/>
            </w:tcMar>
            <w:vAlign w:val="center"/>
          </w:tcPr>
          <w:p>
            <w:pPr>
              <w:spacing w:after="40" w:line="252" w:lineRule="auto"/>
            </w:pPr>
            <w:r>
              <w:rPr>
                <w:sz w:val="16"/>
              </w:rPr>
              <w:t>Establish operating system and baseline demand</w:t>
            </w:r>
          </w:p>
        </w:tc>
        <w:tc>
          <w:tcPr>
            <w:tcW w:type="dxa" w:w="4464"/>
            <w:tcMar>
              <w:top w:w="80" w:type="dxa"/>
              <w:start w:w="120" w:type="dxa"/>
              <w:bottom w:w="80" w:type="dxa"/>
              <w:end w:w="120" w:type="dxa"/>
            </w:tcMar>
            <w:vAlign w:val="center"/>
          </w:tcPr>
          <w:p>
            <w:pPr>
              <w:spacing w:after="40" w:line="252" w:lineRule="auto"/>
            </w:pPr>
            <w:r>
              <w:rPr>
                <w:sz w:val="16"/>
              </w:rPr>
              <w:t>Brand/channel setup; source and SME workflow; landing/early-access page; analytics taxonomy; 3 cornerstone videos; 10+ derivatives; first Basel Challenge; 2 bilingual tests</w:t>
            </w:r>
          </w:p>
        </w:tc>
        <w:tc>
          <w:tcPr>
            <w:tcW w:type="dxa" w:w="1512"/>
            <w:tcMar>
              <w:top w:w="80" w:type="dxa"/>
              <w:start w:w="120" w:type="dxa"/>
              <w:bottom w:w="80" w:type="dxa"/>
              <w:end w:w="120" w:type="dxa"/>
            </w:tcMar>
            <w:vAlign w:val="center"/>
          </w:tcPr>
          <w:p>
            <w:pPr>
              <w:spacing w:after="40" w:line="252" w:lineRule="auto"/>
            </w:pPr>
            <w:r>
              <w:rPr>
                <w:sz w:val="16"/>
              </w:rPr>
              <w:t>All assets trace to source packets; attribution works; first qualified signups and substantive questions</w:t>
            </w:r>
          </w:p>
        </w:tc>
      </w:tr>
      <w:tr>
        <w:trPr>
          <w:cantSplit/>
        </w:trPr>
        <w:tc>
          <w:tcPr>
            <w:tcW w:type="dxa" w:w="1296"/>
            <w:tcMar>
              <w:top w:w="80" w:type="dxa"/>
              <w:start w:w="120" w:type="dxa"/>
              <w:bottom w:w="80" w:type="dxa"/>
              <w:end w:w="120" w:type="dxa"/>
            </w:tcMar>
            <w:vAlign w:val="center"/>
          </w:tcPr>
          <w:p>
            <w:pPr>
              <w:spacing w:after="40" w:line="252" w:lineRule="auto"/>
            </w:pPr>
            <w:r>
              <w:rPr>
                <w:sz w:val="16"/>
              </w:rPr>
              <w:t>Days 31–60</w:t>
            </w:r>
          </w:p>
        </w:tc>
        <w:tc>
          <w:tcPr>
            <w:tcW w:type="dxa" w:w="2088"/>
            <w:tcMar>
              <w:top w:w="80" w:type="dxa"/>
              <w:start w:w="120" w:type="dxa"/>
              <w:bottom w:w="80" w:type="dxa"/>
              <w:end w:w="120" w:type="dxa"/>
            </w:tcMar>
            <w:vAlign w:val="center"/>
          </w:tcPr>
          <w:p>
            <w:pPr>
              <w:spacing w:after="40" w:line="252" w:lineRule="auto"/>
            </w:pPr>
            <w:r>
              <w:rPr>
                <w:sz w:val="16"/>
              </w:rPr>
              <w:t>Build cadence and activate the Free Pod</w:t>
            </w:r>
          </w:p>
        </w:tc>
        <w:tc>
          <w:tcPr>
            <w:tcW w:type="dxa" w:w="4464"/>
            <w:tcMar>
              <w:top w:w="80" w:type="dxa"/>
              <w:start w:w="120" w:type="dxa"/>
              <w:bottom w:w="80" w:type="dxa"/>
              <w:end w:w="120" w:type="dxa"/>
            </w:tcMar>
            <w:vAlign w:val="center"/>
          </w:tcPr>
          <w:p>
            <w:pPr>
              <w:spacing w:after="40" w:line="252" w:lineRule="auto"/>
            </w:pPr>
            <w:r>
              <w:rPr>
                <w:sz w:val="16"/>
              </w:rPr>
              <w:t>4–6 long videos total; 10–15 short lessons; 10 challenges; 4 jurisdiction comparisons; 2–4 Arabic assets; Free Pod MVP; weekly newsletter</w:t>
            </w:r>
          </w:p>
        </w:tc>
        <w:tc>
          <w:tcPr>
            <w:tcW w:type="dxa" w:w="1512"/>
            <w:tcMar>
              <w:top w:w="80" w:type="dxa"/>
              <w:start w:w="120" w:type="dxa"/>
              <w:bottom w:w="80" w:type="dxa"/>
              <w:end w:w="120" w:type="dxa"/>
            </w:tcMar>
            <w:vAlign w:val="center"/>
          </w:tcPr>
          <w:p>
            <w:pPr>
              <w:spacing w:after="40" w:line="252" w:lineRule="auto"/>
            </w:pPr>
            <w:r>
              <w:rPr>
                <w:sz w:val="16"/>
              </w:rPr>
              <w:t>Repeatable weekly production; measured content→activation conversion; two winning formats/topics</w:t>
            </w:r>
          </w:p>
        </w:tc>
      </w:tr>
      <w:tr>
        <w:trPr>
          <w:cantSplit/>
        </w:trPr>
        <w:tc>
          <w:tcPr>
            <w:tcW w:type="dxa" w:w="1296"/>
            <w:tcMar>
              <w:top w:w="80" w:type="dxa"/>
              <w:start w:w="120" w:type="dxa"/>
              <w:bottom w:w="80" w:type="dxa"/>
              <w:end w:w="120" w:type="dxa"/>
            </w:tcMar>
            <w:vAlign w:val="center"/>
          </w:tcPr>
          <w:p>
            <w:pPr>
              <w:spacing w:after="40" w:line="252" w:lineRule="auto"/>
            </w:pPr>
            <w:r>
              <w:rPr>
                <w:sz w:val="16"/>
              </w:rPr>
              <w:t>Days 61–90</w:t>
            </w:r>
          </w:p>
        </w:tc>
        <w:tc>
          <w:tcPr>
            <w:tcW w:type="dxa" w:w="2088"/>
            <w:tcMar>
              <w:top w:w="80" w:type="dxa"/>
              <w:start w:w="120" w:type="dxa"/>
              <w:bottom w:w="80" w:type="dxa"/>
              <w:end w:w="120" w:type="dxa"/>
            </w:tcMar>
            <w:vAlign w:val="center"/>
          </w:tcPr>
          <w:p>
            <w:pPr>
              <w:spacing w:after="40" w:line="252" w:lineRule="auto"/>
            </w:pPr>
            <w:r>
              <w:rPr>
                <w:sz w:val="16"/>
              </w:rPr>
              <w:t>Prove conversion and enterprise interest</w:t>
            </w:r>
          </w:p>
        </w:tc>
        <w:tc>
          <w:tcPr>
            <w:tcW w:type="dxa" w:w="4464"/>
            <w:tcMar>
              <w:top w:w="80" w:type="dxa"/>
              <w:start w:w="120" w:type="dxa"/>
              <w:bottom w:w="80" w:type="dxa"/>
              <w:end w:w="120" w:type="dxa"/>
            </w:tcMar>
            <w:vAlign w:val="center"/>
          </w:tcPr>
          <w:p>
            <w:pPr>
              <w:spacing w:after="40" w:line="252" w:lineRule="auto"/>
            </w:pPr>
            <w:r>
              <w:rPr>
                <w:sz w:val="16"/>
              </w:rPr>
              <w:t>30-asset library; Arabic deep test; webinar/roundtable; learner interviews; team diagnostic; outreach to SMEs/L&amp;D; first pilot proposals</w:t>
            </w:r>
          </w:p>
        </w:tc>
        <w:tc>
          <w:tcPr>
            <w:tcW w:type="dxa" w:w="1512"/>
            <w:tcMar>
              <w:top w:w="80" w:type="dxa"/>
              <w:start w:w="120" w:type="dxa"/>
              <w:bottom w:w="80" w:type="dxa"/>
              <w:end w:w="120" w:type="dxa"/>
            </w:tcMar>
            <w:vAlign w:val="center"/>
          </w:tcPr>
          <w:p>
            <w:pPr>
              <w:spacing w:after="40" w:line="252" w:lineRule="auto"/>
            </w:pPr>
            <w:r>
              <w:rPr>
                <w:sz w:val="16"/>
              </w:rPr>
              <w:t>Evidence of activation/retention, first paid conversions or clear pricing tests, qualified enterprise pipeline</w:t>
            </w:r>
          </w:p>
        </w:tc>
      </w:tr>
    </w:tbl>
    <w:p>
      <w:pPr>
        <w:spacing w:after="40"/>
      </w:pPr>
    </w:p>
    <w:p>
      <w:pPr>
        <w:pStyle w:val="Heading2"/>
      </w:pPr>
      <w:r>
        <w:t>Weekly cadence during the first 90 days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440"/>
            <w:shd w:fill="E8EEF5"/>
            <w:tcMar>
              <w:top w:w="80" w:type="dxa"/>
              <w:start w:w="120" w:type="dxa"/>
              <w:bottom w:w="80" w:type="dxa"/>
              <w:end w:w="120" w:type="dxa"/>
            </w:tcMar>
            <w:vAlign w:val="center"/>
          </w:tcPr>
          <w:p>
            <w:r>
              <w:rPr>
                <w:b/>
                <w:color w:val="0B2545"/>
                <w:sz w:val="18"/>
              </w:rPr>
              <w:t>Day</w:t>
            </w:r>
          </w:p>
        </w:tc>
        <w:tc>
          <w:tcPr>
            <w:tcW w:type="dxa" w:w="7920"/>
            <w:shd w:fill="E8EEF5"/>
            <w:tcMar>
              <w:top w:w="80" w:type="dxa"/>
              <w:start w:w="120" w:type="dxa"/>
              <w:bottom w:w="80" w:type="dxa"/>
              <w:end w:w="120" w:type="dxa"/>
            </w:tcMar>
            <w:vAlign w:val="center"/>
          </w:tcPr>
          <w:p>
            <w:r>
              <w:rPr>
                <w:b/>
                <w:color w:val="0B2545"/>
                <w:sz w:val="18"/>
              </w:rPr>
              <w:t>Operating rhythm</w:t>
            </w:r>
          </w:p>
        </w:tc>
      </w:tr>
      <w:tr>
        <w:trPr>
          <w:cantSplit/>
        </w:trPr>
        <w:tc>
          <w:tcPr>
            <w:tcW w:type="dxa" w:w="1440"/>
            <w:tcMar>
              <w:top w:w="80" w:type="dxa"/>
              <w:start w:w="120" w:type="dxa"/>
              <w:bottom w:w="80" w:type="dxa"/>
              <w:end w:w="120" w:type="dxa"/>
            </w:tcMar>
            <w:vAlign w:val="center"/>
          </w:tcPr>
          <w:p>
            <w:pPr>
              <w:spacing w:after="40" w:line="252" w:lineRule="auto"/>
            </w:pPr>
            <w:r>
              <w:rPr>
                <w:sz w:val="18"/>
              </w:rPr>
              <w:t>Monday</w:t>
            </w:r>
          </w:p>
        </w:tc>
        <w:tc>
          <w:tcPr>
            <w:tcW w:type="dxa" w:w="7920"/>
            <w:tcMar>
              <w:top w:w="80" w:type="dxa"/>
              <w:start w:w="120" w:type="dxa"/>
              <w:bottom w:w="80" w:type="dxa"/>
              <w:end w:w="120" w:type="dxa"/>
            </w:tcMar>
            <w:vAlign w:val="center"/>
          </w:tcPr>
          <w:p>
            <w:pPr>
              <w:spacing w:after="40" w:line="252" w:lineRule="auto"/>
            </w:pPr>
            <w:r>
              <w:rPr>
                <w:sz w:val="18"/>
              </w:rPr>
              <w:t>Demand review; select canonical lesson/claim; confirm source status and brief.</w:t>
            </w:r>
          </w:p>
        </w:tc>
      </w:tr>
      <w:tr>
        <w:trPr>
          <w:cantSplit/>
        </w:trPr>
        <w:tc>
          <w:tcPr>
            <w:tcW w:type="dxa" w:w="1440"/>
            <w:tcMar>
              <w:top w:w="80" w:type="dxa"/>
              <w:start w:w="120" w:type="dxa"/>
              <w:bottom w:w="80" w:type="dxa"/>
              <w:end w:w="120" w:type="dxa"/>
            </w:tcMar>
            <w:vAlign w:val="center"/>
          </w:tcPr>
          <w:p>
            <w:pPr>
              <w:spacing w:after="40" w:line="252" w:lineRule="auto"/>
            </w:pPr>
            <w:r>
              <w:rPr>
                <w:sz w:val="18"/>
              </w:rPr>
              <w:t>Tuesday</w:t>
            </w:r>
          </w:p>
        </w:tc>
        <w:tc>
          <w:tcPr>
            <w:tcW w:type="dxa" w:w="7920"/>
            <w:tcMar>
              <w:top w:w="80" w:type="dxa"/>
              <w:start w:w="120" w:type="dxa"/>
              <w:bottom w:w="80" w:type="dxa"/>
              <w:end w:w="120" w:type="dxa"/>
            </w:tcMar>
            <w:vAlign w:val="center"/>
          </w:tcPr>
          <w:p>
            <w:pPr>
              <w:spacing w:after="40" w:line="252" w:lineRule="auto"/>
            </w:pPr>
            <w:r>
              <w:rPr>
                <w:sz w:val="18"/>
              </w:rPr>
              <w:t>SME-approved outline; record/build long-form master; create derivatives.</w:t>
            </w:r>
          </w:p>
        </w:tc>
      </w:tr>
      <w:tr>
        <w:trPr>
          <w:cantSplit/>
        </w:trPr>
        <w:tc>
          <w:tcPr>
            <w:tcW w:type="dxa" w:w="1440"/>
            <w:tcMar>
              <w:top w:w="80" w:type="dxa"/>
              <w:start w:w="120" w:type="dxa"/>
              <w:bottom w:w="80" w:type="dxa"/>
              <w:end w:w="120" w:type="dxa"/>
            </w:tcMar>
            <w:vAlign w:val="center"/>
          </w:tcPr>
          <w:p>
            <w:pPr>
              <w:spacing w:after="40" w:line="252" w:lineRule="auto"/>
            </w:pPr>
            <w:r>
              <w:rPr>
                <w:sz w:val="18"/>
              </w:rPr>
              <w:t>Wednesday</w:t>
            </w:r>
          </w:p>
        </w:tc>
        <w:tc>
          <w:tcPr>
            <w:tcW w:type="dxa" w:w="7920"/>
            <w:tcMar>
              <w:top w:w="80" w:type="dxa"/>
              <w:start w:w="120" w:type="dxa"/>
              <w:bottom w:w="80" w:type="dxa"/>
              <w:end w:w="120" w:type="dxa"/>
            </w:tcMar>
            <w:vAlign w:val="center"/>
          </w:tcPr>
          <w:p>
            <w:pPr>
              <w:spacing w:after="40" w:line="252" w:lineRule="auto"/>
            </w:pPr>
            <w:r>
              <w:rPr>
                <w:sz w:val="18"/>
              </w:rPr>
              <w:t>Edit, captions, Arabic adaptation, metadata, link and tracking QA.</w:t>
            </w:r>
          </w:p>
        </w:tc>
      </w:tr>
      <w:tr>
        <w:trPr>
          <w:cantSplit/>
        </w:trPr>
        <w:tc>
          <w:tcPr>
            <w:tcW w:type="dxa" w:w="1440"/>
            <w:tcMar>
              <w:top w:w="80" w:type="dxa"/>
              <w:start w:w="120" w:type="dxa"/>
              <w:bottom w:w="80" w:type="dxa"/>
              <w:end w:w="120" w:type="dxa"/>
            </w:tcMar>
            <w:vAlign w:val="center"/>
          </w:tcPr>
          <w:p>
            <w:pPr>
              <w:spacing w:after="40" w:line="252" w:lineRule="auto"/>
            </w:pPr>
            <w:r>
              <w:rPr>
                <w:sz w:val="18"/>
              </w:rPr>
              <w:t>Thursday</w:t>
            </w:r>
          </w:p>
        </w:tc>
        <w:tc>
          <w:tcPr>
            <w:tcW w:type="dxa" w:w="7920"/>
            <w:tcMar>
              <w:top w:w="80" w:type="dxa"/>
              <w:start w:w="120" w:type="dxa"/>
              <w:bottom w:w="80" w:type="dxa"/>
              <w:end w:w="120" w:type="dxa"/>
            </w:tcMar>
            <w:vAlign w:val="center"/>
          </w:tcPr>
          <w:p>
            <w:pPr>
              <w:spacing w:after="40" w:line="252" w:lineRule="auto"/>
            </w:pPr>
            <w:r>
              <w:rPr>
                <w:sz w:val="18"/>
              </w:rPr>
              <w:t>Publish cornerstone asset and professional thread/post; community response.</w:t>
            </w:r>
          </w:p>
        </w:tc>
      </w:tr>
      <w:tr>
        <w:trPr>
          <w:cantSplit/>
        </w:trPr>
        <w:tc>
          <w:tcPr>
            <w:tcW w:type="dxa" w:w="1440"/>
            <w:tcMar>
              <w:top w:w="80" w:type="dxa"/>
              <w:start w:w="120" w:type="dxa"/>
              <w:bottom w:w="80" w:type="dxa"/>
              <w:end w:w="120" w:type="dxa"/>
            </w:tcMar>
            <w:vAlign w:val="center"/>
          </w:tcPr>
          <w:p>
            <w:pPr>
              <w:spacing w:after="40" w:line="252" w:lineRule="auto"/>
            </w:pPr>
            <w:r>
              <w:rPr>
                <w:sz w:val="18"/>
              </w:rPr>
              <w:t>Friday</w:t>
            </w:r>
          </w:p>
        </w:tc>
        <w:tc>
          <w:tcPr>
            <w:tcW w:type="dxa" w:w="7920"/>
            <w:tcMar>
              <w:top w:w="80" w:type="dxa"/>
              <w:start w:w="120" w:type="dxa"/>
              <w:bottom w:w="80" w:type="dxa"/>
              <w:end w:w="120" w:type="dxa"/>
            </w:tcMar>
            <w:vAlign w:val="center"/>
          </w:tcPr>
          <w:p>
            <w:pPr>
              <w:spacing w:after="40" w:line="252" w:lineRule="auto"/>
            </w:pPr>
            <w:r>
              <w:rPr>
                <w:sz w:val="18"/>
              </w:rPr>
              <w:t>Publish challenge/short; analyze early signals; log questions and experiments.</w:t>
            </w:r>
          </w:p>
        </w:tc>
      </w:tr>
      <w:tr>
        <w:trPr>
          <w:cantSplit/>
        </w:trPr>
        <w:tc>
          <w:tcPr>
            <w:tcW w:type="dxa" w:w="1440"/>
            <w:tcMar>
              <w:top w:w="80" w:type="dxa"/>
              <w:start w:w="120" w:type="dxa"/>
              <w:bottom w:w="80" w:type="dxa"/>
              <w:end w:w="120" w:type="dxa"/>
            </w:tcMar>
            <w:vAlign w:val="center"/>
          </w:tcPr>
          <w:p>
            <w:pPr>
              <w:spacing w:after="40" w:line="252" w:lineRule="auto"/>
            </w:pPr>
            <w:r>
              <w:rPr>
                <w:sz w:val="18"/>
              </w:rPr>
              <w:t>Ongoing</w:t>
            </w:r>
          </w:p>
        </w:tc>
        <w:tc>
          <w:tcPr>
            <w:tcW w:type="dxa" w:w="7920"/>
            <w:tcMar>
              <w:top w:w="80" w:type="dxa"/>
              <w:start w:w="120" w:type="dxa"/>
              <w:bottom w:w="80" w:type="dxa"/>
              <w:end w:w="120" w:type="dxa"/>
            </w:tcMar>
            <w:vAlign w:val="center"/>
          </w:tcPr>
          <w:p>
            <w:pPr>
              <w:spacing w:after="40" w:line="252" w:lineRule="auto"/>
            </w:pPr>
            <w:r>
              <w:rPr>
                <w:sz w:val="18"/>
              </w:rPr>
              <w:t>Respond with source-aware answers; escalate uncertain claims; feed demand into backlog.</w:t>
            </w:r>
          </w:p>
        </w:tc>
      </w:tr>
    </w:tbl>
    <w:p>
      <w:pPr>
        <w:spacing w:after="40"/>
      </w:pPr>
    </w:p>
    <w:p>
      <w:pPr>
        <w:pStyle w:val="Heading1"/>
      </w:pPr>
      <w:r>
        <w:t>9. First 30 Basel content ideas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504"/>
            <w:shd w:fill="E8EEF5"/>
            <w:tcMar>
              <w:top w:w="80" w:type="dxa"/>
              <w:start w:w="120" w:type="dxa"/>
              <w:bottom w:w="80" w:type="dxa"/>
              <w:end w:w="120" w:type="dxa"/>
            </w:tcMar>
            <w:vAlign w:val="center"/>
          </w:tcPr>
          <w:p>
            <w:r>
              <w:rPr>
                <w:b/>
                <w:color w:val="0B2545"/>
                <w:sz w:val="15"/>
              </w:rPr>
              <w:t>#</w:t>
            </w:r>
          </w:p>
        </w:tc>
        <w:tc>
          <w:tcPr>
            <w:tcW w:type="dxa" w:w="3456"/>
            <w:shd w:fill="E8EEF5"/>
            <w:tcMar>
              <w:top w:w="80" w:type="dxa"/>
              <w:start w:w="120" w:type="dxa"/>
              <w:bottom w:w="80" w:type="dxa"/>
              <w:end w:w="120" w:type="dxa"/>
            </w:tcMar>
            <w:vAlign w:val="center"/>
          </w:tcPr>
          <w:p>
            <w:r>
              <w:rPr>
                <w:b/>
                <w:color w:val="0B2545"/>
                <w:sz w:val="15"/>
              </w:rPr>
              <w:t>Topic / hook</w:t>
            </w:r>
          </w:p>
        </w:tc>
        <w:tc>
          <w:tcPr>
            <w:tcW w:type="dxa" w:w="1944"/>
            <w:shd w:fill="E8EEF5"/>
            <w:tcMar>
              <w:top w:w="80" w:type="dxa"/>
              <w:start w:w="120" w:type="dxa"/>
              <w:bottom w:w="80" w:type="dxa"/>
              <w:end w:w="120" w:type="dxa"/>
            </w:tcMar>
            <w:vAlign w:val="center"/>
          </w:tcPr>
          <w:p>
            <w:r>
              <w:rPr>
                <w:b/>
                <w:color w:val="0B2545"/>
                <w:sz w:val="15"/>
              </w:rPr>
              <w:t>Franchise</w:t>
            </w:r>
          </w:p>
        </w:tc>
        <w:tc>
          <w:tcPr>
            <w:tcW w:type="dxa" w:w="1728"/>
            <w:shd w:fill="E8EEF5"/>
            <w:tcMar>
              <w:top w:w="80" w:type="dxa"/>
              <w:start w:w="120" w:type="dxa"/>
              <w:bottom w:w="80" w:type="dxa"/>
              <w:end w:w="120" w:type="dxa"/>
            </w:tcMar>
            <w:vAlign w:val="center"/>
          </w:tcPr>
          <w:p>
            <w:r>
              <w:rPr>
                <w:b/>
                <w:color w:val="0B2545"/>
                <w:sz w:val="15"/>
              </w:rPr>
              <w:t>Format</w:t>
            </w:r>
          </w:p>
        </w:tc>
        <w:tc>
          <w:tcPr>
            <w:tcW w:type="dxa" w:w="1728"/>
            <w:shd w:fill="E8EEF5"/>
            <w:tcMar>
              <w:top w:w="80" w:type="dxa"/>
              <w:start w:w="120" w:type="dxa"/>
              <w:bottom w:w="80" w:type="dxa"/>
              <w:end w:w="120" w:type="dxa"/>
            </w:tcMar>
            <w:vAlign w:val="center"/>
          </w:tcPr>
          <w:p>
            <w:r>
              <w:rPr>
                <w:b/>
                <w:color w:val="0B2545"/>
                <w:sz w:val="15"/>
              </w:rPr>
              <w:t>CTA</w:t>
            </w:r>
          </w:p>
        </w:tc>
      </w:tr>
      <w:tr>
        <w:trPr>
          <w:cantSplit/>
        </w:trPr>
        <w:tc>
          <w:tcPr>
            <w:tcW w:type="dxa" w:w="504"/>
            <w:tcMar>
              <w:top w:w="80" w:type="dxa"/>
              <w:start w:w="120" w:type="dxa"/>
              <w:bottom w:w="80" w:type="dxa"/>
              <w:end w:w="120" w:type="dxa"/>
            </w:tcMar>
            <w:vAlign w:val="center"/>
          </w:tcPr>
          <w:p>
            <w:pPr>
              <w:spacing w:after="40" w:line="252" w:lineRule="auto"/>
            </w:pPr>
            <w:r>
              <w:rPr>
                <w:sz w:val="15"/>
              </w:rPr>
              <w:t>1</w:t>
            </w:r>
          </w:p>
        </w:tc>
        <w:tc>
          <w:tcPr>
            <w:tcW w:type="dxa" w:w="3456"/>
            <w:tcMar>
              <w:top w:w="80" w:type="dxa"/>
              <w:start w:w="120" w:type="dxa"/>
              <w:bottom w:w="80" w:type="dxa"/>
              <w:end w:w="120" w:type="dxa"/>
            </w:tcMar>
            <w:vAlign w:val="center"/>
          </w:tcPr>
          <w:p>
            <w:pPr>
              <w:spacing w:after="40" w:line="252" w:lineRule="auto"/>
            </w:pPr>
            <w:r>
              <w:rPr>
                <w:sz w:val="15"/>
              </w:rPr>
              <w:t>What is RWA in 60 seconds?</w:t>
            </w:r>
          </w:p>
        </w:tc>
        <w:tc>
          <w:tcPr>
            <w:tcW w:type="dxa" w:w="1944"/>
            <w:tcMar>
              <w:top w:w="80" w:type="dxa"/>
              <w:start w:w="120" w:type="dxa"/>
              <w:bottom w:w="80" w:type="dxa"/>
              <w:end w:w="120" w:type="dxa"/>
            </w:tcMar>
            <w:vAlign w:val="center"/>
          </w:tcPr>
          <w:p>
            <w:pPr>
              <w:spacing w:after="40" w:line="252" w:lineRule="auto"/>
            </w:pPr>
            <w:r>
              <w:rPr>
                <w:sz w:val="15"/>
              </w:rPr>
              <w:t>60 Seconds</w:t>
            </w:r>
          </w:p>
        </w:tc>
        <w:tc>
          <w:tcPr>
            <w:tcW w:type="dxa" w:w="1728"/>
            <w:tcMar>
              <w:top w:w="80" w:type="dxa"/>
              <w:start w:w="120" w:type="dxa"/>
              <w:bottom w:w="80" w:type="dxa"/>
              <w:end w:w="120" w:type="dxa"/>
            </w:tcMar>
            <w:vAlign w:val="center"/>
          </w:tcPr>
          <w:p>
            <w:pPr>
              <w:spacing w:after="40" w:line="252" w:lineRule="auto"/>
            </w:pPr>
            <w:r>
              <w:rPr>
                <w:sz w:val="15"/>
              </w:rPr>
              <w:t>Short/Reel</w:t>
            </w:r>
          </w:p>
        </w:tc>
        <w:tc>
          <w:tcPr>
            <w:tcW w:type="dxa" w:w="1728"/>
            <w:tcMar>
              <w:top w:w="80" w:type="dxa"/>
              <w:start w:w="120" w:type="dxa"/>
              <w:bottom w:w="80" w:type="dxa"/>
              <w:end w:w="120" w:type="dxa"/>
            </w:tcMar>
            <w:vAlign w:val="center"/>
          </w:tcPr>
          <w:p>
            <w:pPr>
              <w:spacing w:after="40" w:line="252" w:lineRule="auto"/>
            </w:pPr>
            <w:r>
              <w:rPr>
                <w:sz w:val="15"/>
              </w:rPr>
              <w:t>Foundations lesson</w:t>
            </w:r>
          </w:p>
        </w:tc>
      </w:tr>
      <w:tr>
        <w:trPr>
          <w:cantSplit/>
        </w:trPr>
        <w:tc>
          <w:tcPr>
            <w:tcW w:type="dxa" w:w="504"/>
            <w:tcMar>
              <w:top w:w="80" w:type="dxa"/>
              <w:start w:w="120" w:type="dxa"/>
              <w:bottom w:w="80" w:type="dxa"/>
              <w:end w:w="120" w:type="dxa"/>
            </w:tcMar>
            <w:vAlign w:val="center"/>
          </w:tcPr>
          <w:p>
            <w:pPr>
              <w:spacing w:after="40" w:line="252" w:lineRule="auto"/>
            </w:pPr>
            <w:r>
              <w:rPr>
                <w:sz w:val="15"/>
              </w:rPr>
              <w:t>2</w:t>
            </w:r>
          </w:p>
        </w:tc>
        <w:tc>
          <w:tcPr>
            <w:tcW w:type="dxa" w:w="3456"/>
            <w:tcMar>
              <w:top w:w="80" w:type="dxa"/>
              <w:start w:w="120" w:type="dxa"/>
              <w:bottom w:w="80" w:type="dxa"/>
              <w:end w:w="120" w:type="dxa"/>
            </w:tcMar>
            <w:vAlign w:val="center"/>
          </w:tcPr>
          <w:p>
            <w:pPr>
              <w:spacing w:after="40" w:line="252" w:lineRule="auto"/>
            </w:pPr>
            <w:r>
              <w:rPr>
                <w:sz w:val="15"/>
              </w:rPr>
              <w:t>$10m loan × 75%: calculate RWA</w:t>
            </w:r>
          </w:p>
        </w:tc>
        <w:tc>
          <w:tcPr>
            <w:tcW w:type="dxa" w:w="1944"/>
            <w:tcMar>
              <w:top w:w="80" w:type="dxa"/>
              <w:start w:w="120" w:type="dxa"/>
              <w:bottom w:w="80" w:type="dxa"/>
              <w:end w:w="120" w:type="dxa"/>
            </w:tcMar>
            <w:vAlign w:val="center"/>
          </w:tcPr>
          <w:p>
            <w:pPr>
              <w:spacing w:after="40" w:line="252" w:lineRule="auto"/>
            </w:pPr>
            <w:r>
              <w:rPr>
                <w:sz w:val="15"/>
              </w:rPr>
              <w:t>Basel Challenge</w:t>
            </w:r>
          </w:p>
        </w:tc>
        <w:tc>
          <w:tcPr>
            <w:tcW w:type="dxa" w:w="1728"/>
            <w:tcMar>
              <w:top w:w="80" w:type="dxa"/>
              <w:start w:w="120" w:type="dxa"/>
              <w:bottom w:w="80" w:type="dxa"/>
              <w:end w:w="120" w:type="dxa"/>
            </w:tcMar>
            <w:vAlign w:val="center"/>
          </w:tcPr>
          <w:p>
            <w:pPr>
              <w:spacing w:after="40" w:line="252" w:lineRule="auto"/>
            </w:pPr>
            <w:r>
              <w:rPr>
                <w:sz w:val="15"/>
              </w:rPr>
              <w:t>Short/poll</w:t>
            </w:r>
          </w:p>
        </w:tc>
        <w:tc>
          <w:tcPr>
            <w:tcW w:type="dxa" w:w="1728"/>
            <w:tcMar>
              <w:top w:w="80" w:type="dxa"/>
              <w:start w:w="120" w:type="dxa"/>
              <w:bottom w:w="80" w:type="dxa"/>
              <w:end w:w="120" w:type="dxa"/>
            </w:tcMar>
            <w:vAlign w:val="center"/>
          </w:tcPr>
          <w:p>
            <w:pPr>
              <w:spacing w:after="40" w:line="252" w:lineRule="auto"/>
            </w:pPr>
            <w:r>
              <w:rPr>
                <w:sz w:val="15"/>
              </w:rPr>
              <w:t>RWA calculator</w:t>
            </w:r>
          </w:p>
        </w:tc>
      </w:tr>
      <w:tr>
        <w:trPr>
          <w:cantSplit/>
        </w:trPr>
        <w:tc>
          <w:tcPr>
            <w:tcW w:type="dxa" w:w="504"/>
            <w:tcMar>
              <w:top w:w="80" w:type="dxa"/>
              <w:start w:w="120" w:type="dxa"/>
              <w:bottom w:w="80" w:type="dxa"/>
              <w:end w:w="120" w:type="dxa"/>
            </w:tcMar>
            <w:vAlign w:val="center"/>
          </w:tcPr>
          <w:p>
            <w:pPr>
              <w:spacing w:after="40" w:line="252" w:lineRule="auto"/>
            </w:pPr>
            <w:r>
              <w:rPr>
                <w:sz w:val="15"/>
              </w:rPr>
              <w:t>3</w:t>
            </w:r>
          </w:p>
        </w:tc>
        <w:tc>
          <w:tcPr>
            <w:tcW w:type="dxa" w:w="3456"/>
            <w:tcMar>
              <w:top w:w="80" w:type="dxa"/>
              <w:start w:w="120" w:type="dxa"/>
              <w:bottom w:w="80" w:type="dxa"/>
              <w:end w:w="120" w:type="dxa"/>
            </w:tcMar>
            <w:vAlign w:val="center"/>
          </w:tcPr>
          <w:p>
            <w:pPr>
              <w:spacing w:after="40" w:line="252" w:lineRule="auto"/>
            </w:pPr>
            <w:r>
              <w:rPr>
                <w:sz w:val="15"/>
              </w:rPr>
              <w:t>Why exposure class comes before risk weight</w:t>
            </w:r>
          </w:p>
        </w:tc>
        <w:tc>
          <w:tcPr>
            <w:tcW w:type="dxa" w:w="1944"/>
            <w:tcMar>
              <w:top w:w="80" w:type="dxa"/>
              <w:start w:w="120" w:type="dxa"/>
              <w:bottom w:w="80" w:type="dxa"/>
              <w:end w:w="120" w:type="dxa"/>
            </w:tcMar>
            <w:vAlign w:val="center"/>
          </w:tcPr>
          <w:p>
            <w:pPr>
              <w:spacing w:after="40" w:line="252" w:lineRule="auto"/>
            </w:pPr>
            <w:r>
              <w:rPr>
                <w:sz w:val="15"/>
              </w:rPr>
              <w:t>Source to Calculation</w:t>
            </w:r>
          </w:p>
        </w:tc>
        <w:tc>
          <w:tcPr>
            <w:tcW w:type="dxa" w:w="1728"/>
            <w:tcMar>
              <w:top w:w="80" w:type="dxa"/>
              <w:start w:w="120" w:type="dxa"/>
              <w:bottom w:w="80" w:type="dxa"/>
              <w:end w:w="120" w:type="dxa"/>
            </w:tcMar>
            <w:vAlign w:val="center"/>
          </w:tcPr>
          <w:p>
            <w:pPr>
              <w:spacing w:after="40" w:line="252" w:lineRule="auto"/>
            </w:pPr>
            <w:r>
              <w:rPr>
                <w:sz w:val="15"/>
              </w:rPr>
              <w:t>YouTube + carousel</w:t>
            </w:r>
          </w:p>
        </w:tc>
        <w:tc>
          <w:tcPr>
            <w:tcW w:type="dxa" w:w="1728"/>
            <w:tcMar>
              <w:top w:w="80" w:type="dxa"/>
              <w:start w:w="120" w:type="dxa"/>
              <w:bottom w:w="80" w:type="dxa"/>
              <w:end w:w="120" w:type="dxa"/>
            </w:tcMar>
            <w:vAlign w:val="center"/>
          </w:tcPr>
          <w:p>
            <w:pPr>
              <w:spacing w:after="40" w:line="252" w:lineRule="auto"/>
            </w:pPr>
            <w:r>
              <w:rPr>
                <w:sz w:val="15"/>
              </w:rPr>
              <w:t>Corporate Golden Lesson</w:t>
            </w:r>
          </w:p>
        </w:tc>
      </w:tr>
      <w:tr>
        <w:trPr>
          <w:cantSplit/>
        </w:trPr>
        <w:tc>
          <w:tcPr>
            <w:tcW w:type="dxa" w:w="504"/>
            <w:tcMar>
              <w:top w:w="80" w:type="dxa"/>
              <w:start w:w="120" w:type="dxa"/>
              <w:bottom w:w="80" w:type="dxa"/>
              <w:end w:w="120" w:type="dxa"/>
            </w:tcMar>
            <w:vAlign w:val="center"/>
          </w:tcPr>
          <w:p>
            <w:pPr>
              <w:spacing w:after="40" w:line="252" w:lineRule="auto"/>
            </w:pPr>
            <w:r>
              <w:rPr>
                <w:sz w:val="15"/>
              </w:rPr>
              <w:t>4</w:t>
            </w:r>
          </w:p>
        </w:tc>
        <w:tc>
          <w:tcPr>
            <w:tcW w:type="dxa" w:w="3456"/>
            <w:tcMar>
              <w:top w:w="80" w:type="dxa"/>
              <w:start w:w="120" w:type="dxa"/>
              <w:bottom w:w="80" w:type="dxa"/>
              <w:end w:w="120" w:type="dxa"/>
            </w:tcMar>
            <w:vAlign w:val="center"/>
          </w:tcPr>
          <w:p>
            <w:pPr>
              <w:spacing w:after="40" w:line="252" w:lineRule="auto"/>
            </w:pPr>
            <w:r>
              <w:rPr>
                <w:sz w:val="15"/>
              </w:rPr>
              <w:t>What are CET1, AT1 and Tier 2?</w:t>
            </w:r>
          </w:p>
        </w:tc>
        <w:tc>
          <w:tcPr>
            <w:tcW w:type="dxa" w:w="1944"/>
            <w:tcMar>
              <w:top w:w="80" w:type="dxa"/>
              <w:start w:w="120" w:type="dxa"/>
              <w:bottom w:w="80" w:type="dxa"/>
              <w:end w:w="120" w:type="dxa"/>
            </w:tcMar>
            <w:vAlign w:val="center"/>
          </w:tcPr>
          <w:p>
            <w:pPr>
              <w:spacing w:after="40" w:line="252" w:lineRule="auto"/>
            </w:pPr>
            <w:r>
              <w:rPr>
                <w:sz w:val="15"/>
              </w:rPr>
              <w:t>60 Seconds</w:t>
            </w:r>
          </w:p>
        </w:tc>
        <w:tc>
          <w:tcPr>
            <w:tcW w:type="dxa" w:w="1728"/>
            <w:tcMar>
              <w:top w:w="80" w:type="dxa"/>
              <w:start w:w="120" w:type="dxa"/>
              <w:bottom w:w="80" w:type="dxa"/>
              <w:end w:w="120" w:type="dxa"/>
            </w:tcMar>
            <w:vAlign w:val="center"/>
          </w:tcPr>
          <w:p>
            <w:pPr>
              <w:spacing w:after="40" w:line="252" w:lineRule="auto"/>
            </w:pPr>
            <w:r>
              <w:rPr>
                <w:sz w:val="15"/>
              </w:rPr>
              <w:t>Carousel/Short</w:t>
            </w:r>
          </w:p>
        </w:tc>
        <w:tc>
          <w:tcPr>
            <w:tcW w:type="dxa" w:w="1728"/>
            <w:tcMar>
              <w:top w:w="80" w:type="dxa"/>
              <w:start w:w="120" w:type="dxa"/>
              <w:bottom w:w="80" w:type="dxa"/>
              <w:end w:w="120" w:type="dxa"/>
            </w:tcMar>
            <w:vAlign w:val="center"/>
          </w:tcPr>
          <w:p>
            <w:pPr>
              <w:spacing w:after="40" w:line="252" w:lineRule="auto"/>
            </w:pPr>
            <w:r>
              <w:rPr>
                <w:sz w:val="15"/>
              </w:rPr>
              <w:t>Capital stack module</w:t>
            </w:r>
          </w:p>
        </w:tc>
      </w:tr>
      <w:tr>
        <w:trPr>
          <w:cantSplit/>
        </w:trPr>
        <w:tc>
          <w:tcPr>
            <w:tcW w:type="dxa" w:w="504"/>
            <w:tcMar>
              <w:top w:w="80" w:type="dxa"/>
              <w:start w:w="120" w:type="dxa"/>
              <w:bottom w:w="80" w:type="dxa"/>
              <w:end w:w="120" w:type="dxa"/>
            </w:tcMar>
            <w:vAlign w:val="center"/>
          </w:tcPr>
          <w:p>
            <w:pPr>
              <w:spacing w:after="40" w:line="252" w:lineRule="auto"/>
            </w:pPr>
            <w:r>
              <w:rPr>
                <w:sz w:val="15"/>
              </w:rPr>
              <w:t>5</w:t>
            </w:r>
          </w:p>
        </w:tc>
        <w:tc>
          <w:tcPr>
            <w:tcW w:type="dxa" w:w="3456"/>
            <w:tcMar>
              <w:top w:w="80" w:type="dxa"/>
              <w:start w:w="120" w:type="dxa"/>
              <w:bottom w:w="80" w:type="dxa"/>
              <w:end w:w="120" w:type="dxa"/>
            </w:tcMar>
            <w:vAlign w:val="center"/>
          </w:tcPr>
          <w:p>
            <w:pPr>
              <w:spacing w:after="40" w:line="252" w:lineRule="auto"/>
            </w:pPr>
            <w:r>
              <w:rPr>
                <w:sz w:val="15"/>
              </w:rPr>
              <w:t>Capital ratio: numerator vs denominator</w:t>
            </w:r>
          </w:p>
        </w:tc>
        <w:tc>
          <w:tcPr>
            <w:tcW w:type="dxa" w:w="1944"/>
            <w:tcMar>
              <w:top w:w="80" w:type="dxa"/>
              <w:start w:w="120" w:type="dxa"/>
              <w:bottom w:w="80" w:type="dxa"/>
              <w:end w:w="120" w:type="dxa"/>
            </w:tcMar>
            <w:vAlign w:val="center"/>
          </w:tcPr>
          <w:p>
            <w:pPr>
              <w:spacing w:after="40" w:line="252" w:lineRule="auto"/>
            </w:pPr>
            <w:r>
              <w:rPr>
                <w:sz w:val="15"/>
              </w:rPr>
              <w:t>60 Seconds</w:t>
            </w:r>
          </w:p>
        </w:tc>
        <w:tc>
          <w:tcPr>
            <w:tcW w:type="dxa" w:w="1728"/>
            <w:tcMar>
              <w:top w:w="80" w:type="dxa"/>
              <w:start w:w="120" w:type="dxa"/>
              <w:bottom w:w="80" w:type="dxa"/>
              <w:end w:w="120" w:type="dxa"/>
            </w:tcMar>
            <w:vAlign w:val="center"/>
          </w:tcPr>
          <w:p>
            <w:pPr>
              <w:spacing w:after="40" w:line="252" w:lineRule="auto"/>
            </w:pPr>
            <w:r>
              <w:rPr>
                <w:sz w:val="15"/>
              </w:rPr>
              <w:t>Short</w:t>
            </w:r>
          </w:p>
        </w:tc>
        <w:tc>
          <w:tcPr>
            <w:tcW w:type="dxa" w:w="1728"/>
            <w:tcMar>
              <w:top w:w="80" w:type="dxa"/>
              <w:start w:w="120" w:type="dxa"/>
              <w:bottom w:w="80" w:type="dxa"/>
              <w:end w:w="120" w:type="dxa"/>
            </w:tcMar>
            <w:vAlign w:val="center"/>
          </w:tcPr>
          <w:p>
            <w:pPr>
              <w:spacing w:after="40" w:line="252" w:lineRule="auto"/>
            </w:pPr>
            <w:r>
              <w:rPr>
                <w:sz w:val="15"/>
              </w:rPr>
              <w:t>Foundations assessment</w:t>
            </w:r>
          </w:p>
        </w:tc>
      </w:tr>
      <w:tr>
        <w:trPr>
          <w:cantSplit/>
        </w:trPr>
        <w:tc>
          <w:tcPr>
            <w:tcW w:type="dxa" w:w="504"/>
            <w:tcMar>
              <w:top w:w="80" w:type="dxa"/>
              <w:start w:w="120" w:type="dxa"/>
              <w:bottom w:w="80" w:type="dxa"/>
              <w:end w:w="120" w:type="dxa"/>
            </w:tcMar>
            <w:vAlign w:val="center"/>
          </w:tcPr>
          <w:p>
            <w:pPr>
              <w:spacing w:after="40" w:line="252" w:lineRule="auto"/>
            </w:pPr>
            <w:r>
              <w:rPr>
                <w:sz w:val="15"/>
              </w:rPr>
              <w:t>6</w:t>
            </w:r>
          </w:p>
        </w:tc>
        <w:tc>
          <w:tcPr>
            <w:tcW w:type="dxa" w:w="3456"/>
            <w:tcMar>
              <w:top w:w="80" w:type="dxa"/>
              <w:start w:w="120" w:type="dxa"/>
              <w:bottom w:w="80" w:type="dxa"/>
              <w:end w:w="120" w:type="dxa"/>
            </w:tcMar>
            <w:vAlign w:val="center"/>
          </w:tcPr>
          <w:p>
            <w:pPr>
              <w:spacing w:after="40" w:line="252" w:lineRule="auto"/>
            </w:pPr>
            <w:r>
              <w:rPr>
                <w:sz w:val="15"/>
              </w:rPr>
              <w:t>What is EAD—and why it is not always balance?</w:t>
            </w:r>
          </w:p>
        </w:tc>
        <w:tc>
          <w:tcPr>
            <w:tcW w:type="dxa" w:w="1944"/>
            <w:tcMar>
              <w:top w:w="80" w:type="dxa"/>
              <w:start w:w="120" w:type="dxa"/>
              <w:bottom w:w="80" w:type="dxa"/>
              <w:end w:w="120" w:type="dxa"/>
            </w:tcMar>
            <w:vAlign w:val="center"/>
          </w:tcPr>
          <w:p>
            <w:pPr>
              <w:spacing w:after="40" w:line="252" w:lineRule="auto"/>
            </w:pPr>
            <w:r>
              <w:rPr>
                <w:sz w:val="15"/>
              </w:rPr>
              <w:t>60 Seconds</w:t>
            </w:r>
          </w:p>
        </w:tc>
        <w:tc>
          <w:tcPr>
            <w:tcW w:type="dxa" w:w="1728"/>
            <w:tcMar>
              <w:top w:w="80" w:type="dxa"/>
              <w:start w:w="120" w:type="dxa"/>
              <w:bottom w:w="80" w:type="dxa"/>
              <w:end w:w="120" w:type="dxa"/>
            </w:tcMar>
            <w:vAlign w:val="center"/>
          </w:tcPr>
          <w:p>
            <w:pPr>
              <w:spacing w:after="40" w:line="252" w:lineRule="auto"/>
            </w:pPr>
            <w:r>
              <w:rPr>
                <w:sz w:val="15"/>
              </w:rPr>
              <w:t>YouTube/Short</w:t>
            </w:r>
          </w:p>
        </w:tc>
        <w:tc>
          <w:tcPr>
            <w:tcW w:type="dxa" w:w="1728"/>
            <w:tcMar>
              <w:top w:w="80" w:type="dxa"/>
              <w:start w:w="120" w:type="dxa"/>
              <w:bottom w:w="80" w:type="dxa"/>
              <w:end w:w="120" w:type="dxa"/>
            </w:tcMar>
            <w:vAlign w:val="center"/>
          </w:tcPr>
          <w:p>
            <w:pPr>
              <w:spacing w:after="40" w:line="252" w:lineRule="auto"/>
            </w:pPr>
            <w:r>
              <w:rPr>
                <w:sz w:val="15"/>
              </w:rPr>
              <w:t>EAD lab</w:t>
            </w:r>
          </w:p>
        </w:tc>
      </w:tr>
      <w:tr>
        <w:trPr>
          <w:cantSplit/>
        </w:trPr>
        <w:tc>
          <w:tcPr>
            <w:tcW w:type="dxa" w:w="504"/>
            <w:tcMar>
              <w:top w:w="80" w:type="dxa"/>
              <w:start w:w="120" w:type="dxa"/>
              <w:bottom w:w="80" w:type="dxa"/>
              <w:end w:w="120" w:type="dxa"/>
            </w:tcMar>
            <w:vAlign w:val="center"/>
          </w:tcPr>
          <w:p>
            <w:pPr>
              <w:spacing w:after="40" w:line="252" w:lineRule="auto"/>
            </w:pPr>
            <w:r>
              <w:rPr>
                <w:sz w:val="15"/>
              </w:rPr>
              <w:t>7</w:t>
            </w:r>
          </w:p>
        </w:tc>
        <w:tc>
          <w:tcPr>
            <w:tcW w:type="dxa" w:w="3456"/>
            <w:tcMar>
              <w:top w:w="80" w:type="dxa"/>
              <w:start w:w="120" w:type="dxa"/>
              <w:bottom w:w="80" w:type="dxa"/>
              <w:end w:w="120" w:type="dxa"/>
            </w:tcMar>
            <w:vAlign w:val="center"/>
          </w:tcPr>
          <w:p>
            <w:pPr>
              <w:spacing w:after="40" w:line="252" w:lineRule="auto"/>
            </w:pPr>
            <w:r>
              <w:rPr>
                <w:sz w:val="15"/>
              </w:rPr>
              <w:t>CCF explained with an off-balance-sheet example</w:t>
            </w:r>
          </w:p>
        </w:tc>
        <w:tc>
          <w:tcPr>
            <w:tcW w:type="dxa" w:w="1944"/>
            <w:tcMar>
              <w:top w:w="80" w:type="dxa"/>
              <w:start w:w="120" w:type="dxa"/>
              <w:bottom w:w="80" w:type="dxa"/>
              <w:end w:w="120" w:type="dxa"/>
            </w:tcMar>
            <w:vAlign w:val="center"/>
          </w:tcPr>
          <w:p>
            <w:pPr>
              <w:spacing w:after="40" w:line="252" w:lineRule="auto"/>
            </w:pPr>
            <w:r>
              <w:rPr>
                <w:sz w:val="15"/>
              </w:rPr>
              <w:t>Source to Calculation</w:t>
            </w:r>
          </w:p>
        </w:tc>
        <w:tc>
          <w:tcPr>
            <w:tcW w:type="dxa" w:w="1728"/>
            <w:tcMar>
              <w:top w:w="80" w:type="dxa"/>
              <w:start w:w="120" w:type="dxa"/>
              <w:bottom w:w="80" w:type="dxa"/>
              <w:end w:w="120" w:type="dxa"/>
            </w:tcMar>
            <w:vAlign w:val="center"/>
          </w:tcPr>
          <w:p>
            <w:pPr>
              <w:spacing w:after="40" w:line="252" w:lineRule="auto"/>
            </w:pPr>
            <w:r>
              <w:rPr>
                <w:sz w:val="15"/>
              </w:rPr>
              <w:t>YouTube + thread</w:t>
            </w:r>
          </w:p>
        </w:tc>
        <w:tc>
          <w:tcPr>
            <w:tcW w:type="dxa" w:w="1728"/>
            <w:tcMar>
              <w:top w:w="80" w:type="dxa"/>
              <w:start w:w="120" w:type="dxa"/>
              <w:bottom w:w="80" w:type="dxa"/>
              <w:end w:w="120" w:type="dxa"/>
            </w:tcMar>
            <w:vAlign w:val="center"/>
          </w:tcPr>
          <w:p>
            <w:pPr>
              <w:spacing w:after="40" w:line="252" w:lineRule="auto"/>
            </w:pPr>
            <w:r>
              <w:rPr>
                <w:sz w:val="15"/>
              </w:rPr>
              <w:t>CCF calculator</w:t>
            </w:r>
          </w:p>
        </w:tc>
      </w:tr>
      <w:tr>
        <w:trPr>
          <w:cantSplit/>
        </w:trPr>
        <w:tc>
          <w:tcPr>
            <w:tcW w:type="dxa" w:w="504"/>
            <w:tcMar>
              <w:top w:w="80" w:type="dxa"/>
              <w:start w:w="120" w:type="dxa"/>
              <w:bottom w:w="80" w:type="dxa"/>
              <w:end w:w="120" w:type="dxa"/>
            </w:tcMar>
            <w:vAlign w:val="center"/>
          </w:tcPr>
          <w:p>
            <w:pPr>
              <w:spacing w:after="40" w:line="252" w:lineRule="auto"/>
            </w:pPr>
            <w:r>
              <w:rPr>
                <w:sz w:val="15"/>
              </w:rPr>
              <w:t>8</w:t>
            </w:r>
          </w:p>
        </w:tc>
        <w:tc>
          <w:tcPr>
            <w:tcW w:type="dxa" w:w="3456"/>
            <w:tcMar>
              <w:top w:w="80" w:type="dxa"/>
              <w:start w:w="120" w:type="dxa"/>
              <w:bottom w:w="80" w:type="dxa"/>
              <w:end w:w="120" w:type="dxa"/>
            </w:tcMar>
            <w:vAlign w:val="center"/>
          </w:tcPr>
          <w:p>
            <w:pPr>
              <w:spacing w:after="40" w:line="252" w:lineRule="auto"/>
            </w:pPr>
            <w:r>
              <w:rPr>
                <w:sz w:val="15"/>
              </w:rPr>
              <w:t>Corporate vs retail exposure: first classification test</w:t>
            </w:r>
          </w:p>
        </w:tc>
        <w:tc>
          <w:tcPr>
            <w:tcW w:type="dxa" w:w="1944"/>
            <w:tcMar>
              <w:top w:w="80" w:type="dxa"/>
              <w:start w:w="120" w:type="dxa"/>
              <w:bottom w:w="80" w:type="dxa"/>
              <w:end w:w="120" w:type="dxa"/>
            </w:tcMar>
            <w:vAlign w:val="center"/>
          </w:tcPr>
          <w:p>
            <w:pPr>
              <w:spacing w:after="40" w:line="252" w:lineRule="auto"/>
            </w:pPr>
            <w:r>
              <w:rPr>
                <w:sz w:val="15"/>
              </w:rPr>
              <w:t>Basel Challenge</w:t>
            </w:r>
          </w:p>
        </w:tc>
        <w:tc>
          <w:tcPr>
            <w:tcW w:type="dxa" w:w="1728"/>
            <w:tcMar>
              <w:top w:w="80" w:type="dxa"/>
              <w:start w:w="120" w:type="dxa"/>
              <w:bottom w:w="80" w:type="dxa"/>
              <w:end w:w="120" w:type="dxa"/>
            </w:tcMar>
            <w:vAlign w:val="center"/>
          </w:tcPr>
          <w:p>
            <w:pPr>
              <w:spacing w:after="40" w:line="252" w:lineRule="auto"/>
            </w:pPr>
            <w:r>
              <w:rPr>
                <w:sz w:val="15"/>
              </w:rPr>
              <w:t>Carousel/poll</w:t>
            </w:r>
          </w:p>
        </w:tc>
        <w:tc>
          <w:tcPr>
            <w:tcW w:type="dxa" w:w="1728"/>
            <w:tcMar>
              <w:top w:w="80" w:type="dxa"/>
              <w:start w:w="120" w:type="dxa"/>
              <w:bottom w:w="80" w:type="dxa"/>
              <w:end w:w="120" w:type="dxa"/>
            </w:tcMar>
            <w:vAlign w:val="center"/>
          </w:tcPr>
          <w:p>
            <w:pPr>
              <w:spacing w:after="40" w:line="252" w:lineRule="auto"/>
            </w:pPr>
            <w:r>
              <w:rPr>
                <w:sz w:val="15"/>
              </w:rPr>
              <w:t>Classification practice</w:t>
            </w:r>
          </w:p>
        </w:tc>
      </w:tr>
      <w:tr>
        <w:trPr>
          <w:cantSplit/>
        </w:trPr>
        <w:tc>
          <w:tcPr>
            <w:tcW w:type="dxa" w:w="504"/>
            <w:tcMar>
              <w:top w:w="80" w:type="dxa"/>
              <w:start w:w="120" w:type="dxa"/>
              <w:bottom w:w="80" w:type="dxa"/>
              <w:end w:w="120" w:type="dxa"/>
            </w:tcMar>
            <w:vAlign w:val="center"/>
          </w:tcPr>
          <w:p>
            <w:pPr>
              <w:spacing w:after="40" w:line="252" w:lineRule="auto"/>
            </w:pPr>
            <w:r>
              <w:rPr>
                <w:sz w:val="15"/>
              </w:rPr>
              <w:t>9</w:t>
            </w:r>
          </w:p>
        </w:tc>
        <w:tc>
          <w:tcPr>
            <w:tcW w:type="dxa" w:w="3456"/>
            <w:tcMar>
              <w:top w:w="80" w:type="dxa"/>
              <w:start w:w="120" w:type="dxa"/>
              <w:bottom w:w="80" w:type="dxa"/>
              <w:end w:w="120" w:type="dxa"/>
            </w:tcMar>
            <w:vAlign w:val="center"/>
          </w:tcPr>
          <w:p>
            <w:pPr>
              <w:spacing w:after="40" w:line="252" w:lineRule="auto"/>
            </w:pPr>
            <w:r>
              <w:rPr>
                <w:sz w:val="15"/>
              </w:rPr>
              <w:t>What happens to RWA when credit quality deteriorates?</w:t>
            </w:r>
          </w:p>
        </w:tc>
        <w:tc>
          <w:tcPr>
            <w:tcW w:type="dxa" w:w="1944"/>
            <w:tcMar>
              <w:top w:w="80" w:type="dxa"/>
              <w:start w:w="120" w:type="dxa"/>
              <w:bottom w:w="80" w:type="dxa"/>
              <w:end w:w="120" w:type="dxa"/>
            </w:tcMar>
            <w:vAlign w:val="center"/>
          </w:tcPr>
          <w:p>
            <w:pPr>
              <w:spacing w:after="40" w:line="252" w:lineRule="auto"/>
            </w:pPr>
            <w:r>
              <w:rPr>
                <w:sz w:val="15"/>
              </w:rPr>
              <w:t>Inside FinBank</w:t>
            </w:r>
          </w:p>
        </w:tc>
        <w:tc>
          <w:tcPr>
            <w:tcW w:type="dxa" w:w="1728"/>
            <w:tcMar>
              <w:top w:w="80" w:type="dxa"/>
              <w:start w:w="120" w:type="dxa"/>
              <w:bottom w:w="80" w:type="dxa"/>
              <w:end w:w="120" w:type="dxa"/>
            </w:tcMar>
            <w:vAlign w:val="center"/>
          </w:tcPr>
          <w:p>
            <w:pPr>
              <w:spacing w:after="40" w:line="252" w:lineRule="auto"/>
            </w:pPr>
            <w:r>
              <w:rPr>
                <w:sz w:val="15"/>
              </w:rPr>
              <w:t>Animated Short</w:t>
            </w:r>
          </w:p>
        </w:tc>
        <w:tc>
          <w:tcPr>
            <w:tcW w:type="dxa" w:w="1728"/>
            <w:tcMar>
              <w:top w:w="80" w:type="dxa"/>
              <w:start w:w="120" w:type="dxa"/>
              <w:bottom w:w="80" w:type="dxa"/>
              <w:end w:w="120" w:type="dxa"/>
            </w:tcMar>
            <w:vAlign w:val="center"/>
          </w:tcPr>
          <w:p>
            <w:pPr>
              <w:spacing w:after="40" w:line="252" w:lineRule="auto"/>
            </w:pPr>
            <w:r>
              <w:rPr>
                <w:sz w:val="15"/>
              </w:rPr>
              <w:t>Scenario simulator</w:t>
            </w:r>
          </w:p>
        </w:tc>
      </w:tr>
      <w:tr>
        <w:trPr>
          <w:cantSplit/>
        </w:trPr>
        <w:tc>
          <w:tcPr>
            <w:tcW w:type="dxa" w:w="504"/>
            <w:tcMar>
              <w:top w:w="80" w:type="dxa"/>
              <w:start w:w="120" w:type="dxa"/>
              <w:bottom w:w="80" w:type="dxa"/>
              <w:end w:w="120" w:type="dxa"/>
            </w:tcMar>
            <w:vAlign w:val="center"/>
          </w:tcPr>
          <w:p>
            <w:pPr>
              <w:spacing w:after="40" w:line="252" w:lineRule="auto"/>
            </w:pPr>
            <w:r>
              <w:rPr>
                <w:sz w:val="15"/>
              </w:rPr>
              <w:t>10</w:t>
            </w:r>
          </w:p>
        </w:tc>
        <w:tc>
          <w:tcPr>
            <w:tcW w:type="dxa" w:w="3456"/>
            <w:tcMar>
              <w:top w:w="80" w:type="dxa"/>
              <w:start w:w="120" w:type="dxa"/>
              <w:bottom w:w="80" w:type="dxa"/>
              <w:end w:w="120" w:type="dxa"/>
            </w:tcMar>
            <w:vAlign w:val="center"/>
          </w:tcPr>
          <w:p>
            <w:pPr>
              <w:spacing w:after="40" w:line="252" w:lineRule="auto"/>
            </w:pPr>
            <w:r>
              <w:rPr>
                <w:sz w:val="15"/>
              </w:rPr>
              <w:t>Can collateral automatically reduce RWA?</w:t>
            </w:r>
          </w:p>
        </w:tc>
        <w:tc>
          <w:tcPr>
            <w:tcW w:type="dxa" w:w="1944"/>
            <w:tcMar>
              <w:top w:w="80" w:type="dxa"/>
              <w:start w:w="120" w:type="dxa"/>
              <w:bottom w:w="80" w:type="dxa"/>
              <w:end w:w="120" w:type="dxa"/>
            </w:tcMar>
            <w:vAlign w:val="center"/>
          </w:tcPr>
          <w:p>
            <w:pPr>
              <w:spacing w:after="40" w:line="252" w:lineRule="auto"/>
            </w:pPr>
            <w:r>
              <w:rPr>
                <w:sz w:val="15"/>
              </w:rPr>
              <w:t>Ask the Tutor</w:t>
            </w:r>
          </w:p>
        </w:tc>
        <w:tc>
          <w:tcPr>
            <w:tcW w:type="dxa" w:w="1728"/>
            <w:tcMar>
              <w:top w:w="80" w:type="dxa"/>
              <w:start w:w="120" w:type="dxa"/>
              <w:bottom w:w="80" w:type="dxa"/>
              <w:end w:w="120" w:type="dxa"/>
            </w:tcMar>
            <w:vAlign w:val="center"/>
          </w:tcPr>
          <w:p>
            <w:pPr>
              <w:spacing w:after="40" w:line="252" w:lineRule="auto"/>
            </w:pPr>
            <w:r>
              <w:rPr>
                <w:sz w:val="15"/>
              </w:rPr>
              <w:t>Short/Q&amp;A</w:t>
            </w:r>
          </w:p>
        </w:tc>
        <w:tc>
          <w:tcPr>
            <w:tcW w:type="dxa" w:w="1728"/>
            <w:tcMar>
              <w:top w:w="80" w:type="dxa"/>
              <w:start w:w="120" w:type="dxa"/>
              <w:bottom w:w="80" w:type="dxa"/>
              <w:end w:w="120" w:type="dxa"/>
            </w:tcMar>
            <w:vAlign w:val="center"/>
          </w:tcPr>
          <w:p>
            <w:pPr>
              <w:spacing w:after="40" w:line="252" w:lineRule="auto"/>
            </w:pPr>
            <w:r>
              <w:rPr>
                <w:sz w:val="15"/>
              </w:rPr>
              <w:t>Tutor session</w:t>
            </w:r>
          </w:p>
        </w:tc>
      </w:tr>
      <w:tr>
        <w:trPr>
          <w:cantSplit/>
        </w:trPr>
        <w:tc>
          <w:tcPr>
            <w:tcW w:type="dxa" w:w="504"/>
            <w:tcMar>
              <w:top w:w="80" w:type="dxa"/>
              <w:start w:w="120" w:type="dxa"/>
              <w:bottom w:w="80" w:type="dxa"/>
              <w:end w:w="120" w:type="dxa"/>
            </w:tcMar>
            <w:vAlign w:val="center"/>
          </w:tcPr>
          <w:p>
            <w:pPr>
              <w:spacing w:after="40" w:line="252" w:lineRule="auto"/>
            </w:pPr>
            <w:r>
              <w:rPr>
                <w:sz w:val="15"/>
              </w:rPr>
              <w:t>11</w:t>
            </w:r>
          </w:p>
        </w:tc>
        <w:tc>
          <w:tcPr>
            <w:tcW w:type="dxa" w:w="3456"/>
            <w:tcMar>
              <w:top w:w="80" w:type="dxa"/>
              <w:start w:w="120" w:type="dxa"/>
              <w:bottom w:w="80" w:type="dxa"/>
              <w:end w:w="120" w:type="dxa"/>
            </w:tcMar>
            <w:vAlign w:val="center"/>
          </w:tcPr>
          <w:p>
            <w:pPr>
              <w:spacing w:after="40" w:line="252" w:lineRule="auto"/>
            </w:pPr>
            <w:r>
              <w:rPr>
                <w:sz w:val="15"/>
              </w:rPr>
              <w:t>Basel capital buffers explained</w:t>
            </w:r>
          </w:p>
        </w:tc>
        <w:tc>
          <w:tcPr>
            <w:tcW w:type="dxa" w:w="1944"/>
            <w:tcMar>
              <w:top w:w="80" w:type="dxa"/>
              <w:start w:w="120" w:type="dxa"/>
              <w:bottom w:w="80" w:type="dxa"/>
              <w:end w:w="120" w:type="dxa"/>
            </w:tcMar>
            <w:vAlign w:val="center"/>
          </w:tcPr>
          <w:p>
            <w:pPr>
              <w:spacing w:after="40" w:line="252" w:lineRule="auto"/>
            </w:pPr>
            <w:r>
              <w:rPr>
                <w:sz w:val="15"/>
              </w:rPr>
              <w:t>60 Seconds</w:t>
            </w:r>
          </w:p>
        </w:tc>
        <w:tc>
          <w:tcPr>
            <w:tcW w:type="dxa" w:w="1728"/>
            <w:tcMar>
              <w:top w:w="80" w:type="dxa"/>
              <w:start w:w="120" w:type="dxa"/>
              <w:bottom w:w="80" w:type="dxa"/>
              <w:end w:w="120" w:type="dxa"/>
            </w:tcMar>
            <w:vAlign w:val="center"/>
          </w:tcPr>
          <w:p>
            <w:pPr>
              <w:spacing w:after="40" w:line="252" w:lineRule="auto"/>
            </w:pPr>
            <w:r>
              <w:rPr>
                <w:sz w:val="15"/>
              </w:rPr>
              <w:t>YouTube + carousel</w:t>
            </w:r>
          </w:p>
        </w:tc>
        <w:tc>
          <w:tcPr>
            <w:tcW w:type="dxa" w:w="1728"/>
            <w:tcMar>
              <w:top w:w="80" w:type="dxa"/>
              <w:start w:w="120" w:type="dxa"/>
              <w:bottom w:w="80" w:type="dxa"/>
              <w:end w:w="120" w:type="dxa"/>
            </w:tcMar>
            <w:vAlign w:val="center"/>
          </w:tcPr>
          <w:p>
            <w:pPr>
              <w:spacing w:after="40" w:line="252" w:lineRule="auto"/>
            </w:pPr>
            <w:r>
              <w:rPr>
                <w:sz w:val="15"/>
              </w:rPr>
              <w:t>Buffers lesson</w:t>
            </w:r>
          </w:p>
        </w:tc>
      </w:tr>
      <w:tr>
        <w:trPr>
          <w:cantSplit/>
        </w:trPr>
        <w:tc>
          <w:tcPr>
            <w:tcW w:type="dxa" w:w="504"/>
            <w:tcMar>
              <w:top w:w="80" w:type="dxa"/>
              <w:start w:w="120" w:type="dxa"/>
              <w:bottom w:w="80" w:type="dxa"/>
              <w:end w:w="120" w:type="dxa"/>
            </w:tcMar>
            <w:vAlign w:val="center"/>
          </w:tcPr>
          <w:p>
            <w:pPr>
              <w:spacing w:after="40" w:line="252" w:lineRule="auto"/>
            </w:pPr>
            <w:r>
              <w:rPr>
                <w:sz w:val="15"/>
              </w:rPr>
              <w:t>12</w:t>
            </w:r>
          </w:p>
        </w:tc>
        <w:tc>
          <w:tcPr>
            <w:tcW w:type="dxa" w:w="3456"/>
            <w:tcMar>
              <w:top w:w="80" w:type="dxa"/>
              <w:start w:w="120" w:type="dxa"/>
              <w:bottom w:w="80" w:type="dxa"/>
              <w:end w:w="120" w:type="dxa"/>
            </w:tcMar>
            <w:vAlign w:val="center"/>
          </w:tcPr>
          <w:p>
            <w:pPr>
              <w:spacing w:after="40" w:line="252" w:lineRule="auto"/>
            </w:pPr>
            <w:r>
              <w:rPr>
                <w:sz w:val="15"/>
              </w:rPr>
              <w:t>Minimum capital vs management target</w:t>
            </w:r>
          </w:p>
        </w:tc>
        <w:tc>
          <w:tcPr>
            <w:tcW w:type="dxa" w:w="1944"/>
            <w:tcMar>
              <w:top w:w="80" w:type="dxa"/>
              <w:start w:w="120" w:type="dxa"/>
              <w:bottom w:w="80" w:type="dxa"/>
              <w:end w:w="120" w:type="dxa"/>
            </w:tcMar>
            <w:vAlign w:val="center"/>
          </w:tcPr>
          <w:p>
            <w:pPr>
              <w:spacing w:after="40" w:line="252" w:lineRule="auto"/>
            </w:pPr>
            <w:r>
              <w:rPr>
                <w:sz w:val="15"/>
              </w:rPr>
              <w:t>Inside FinBank</w:t>
            </w:r>
          </w:p>
        </w:tc>
        <w:tc>
          <w:tcPr>
            <w:tcW w:type="dxa" w:w="1728"/>
            <w:tcMar>
              <w:top w:w="80" w:type="dxa"/>
              <w:start w:w="120" w:type="dxa"/>
              <w:bottom w:w="80" w:type="dxa"/>
              <w:end w:w="120" w:type="dxa"/>
            </w:tcMar>
            <w:vAlign w:val="center"/>
          </w:tcPr>
          <w:p>
            <w:pPr>
              <w:spacing w:after="40" w:line="252" w:lineRule="auto"/>
            </w:pPr>
            <w:r>
              <w:rPr>
                <w:sz w:val="15"/>
              </w:rPr>
              <w:t>LinkedIn post</w:t>
            </w:r>
          </w:p>
        </w:tc>
        <w:tc>
          <w:tcPr>
            <w:tcW w:type="dxa" w:w="1728"/>
            <w:tcMar>
              <w:top w:w="80" w:type="dxa"/>
              <w:start w:w="120" w:type="dxa"/>
              <w:bottom w:w="80" w:type="dxa"/>
              <w:end w:w="120" w:type="dxa"/>
            </w:tcMar>
            <w:vAlign w:val="center"/>
          </w:tcPr>
          <w:p>
            <w:pPr>
              <w:spacing w:after="40" w:line="252" w:lineRule="auto"/>
            </w:pPr>
            <w:r>
              <w:rPr>
                <w:sz w:val="15"/>
              </w:rPr>
              <w:t>Capital planning Pod</w:t>
            </w:r>
          </w:p>
        </w:tc>
      </w:tr>
      <w:tr>
        <w:trPr>
          <w:cantSplit/>
        </w:trPr>
        <w:tc>
          <w:tcPr>
            <w:tcW w:type="dxa" w:w="504"/>
            <w:tcMar>
              <w:top w:w="80" w:type="dxa"/>
              <w:start w:w="120" w:type="dxa"/>
              <w:bottom w:w="80" w:type="dxa"/>
              <w:end w:w="120" w:type="dxa"/>
            </w:tcMar>
            <w:vAlign w:val="center"/>
          </w:tcPr>
          <w:p>
            <w:pPr>
              <w:spacing w:after="40" w:line="252" w:lineRule="auto"/>
            </w:pPr>
            <w:r>
              <w:rPr>
                <w:sz w:val="15"/>
              </w:rPr>
              <w:t>13</w:t>
            </w:r>
          </w:p>
        </w:tc>
        <w:tc>
          <w:tcPr>
            <w:tcW w:type="dxa" w:w="3456"/>
            <w:tcMar>
              <w:top w:w="80" w:type="dxa"/>
              <w:start w:w="120" w:type="dxa"/>
              <w:bottom w:w="80" w:type="dxa"/>
              <w:end w:w="120" w:type="dxa"/>
            </w:tcMar>
            <w:vAlign w:val="center"/>
          </w:tcPr>
          <w:p>
            <w:pPr>
              <w:spacing w:after="40" w:line="252" w:lineRule="auto"/>
            </w:pPr>
            <w:r>
              <w:rPr>
                <w:sz w:val="15"/>
              </w:rPr>
              <w:t>Same corporate loan: BCBS vs SAMA</w:t>
            </w:r>
          </w:p>
        </w:tc>
        <w:tc>
          <w:tcPr>
            <w:tcW w:type="dxa" w:w="1944"/>
            <w:tcMar>
              <w:top w:w="80" w:type="dxa"/>
              <w:start w:w="120" w:type="dxa"/>
              <w:bottom w:w="80" w:type="dxa"/>
              <w:end w:w="120" w:type="dxa"/>
            </w:tcMar>
            <w:vAlign w:val="center"/>
          </w:tcPr>
          <w:p>
            <w:pPr>
              <w:spacing w:after="40" w:line="252" w:lineRule="auto"/>
            </w:pPr>
            <w:r>
              <w:rPr>
                <w:sz w:val="15"/>
              </w:rPr>
              <w:t>Same Loan, Different Country</w:t>
            </w:r>
          </w:p>
        </w:tc>
        <w:tc>
          <w:tcPr>
            <w:tcW w:type="dxa" w:w="1728"/>
            <w:tcMar>
              <w:top w:w="80" w:type="dxa"/>
              <w:start w:w="120" w:type="dxa"/>
              <w:bottom w:w="80" w:type="dxa"/>
              <w:end w:w="120" w:type="dxa"/>
            </w:tcMar>
            <w:vAlign w:val="center"/>
          </w:tcPr>
          <w:p>
            <w:pPr>
              <w:spacing w:after="40" w:line="252" w:lineRule="auto"/>
            </w:pPr>
            <w:r>
              <w:rPr>
                <w:sz w:val="15"/>
              </w:rPr>
              <w:t>YouTube/thread</w:t>
            </w:r>
          </w:p>
        </w:tc>
        <w:tc>
          <w:tcPr>
            <w:tcW w:type="dxa" w:w="1728"/>
            <w:tcMar>
              <w:top w:w="80" w:type="dxa"/>
              <w:start w:w="120" w:type="dxa"/>
              <w:bottom w:w="80" w:type="dxa"/>
              <w:end w:w="120" w:type="dxa"/>
            </w:tcMar>
            <w:vAlign w:val="center"/>
          </w:tcPr>
          <w:p>
            <w:pPr>
              <w:spacing w:after="40" w:line="252" w:lineRule="auto"/>
            </w:pPr>
            <w:r>
              <w:rPr>
                <w:sz w:val="15"/>
              </w:rPr>
              <w:t>Jurisdiction compare</w:t>
            </w:r>
          </w:p>
        </w:tc>
      </w:tr>
      <w:tr>
        <w:trPr>
          <w:cantSplit/>
        </w:trPr>
        <w:tc>
          <w:tcPr>
            <w:tcW w:type="dxa" w:w="504"/>
            <w:tcMar>
              <w:top w:w="80" w:type="dxa"/>
              <w:start w:w="120" w:type="dxa"/>
              <w:bottom w:w="80" w:type="dxa"/>
              <w:end w:w="120" w:type="dxa"/>
            </w:tcMar>
            <w:vAlign w:val="center"/>
          </w:tcPr>
          <w:p>
            <w:pPr>
              <w:spacing w:after="40" w:line="252" w:lineRule="auto"/>
            </w:pPr>
            <w:r>
              <w:rPr>
                <w:sz w:val="15"/>
              </w:rPr>
              <w:t>14</w:t>
            </w:r>
          </w:p>
        </w:tc>
        <w:tc>
          <w:tcPr>
            <w:tcW w:type="dxa" w:w="3456"/>
            <w:tcMar>
              <w:top w:w="80" w:type="dxa"/>
              <w:start w:w="120" w:type="dxa"/>
              <w:bottom w:w="80" w:type="dxa"/>
              <w:end w:w="120" w:type="dxa"/>
            </w:tcMar>
            <w:vAlign w:val="center"/>
          </w:tcPr>
          <w:p>
            <w:pPr>
              <w:spacing w:after="40" w:line="252" w:lineRule="auto"/>
            </w:pPr>
            <w:r>
              <w:rPr>
                <w:sz w:val="15"/>
              </w:rPr>
              <w:t>Same corporate loan: BCBS vs CBUAE</w:t>
            </w:r>
          </w:p>
        </w:tc>
        <w:tc>
          <w:tcPr>
            <w:tcW w:type="dxa" w:w="1944"/>
            <w:tcMar>
              <w:top w:w="80" w:type="dxa"/>
              <w:start w:w="120" w:type="dxa"/>
              <w:bottom w:w="80" w:type="dxa"/>
              <w:end w:w="120" w:type="dxa"/>
            </w:tcMar>
            <w:vAlign w:val="center"/>
          </w:tcPr>
          <w:p>
            <w:pPr>
              <w:spacing w:after="40" w:line="252" w:lineRule="auto"/>
            </w:pPr>
            <w:r>
              <w:rPr>
                <w:sz w:val="15"/>
              </w:rPr>
              <w:t>Same Loan, Different Country</w:t>
            </w:r>
          </w:p>
        </w:tc>
        <w:tc>
          <w:tcPr>
            <w:tcW w:type="dxa" w:w="1728"/>
            <w:tcMar>
              <w:top w:w="80" w:type="dxa"/>
              <w:start w:w="120" w:type="dxa"/>
              <w:bottom w:w="80" w:type="dxa"/>
              <w:end w:w="120" w:type="dxa"/>
            </w:tcMar>
            <w:vAlign w:val="center"/>
          </w:tcPr>
          <w:p>
            <w:pPr>
              <w:spacing w:after="40" w:line="252" w:lineRule="auto"/>
            </w:pPr>
            <w:r>
              <w:rPr>
                <w:sz w:val="15"/>
              </w:rPr>
              <w:t>Carousel/video</w:t>
            </w:r>
          </w:p>
        </w:tc>
        <w:tc>
          <w:tcPr>
            <w:tcW w:type="dxa" w:w="1728"/>
            <w:tcMar>
              <w:top w:w="80" w:type="dxa"/>
              <w:start w:w="120" w:type="dxa"/>
              <w:bottom w:w="80" w:type="dxa"/>
              <w:end w:w="120" w:type="dxa"/>
            </w:tcMar>
            <w:vAlign w:val="center"/>
          </w:tcPr>
          <w:p>
            <w:pPr>
              <w:spacing w:after="40" w:line="252" w:lineRule="auto"/>
            </w:pPr>
            <w:r>
              <w:rPr>
                <w:sz w:val="15"/>
              </w:rPr>
              <w:t>Jurisdiction compare</w:t>
            </w:r>
          </w:p>
        </w:tc>
      </w:tr>
      <w:tr>
        <w:trPr>
          <w:cantSplit/>
        </w:trPr>
        <w:tc>
          <w:tcPr>
            <w:tcW w:type="dxa" w:w="504"/>
            <w:tcMar>
              <w:top w:w="80" w:type="dxa"/>
              <w:start w:w="120" w:type="dxa"/>
              <w:bottom w:w="80" w:type="dxa"/>
              <w:end w:w="120" w:type="dxa"/>
            </w:tcMar>
            <w:vAlign w:val="center"/>
          </w:tcPr>
          <w:p>
            <w:pPr>
              <w:spacing w:after="40" w:line="252" w:lineRule="auto"/>
            </w:pPr>
            <w:r>
              <w:rPr>
                <w:sz w:val="15"/>
              </w:rPr>
              <w:t>15</w:t>
            </w:r>
          </w:p>
        </w:tc>
        <w:tc>
          <w:tcPr>
            <w:tcW w:type="dxa" w:w="3456"/>
            <w:tcMar>
              <w:top w:w="80" w:type="dxa"/>
              <w:start w:w="120" w:type="dxa"/>
              <w:bottom w:w="80" w:type="dxa"/>
              <w:end w:w="120" w:type="dxa"/>
            </w:tcMar>
            <w:vAlign w:val="center"/>
          </w:tcPr>
          <w:p>
            <w:pPr>
              <w:spacing w:after="40" w:line="252" w:lineRule="auto"/>
            </w:pPr>
            <w:r>
              <w:rPr>
                <w:sz w:val="15"/>
              </w:rPr>
              <w:t>Same loan: U.S. rule status vs BCBS baseline</w:t>
            </w:r>
          </w:p>
        </w:tc>
        <w:tc>
          <w:tcPr>
            <w:tcW w:type="dxa" w:w="1944"/>
            <w:tcMar>
              <w:top w:w="80" w:type="dxa"/>
              <w:start w:w="120" w:type="dxa"/>
              <w:bottom w:w="80" w:type="dxa"/>
              <w:end w:w="120" w:type="dxa"/>
            </w:tcMar>
            <w:vAlign w:val="center"/>
          </w:tcPr>
          <w:p>
            <w:pPr>
              <w:spacing w:after="40" w:line="252" w:lineRule="auto"/>
            </w:pPr>
            <w:r>
              <w:rPr>
                <w:sz w:val="15"/>
              </w:rPr>
              <w:t>Same Loan, Different Country</w:t>
            </w:r>
          </w:p>
        </w:tc>
        <w:tc>
          <w:tcPr>
            <w:tcW w:type="dxa" w:w="1728"/>
            <w:tcMar>
              <w:top w:w="80" w:type="dxa"/>
              <w:start w:w="120" w:type="dxa"/>
              <w:bottom w:w="80" w:type="dxa"/>
              <w:end w:w="120" w:type="dxa"/>
            </w:tcMar>
            <w:vAlign w:val="center"/>
          </w:tcPr>
          <w:p>
            <w:pPr>
              <w:spacing w:after="40" w:line="252" w:lineRule="auto"/>
            </w:pPr>
            <w:r>
              <w:rPr>
                <w:sz w:val="15"/>
              </w:rPr>
              <w:t>Source-led thread</w:t>
            </w:r>
          </w:p>
        </w:tc>
        <w:tc>
          <w:tcPr>
            <w:tcW w:type="dxa" w:w="1728"/>
            <w:tcMar>
              <w:top w:w="80" w:type="dxa"/>
              <w:start w:w="120" w:type="dxa"/>
              <w:bottom w:w="80" w:type="dxa"/>
              <w:end w:w="120" w:type="dxa"/>
            </w:tcMar>
            <w:vAlign w:val="center"/>
          </w:tcPr>
          <w:p>
            <w:pPr>
              <w:spacing w:after="40" w:line="252" w:lineRule="auto"/>
            </w:pPr>
            <w:r>
              <w:rPr>
                <w:sz w:val="15"/>
              </w:rPr>
              <w:t>Jurisdiction compare</w:t>
            </w:r>
          </w:p>
        </w:tc>
      </w:tr>
      <w:tr>
        <w:trPr>
          <w:cantSplit/>
        </w:trPr>
        <w:tc>
          <w:tcPr>
            <w:tcW w:type="dxa" w:w="504"/>
            <w:tcMar>
              <w:top w:w="80" w:type="dxa"/>
              <w:start w:w="120" w:type="dxa"/>
              <w:bottom w:w="80" w:type="dxa"/>
              <w:end w:w="120" w:type="dxa"/>
            </w:tcMar>
            <w:vAlign w:val="center"/>
          </w:tcPr>
          <w:p>
            <w:pPr>
              <w:spacing w:after="40" w:line="252" w:lineRule="auto"/>
            </w:pPr>
            <w:r>
              <w:rPr>
                <w:sz w:val="15"/>
              </w:rPr>
              <w:t>16</w:t>
            </w:r>
          </w:p>
        </w:tc>
        <w:tc>
          <w:tcPr>
            <w:tcW w:type="dxa" w:w="3456"/>
            <w:tcMar>
              <w:top w:w="80" w:type="dxa"/>
              <w:start w:w="120" w:type="dxa"/>
              <w:bottom w:w="80" w:type="dxa"/>
              <w:end w:w="120" w:type="dxa"/>
            </w:tcMar>
            <w:vAlign w:val="center"/>
          </w:tcPr>
          <w:p>
            <w:pPr>
              <w:spacing w:after="40" w:line="252" w:lineRule="auto"/>
            </w:pPr>
            <w:r>
              <w:rPr>
                <w:sz w:val="15"/>
              </w:rPr>
              <w:t>Proposal, final rule, or in force?</w:t>
            </w:r>
          </w:p>
        </w:tc>
        <w:tc>
          <w:tcPr>
            <w:tcW w:type="dxa" w:w="1944"/>
            <w:tcMar>
              <w:top w:w="80" w:type="dxa"/>
              <w:start w:w="120" w:type="dxa"/>
              <w:bottom w:w="80" w:type="dxa"/>
              <w:end w:w="120" w:type="dxa"/>
            </w:tcMar>
            <w:vAlign w:val="center"/>
          </w:tcPr>
          <w:p>
            <w:pPr>
              <w:spacing w:after="40" w:line="252" w:lineRule="auto"/>
            </w:pPr>
            <w:r>
              <w:rPr>
                <w:sz w:val="15"/>
              </w:rPr>
              <w:t>Regulation Changed</w:t>
            </w:r>
          </w:p>
        </w:tc>
        <w:tc>
          <w:tcPr>
            <w:tcW w:type="dxa" w:w="1728"/>
            <w:tcMar>
              <w:top w:w="80" w:type="dxa"/>
              <w:start w:w="120" w:type="dxa"/>
              <w:bottom w:w="80" w:type="dxa"/>
              <w:end w:w="120" w:type="dxa"/>
            </w:tcMar>
            <w:vAlign w:val="center"/>
          </w:tcPr>
          <w:p>
            <w:pPr>
              <w:spacing w:after="40" w:line="252" w:lineRule="auto"/>
            </w:pPr>
            <w:r>
              <w:rPr>
                <w:sz w:val="15"/>
              </w:rPr>
              <w:t>Carousel/checklist</w:t>
            </w:r>
          </w:p>
        </w:tc>
        <w:tc>
          <w:tcPr>
            <w:tcW w:type="dxa" w:w="1728"/>
            <w:tcMar>
              <w:top w:w="80" w:type="dxa"/>
              <w:start w:w="120" w:type="dxa"/>
              <w:bottom w:w="80" w:type="dxa"/>
              <w:end w:w="120" w:type="dxa"/>
            </w:tcMar>
            <w:vAlign w:val="center"/>
          </w:tcPr>
          <w:p>
            <w:pPr>
              <w:spacing w:after="40" w:line="252" w:lineRule="auto"/>
            </w:pPr>
            <w:r>
              <w:rPr>
                <w:sz w:val="15"/>
              </w:rPr>
              <w:t>Regulatory alert signup</w:t>
            </w:r>
          </w:p>
        </w:tc>
      </w:tr>
      <w:tr>
        <w:trPr>
          <w:cantSplit/>
        </w:trPr>
        <w:tc>
          <w:tcPr>
            <w:tcW w:type="dxa" w:w="504"/>
            <w:tcMar>
              <w:top w:w="80" w:type="dxa"/>
              <w:start w:w="120" w:type="dxa"/>
              <w:bottom w:w="80" w:type="dxa"/>
              <w:end w:w="120" w:type="dxa"/>
            </w:tcMar>
            <w:vAlign w:val="center"/>
          </w:tcPr>
          <w:p>
            <w:pPr>
              <w:spacing w:after="40" w:line="252" w:lineRule="auto"/>
            </w:pPr>
            <w:r>
              <w:rPr>
                <w:sz w:val="15"/>
              </w:rPr>
              <w:t>17</w:t>
            </w:r>
          </w:p>
        </w:tc>
        <w:tc>
          <w:tcPr>
            <w:tcW w:type="dxa" w:w="3456"/>
            <w:tcMar>
              <w:top w:w="80" w:type="dxa"/>
              <w:start w:w="120" w:type="dxa"/>
              <w:bottom w:w="80" w:type="dxa"/>
              <w:end w:w="120" w:type="dxa"/>
            </w:tcMar>
            <w:vAlign w:val="center"/>
          </w:tcPr>
          <w:p>
            <w:pPr>
              <w:spacing w:after="40" w:line="252" w:lineRule="auto"/>
            </w:pPr>
            <w:r>
              <w:rPr>
                <w:sz w:val="15"/>
              </w:rPr>
              <w:t>How to read a Basel rule without losing the decision path</w:t>
            </w:r>
          </w:p>
        </w:tc>
        <w:tc>
          <w:tcPr>
            <w:tcW w:type="dxa" w:w="1944"/>
            <w:tcMar>
              <w:top w:w="80" w:type="dxa"/>
              <w:start w:w="120" w:type="dxa"/>
              <w:bottom w:w="80" w:type="dxa"/>
              <w:end w:w="120" w:type="dxa"/>
            </w:tcMar>
            <w:vAlign w:val="center"/>
          </w:tcPr>
          <w:p>
            <w:pPr>
              <w:spacing w:after="40" w:line="252" w:lineRule="auto"/>
            </w:pPr>
            <w:r>
              <w:rPr>
                <w:sz w:val="15"/>
              </w:rPr>
              <w:t>Source to Calculation</w:t>
            </w:r>
          </w:p>
        </w:tc>
        <w:tc>
          <w:tcPr>
            <w:tcW w:type="dxa" w:w="1728"/>
            <w:tcMar>
              <w:top w:w="80" w:type="dxa"/>
              <w:start w:w="120" w:type="dxa"/>
              <w:bottom w:w="80" w:type="dxa"/>
              <w:end w:w="120" w:type="dxa"/>
            </w:tcMar>
            <w:vAlign w:val="center"/>
          </w:tcPr>
          <w:p>
            <w:pPr>
              <w:spacing w:after="40" w:line="252" w:lineRule="auto"/>
            </w:pPr>
            <w:r>
              <w:rPr>
                <w:sz w:val="15"/>
              </w:rPr>
              <w:t>YouTube</w:t>
            </w:r>
          </w:p>
        </w:tc>
        <w:tc>
          <w:tcPr>
            <w:tcW w:type="dxa" w:w="1728"/>
            <w:tcMar>
              <w:top w:w="80" w:type="dxa"/>
              <w:start w:w="120" w:type="dxa"/>
              <w:bottom w:w="80" w:type="dxa"/>
              <w:end w:w="120" w:type="dxa"/>
            </w:tcMar>
            <w:vAlign w:val="center"/>
          </w:tcPr>
          <w:p>
            <w:pPr>
              <w:spacing w:after="40" w:line="252" w:lineRule="auto"/>
            </w:pPr>
            <w:r>
              <w:rPr>
                <w:sz w:val="15"/>
              </w:rPr>
              <w:t>Source navigator</w:t>
            </w:r>
          </w:p>
        </w:tc>
      </w:tr>
      <w:tr>
        <w:trPr>
          <w:cantSplit/>
        </w:trPr>
        <w:tc>
          <w:tcPr>
            <w:tcW w:type="dxa" w:w="504"/>
            <w:tcMar>
              <w:top w:w="80" w:type="dxa"/>
              <w:start w:w="120" w:type="dxa"/>
              <w:bottom w:w="80" w:type="dxa"/>
              <w:end w:w="120" w:type="dxa"/>
            </w:tcMar>
            <w:vAlign w:val="center"/>
          </w:tcPr>
          <w:p>
            <w:pPr>
              <w:spacing w:after="40" w:line="252" w:lineRule="auto"/>
            </w:pPr>
            <w:r>
              <w:rPr>
                <w:sz w:val="15"/>
              </w:rPr>
              <w:t>18</w:t>
            </w:r>
          </w:p>
        </w:tc>
        <w:tc>
          <w:tcPr>
            <w:tcW w:type="dxa" w:w="3456"/>
            <w:tcMar>
              <w:top w:w="80" w:type="dxa"/>
              <w:start w:w="120" w:type="dxa"/>
              <w:bottom w:w="80" w:type="dxa"/>
              <w:end w:w="120" w:type="dxa"/>
            </w:tcMar>
            <w:vAlign w:val="center"/>
          </w:tcPr>
          <w:p>
            <w:pPr>
              <w:spacing w:after="40" w:line="252" w:lineRule="auto"/>
            </w:pPr>
            <w:r>
              <w:rPr>
                <w:sz w:val="15"/>
              </w:rPr>
              <w:t>Five data fields that change a corporate RWA result</w:t>
            </w:r>
          </w:p>
        </w:tc>
        <w:tc>
          <w:tcPr>
            <w:tcW w:type="dxa" w:w="1944"/>
            <w:tcMar>
              <w:top w:w="80" w:type="dxa"/>
              <w:start w:w="120" w:type="dxa"/>
              <w:bottom w:w="80" w:type="dxa"/>
              <w:end w:w="120" w:type="dxa"/>
            </w:tcMar>
            <w:vAlign w:val="center"/>
          </w:tcPr>
          <w:p>
            <w:pPr>
              <w:spacing w:after="40" w:line="252" w:lineRule="auto"/>
            </w:pPr>
            <w:r>
              <w:rPr>
                <w:sz w:val="15"/>
              </w:rPr>
              <w:t>Inside FinBank</w:t>
            </w:r>
          </w:p>
        </w:tc>
        <w:tc>
          <w:tcPr>
            <w:tcW w:type="dxa" w:w="1728"/>
            <w:tcMar>
              <w:top w:w="80" w:type="dxa"/>
              <w:start w:w="120" w:type="dxa"/>
              <w:bottom w:w="80" w:type="dxa"/>
              <w:end w:w="120" w:type="dxa"/>
            </w:tcMar>
            <w:vAlign w:val="center"/>
          </w:tcPr>
          <w:p>
            <w:pPr>
              <w:spacing w:after="40" w:line="252" w:lineRule="auto"/>
            </w:pPr>
            <w:r>
              <w:rPr>
                <w:sz w:val="15"/>
              </w:rPr>
              <w:t>Carousel</w:t>
            </w:r>
          </w:p>
        </w:tc>
        <w:tc>
          <w:tcPr>
            <w:tcW w:type="dxa" w:w="1728"/>
            <w:tcMar>
              <w:top w:w="80" w:type="dxa"/>
              <w:start w:w="120" w:type="dxa"/>
              <w:bottom w:w="80" w:type="dxa"/>
              <w:end w:w="120" w:type="dxa"/>
            </w:tcMar>
            <w:vAlign w:val="center"/>
          </w:tcPr>
          <w:p>
            <w:pPr>
              <w:spacing w:after="40" w:line="252" w:lineRule="auto"/>
            </w:pPr>
            <w:r>
              <w:rPr>
                <w:sz w:val="15"/>
              </w:rPr>
              <w:t>FinBank scenario</w:t>
            </w:r>
          </w:p>
        </w:tc>
      </w:tr>
      <w:tr>
        <w:trPr>
          <w:cantSplit/>
        </w:trPr>
        <w:tc>
          <w:tcPr>
            <w:tcW w:type="dxa" w:w="504"/>
            <w:tcMar>
              <w:top w:w="80" w:type="dxa"/>
              <w:start w:w="120" w:type="dxa"/>
              <w:bottom w:w="80" w:type="dxa"/>
              <w:end w:w="120" w:type="dxa"/>
            </w:tcMar>
            <w:vAlign w:val="center"/>
          </w:tcPr>
          <w:p>
            <w:pPr>
              <w:spacing w:after="40" w:line="252" w:lineRule="auto"/>
            </w:pPr>
            <w:r>
              <w:rPr>
                <w:sz w:val="15"/>
              </w:rPr>
              <w:t>19</w:t>
            </w:r>
          </w:p>
        </w:tc>
        <w:tc>
          <w:tcPr>
            <w:tcW w:type="dxa" w:w="3456"/>
            <w:tcMar>
              <w:top w:w="80" w:type="dxa"/>
              <w:start w:w="120" w:type="dxa"/>
              <w:bottom w:w="80" w:type="dxa"/>
              <w:end w:w="120" w:type="dxa"/>
            </w:tcMar>
            <w:vAlign w:val="center"/>
          </w:tcPr>
          <w:p>
            <w:pPr>
              <w:spacing w:after="40" w:line="252" w:lineRule="auto"/>
            </w:pPr>
            <w:r>
              <w:rPr>
                <w:sz w:val="15"/>
              </w:rPr>
              <w:t>The rating-mapping trap</w:t>
            </w:r>
          </w:p>
        </w:tc>
        <w:tc>
          <w:tcPr>
            <w:tcW w:type="dxa" w:w="1944"/>
            <w:tcMar>
              <w:top w:w="80" w:type="dxa"/>
              <w:start w:w="120" w:type="dxa"/>
              <w:bottom w:w="80" w:type="dxa"/>
              <w:end w:w="120" w:type="dxa"/>
            </w:tcMar>
            <w:vAlign w:val="center"/>
          </w:tcPr>
          <w:p>
            <w:pPr>
              <w:spacing w:after="40" w:line="252" w:lineRule="auto"/>
            </w:pPr>
            <w:r>
              <w:rPr>
                <w:sz w:val="15"/>
              </w:rPr>
              <w:t>Basel Challenge</w:t>
            </w:r>
          </w:p>
        </w:tc>
        <w:tc>
          <w:tcPr>
            <w:tcW w:type="dxa" w:w="1728"/>
            <w:tcMar>
              <w:top w:w="80" w:type="dxa"/>
              <w:start w:w="120" w:type="dxa"/>
              <w:bottom w:w="80" w:type="dxa"/>
              <w:end w:w="120" w:type="dxa"/>
            </w:tcMar>
            <w:vAlign w:val="center"/>
          </w:tcPr>
          <w:p>
            <w:pPr>
              <w:spacing w:after="40" w:line="252" w:lineRule="auto"/>
            </w:pPr>
            <w:r>
              <w:rPr>
                <w:sz w:val="15"/>
              </w:rPr>
              <w:t>Short/thread</w:t>
            </w:r>
          </w:p>
        </w:tc>
        <w:tc>
          <w:tcPr>
            <w:tcW w:type="dxa" w:w="1728"/>
            <w:tcMar>
              <w:top w:w="80" w:type="dxa"/>
              <w:start w:w="120" w:type="dxa"/>
              <w:bottom w:w="80" w:type="dxa"/>
              <w:end w:w="120" w:type="dxa"/>
            </w:tcMar>
            <w:vAlign w:val="center"/>
          </w:tcPr>
          <w:p>
            <w:pPr>
              <w:spacing w:after="40" w:line="252" w:lineRule="auto"/>
            </w:pPr>
            <w:r>
              <w:rPr>
                <w:sz w:val="15"/>
              </w:rPr>
              <w:t>Practice set</w:t>
            </w:r>
          </w:p>
        </w:tc>
      </w:tr>
      <w:tr>
        <w:trPr>
          <w:cantSplit/>
        </w:trPr>
        <w:tc>
          <w:tcPr>
            <w:tcW w:type="dxa" w:w="504"/>
            <w:tcMar>
              <w:top w:w="80" w:type="dxa"/>
              <w:start w:w="120" w:type="dxa"/>
              <w:bottom w:w="80" w:type="dxa"/>
              <w:end w:w="120" w:type="dxa"/>
            </w:tcMar>
            <w:vAlign w:val="center"/>
          </w:tcPr>
          <w:p>
            <w:pPr>
              <w:spacing w:after="40" w:line="252" w:lineRule="auto"/>
            </w:pPr>
            <w:r>
              <w:rPr>
                <w:sz w:val="15"/>
              </w:rPr>
              <w:t>20</w:t>
            </w:r>
          </w:p>
        </w:tc>
        <w:tc>
          <w:tcPr>
            <w:tcW w:type="dxa" w:w="3456"/>
            <w:tcMar>
              <w:top w:w="80" w:type="dxa"/>
              <w:start w:w="120" w:type="dxa"/>
              <w:bottom w:w="80" w:type="dxa"/>
              <w:end w:w="120" w:type="dxa"/>
            </w:tcMar>
            <w:vAlign w:val="center"/>
          </w:tcPr>
          <w:p>
            <w:pPr>
              <w:spacing w:after="40" w:line="252" w:lineRule="auto"/>
            </w:pPr>
            <w:r>
              <w:rPr>
                <w:sz w:val="15"/>
              </w:rPr>
              <w:t>Why deterministic calculations matter in AI learning</w:t>
            </w:r>
          </w:p>
        </w:tc>
        <w:tc>
          <w:tcPr>
            <w:tcW w:type="dxa" w:w="1944"/>
            <w:tcMar>
              <w:top w:w="80" w:type="dxa"/>
              <w:start w:w="120" w:type="dxa"/>
              <w:bottom w:w="80" w:type="dxa"/>
              <w:end w:w="120" w:type="dxa"/>
            </w:tcMar>
            <w:vAlign w:val="center"/>
          </w:tcPr>
          <w:p>
            <w:pPr>
              <w:spacing w:after="40" w:line="252" w:lineRule="auto"/>
            </w:pPr>
            <w:r>
              <w:rPr>
                <w:sz w:val="15"/>
              </w:rPr>
              <w:t>Source to Calculation</w:t>
            </w:r>
          </w:p>
        </w:tc>
        <w:tc>
          <w:tcPr>
            <w:tcW w:type="dxa" w:w="1728"/>
            <w:tcMar>
              <w:top w:w="80" w:type="dxa"/>
              <w:start w:w="120" w:type="dxa"/>
              <w:bottom w:w="80" w:type="dxa"/>
              <w:end w:w="120" w:type="dxa"/>
            </w:tcMar>
            <w:vAlign w:val="center"/>
          </w:tcPr>
          <w:p>
            <w:pPr>
              <w:spacing w:after="40" w:line="252" w:lineRule="auto"/>
            </w:pPr>
            <w:r>
              <w:rPr>
                <w:sz w:val="15"/>
              </w:rPr>
              <w:t>LinkedIn/video</w:t>
            </w:r>
          </w:p>
        </w:tc>
        <w:tc>
          <w:tcPr>
            <w:tcW w:type="dxa" w:w="1728"/>
            <w:tcMar>
              <w:top w:w="80" w:type="dxa"/>
              <w:start w:w="120" w:type="dxa"/>
              <w:bottom w:w="80" w:type="dxa"/>
              <w:end w:w="120" w:type="dxa"/>
            </w:tcMar>
            <w:vAlign w:val="center"/>
          </w:tcPr>
          <w:p>
            <w:pPr>
              <w:spacing w:after="40" w:line="252" w:lineRule="auto"/>
            </w:pPr>
            <w:r>
              <w:rPr>
                <w:sz w:val="15"/>
              </w:rPr>
              <w:t>Product demo</w:t>
            </w:r>
          </w:p>
        </w:tc>
      </w:tr>
      <w:tr>
        <w:trPr>
          <w:cantSplit/>
        </w:trPr>
        <w:tc>
          <w:tcPr>
            <w:tcW w:type="dxa" w:w="504"/>
            <w:tcMar>
              <w:top w:w="80" w:type="dxa"/>
              <w:start w:w="120" w:type="dxa"/>
              <w:bottom w:w="80" w:type="dxa"/>
              <w:end w:w="120" w:type="dxa"/>
            </w:tcMar>
            <w:vAlign w:val="center"/>
          </w:tcPr>
          <w:p>
            <w:pPr>
              <w:spacing w:after="40" w:line="252" w:lineRule="auto"/>
            </w:pPr>
            <w:r>
              <w:rPr>
                <w:sz w:val="15"/>
              </w:rPr>
              <w:t>21</w:t>
            </w:r>
          </w:p>
        </w:tc>
        <w:tc>
          <w:tcPr>
            <w:tcW w:type="dxa" w:w="3456"/>
            <w:tcMar>
              <w:top w:w="80" w:type="dxa"/>
              <w:start w:w="120" w:type="dxa"/>
              <w:bottom w:w="80" w:type="dxa"/>
              <w:end w:w="120" w:type="dxa"/>
            </w:tcMar>
            <w:vAlign w:val="center"/>
          </w:tcPr>
          <w:p>
            <w:pPr>
              <w:spacing w:after="40" w:line="252" w:lineRule="auto"/>
            </w:pPr>
            <w:r>
              <w:rPr>
                <w:sz w:val="15"/>
              </w:rPr>
              <w:t>Can an AI tutor cite the exact rule?</w:t>
            </w:r>
          </w:p>
        </w:tc>
        <w:tc>
          <w:tcPr>
            <w:tcW w:type="dxa" w:w="1944"/>
            <w:tcMar>
              <w:top w:w="80" w:type="dxa"/>
              <w:start w:w="120" w:type="dxa"/>
              <w:bottom w:w="80" w:type="dxa"/>
              <w:end w:w="120" w:type="dxa"/>
            </w:tcMar>
            <w:vAlign w:val="center"/>
          </w:tcPr>
          <w:p>
            <w:pPr>
              <w:spacing w:after="40" w:line="252" w:lineRule="auto"/>
            </w:pPr>
            <w:r>
              <w:rPr>
                <w:sz w:val="15"/>
              </w:rPr>
              <w:t>Ask the Tutor</w:t>
            </w:r>
          </w:p>
        </w:tc>
        <w:tc>
          <w:tcPr>
            <w:tcW w:type="dxa" w:w="1728"/>
            <w:tcMar>
              <w:top w:w="80" w:type="dxa"/>
              <w:start w:w="120" w:type="dxa"/>
              <w:bottom w:w="80" w:type="dxa"/>
              <w:end w:w="120" w:type="dxa"/>
            </w:tcMar>
            <w:vAlign w:val="center"/>
          </w:tcPr>
          <w:p>
            <w:pPr>
              <w:spacing w:after="40" w:line="252" w:lineRule="auto"/>
            </w:pPr>
            <w:r>
              <w:rPr>
                <w:sz w:val="15"/>
              </w:rPr>
              <w:t>Demo clip</w:t>
            </w:r>
          </w:p>
        </w:tc>
        <w:tc>
          <w:tcPr>
            <w:tcW w:type="dxa" w:w="1728"/>
            <w:tcMar>
              <w:top w:w="80" w:type="dxa"/>
              <w:start w:w="120" w:type="dxa"/>
              <w:bottom w:w="80" w:type="dxa"/>
              <w:end w:w="120" w:type="dxa"/>
            </w:tcMar>
            <w:vAlign w:val="center"/>
          </w:tcPr>
          <w:p>
            <w:pPr>
              <w:spacing w:after="40" w:line="252" w:lineRule="auto"/>
            </w:pPr>
            <w:r>
              <w:rPr>
                <w:sz w:val="15"/>
              </w:rPr>
              <w:t>Free tutor interaction</w:t>
            </w:r>
          </w:p>
        </w:tc>
      </w:tr>
      <w:tr>
        <w:trPr>
          <w:cantSplit/>
        </w:trPr>
        <w:tc>
          <w:tcPr>
            <w:tcW w:type="dxa" w:w="504"/>
            <w:tcMar>
              <w:top w:w="80" w:type="dxa"/>
              <w:start w:w="120" w:type="dxa"/>
              <w:bottom w:w="80" w:type="dxa"/>
              <w:end w:w="120" w:type="dxa"/>
            </w:tcMar>
            <w:vAlign w:val="center"/>
          </w:tcPr>
          <w:p>
            <w:pPr>
              <w:spacing w:after="40" w:line="252" w:lineRule="auto"/>
            </w:pPr>
            <w:r>
              <w:rPr>
                <w:sz w:val="15"/>
              </w:rPr>
              <w:t>22</w:t>
            </w:r>
          </w:p>
        </w:tc>
        <w:tc>
          <w:tcPr>
            <w:tcW w:type="dxa" w:w="3456"/>
            <w:tcMar>
              <w:top w:w="80" w:type="dxa"/>
              <w:start w:w="120" w:type="dxa"/>
              <w:bottom w:w="80" w:type="dxa"/>
              <w:end w:w="120" w:type="dxa"/>
            </w:tcMar>
            <w:vAlign w:val="center"/>
          </w:tcPr>
          <w:p>
            <w:pPr>
              <w:spacing w:after="40" w:line="252" w:lineRule="auto"/>
            </w:pPr>
            <w:r>
              <w:rPr>
                <w:sz w:val="15"/>
              </w:rPr>
              <w:t>Pause the lesson and challenge the assumption</w:t>
            </w:r>
          </w:p>
        </w:tc>
        <w:tc>
          <w:tcPr>
            <w:tcW w:type="dxa" w:w="1944"/>
            <w:tcMar>
              <w:top w:w="80" w:type="dxa"/>
              <w:start w:w="120" w:type="dxa"/>
              <w:bottom w:w="80" w:type="dxa"/>
              <w:end w:w="120" w:type="dxa"/>
            </w:tcMar>
            <w:vAlign w:val="center"/>
          </w:tcPr>
          <w:p>
            <w:pPr>
              <w:spacing w:after="40" w:line="252" w:lineRule="auto"/>
            </w:pPr>
            <w:r>
              <w:rPr>
                <w:sz w:val="15"/>
              </w:rPr>
              <w:t>Ask the Tutor</w:t>
            </w:r>
          </w:p>
        </w:tc>
        <w:tc>
          <w:tcPr>
            <w:tcW w:type="dxa" w:w="1728"/>
            <w:tcMar>
              <w:top w:w="80" w:type="dxa"/>
              <w:start w:w="120" w:type="dxa"/>
              <w:bottom w:w="80" w:type="dxa"/>
              <w:end w:w="120" w:type="dxa"/>
            </w:tcMar>
            <w:vAlign w:val="center"/>
          </w:tcPr>
          <w:p>
            <w:pPr>
              <w:spacing w:after="40" w:line="252" w:lineRule="auto"/>
            </w:pPr>
            <w:r>
              <w:rPr>
                <w:sz w:val="15"/>
              </w:rPr>
              <w:t>Demo Short</w:t>
            </w:r>
          </w:p>
        </w:tc>
        <w:tc>
          <w:tcPr>
            <w:tcW w:type="dxa" w:w="1728"/>
            <w:tcMar>
              <w:top w:w="80" w:type="dxa"/>
              <w:start w:w="120" w:type="dxa"/>
              <w:bottom w:w="80" w:type="dxa"/>
              <w:end w:w="120" w:type="dxa"/>
            </w:tcMar>
            <w:vAlign w:val="center"/>
          </w:tcPr>
          <w:p>
            <w:pPr>
              <w:spacing w:after="40" w:line="252" w:lineRule="auto"/>
            </w:pPr>
            <w:r>
              <w:rPr>
                <w:sz w:val="15"/>
              </w:rPr>
              <w:t>Golden Lesson</w:t>
            </w:r>
          </w:p>
        </w:tc>
      </w:tr>
      <w:tr>
        <w:trPr>
          <w:cantSplit/>
        </w:trPr>
        <w:tc>
          <w:tcPr>
            <w:tcW w:type="dxa" w:w="504"/>
            <w:tcMar>
              <w:top w:w="80" w:type="dxa"/>
              <w:start w:w="120" w:type="dxa"/>
              <w:bottom w:w="80" w:type="dxa"/>
              <w:end w:w="120" w:type="dxa"/>
            </w:tcMar>
            <w:vAlign w:val="center"/>
          </w:tcPr>
          <w:p>
            <w:pPr>
              <w:spacing w:after="40" w:line="252" w:lineRule="auto"/>
            </w:pPr>
            <w:r>
              <w:rPr>
                <w:sz w:val="15"/>
              </w:rPr>
              <w:t>23</w:t>
            </w:r>
          </w:p>
        </w:tc>
        <w:tc>
          <w:tcPr>
            <w:tcW w:type="dxa" w:w="3456"/>
            <w:tcMar>
              <w:top w:w="80" w:type="dxa"/>
              <w:start w:w="120" w:type="dxa"/>
              <w:bottom w:w="80" w:type="dxa"/>
              <w:end w:w="120" w:type="dxa"/>
            </w:tcMar>
            <w:vAlign w:val="center"/>
          </w:tcPr>
          <w:p>
            <w:pPr>
              <w:spacing w:after="40" w:line="252" w:lineRule="auto"/>
            </w:pPr>
            <w:r>
              <w:rPr>
                <w:sz w:val="15"/>
              </w:rPr>
              <w:t>What a regulatory capital analyst does in a day</w:t>
            </w:r>
          </w:p>
        </w:tc>
        <w:tc>
          <w:tcPr>
            <w:tcW w:type="dxa" w:w="1944"/>
            <w:tcMar>
              <w:top w:w="80" w:type="dxa"/>
              <w:start w:w="120" w:type="dxa"/>
              <w:bottom w:w="80" w:type="dxa"/>
              <w:end w:w="120" w:type="dxa"/>
            </w:tcMar>
            <w:vAlign w:val="center"/>
          </w:tcPr>
          <w:p>
            <w:pPr>
              <w:spacing w:after="40" w:line="252" w:lineRule="auto"/>
            </w:pPr>
            <w:r>
              <w:rPr>
                <w:sz w:val="15"/>
              </w:rPr>
              <w:t>Banking Career</w:t>
            </w:r>
          </w:p>
        </w:tc>
        <w:tc>
          <w:tcPr>
            <w:tcW w:type="dxa" w:w="1728"/>
            <w:tcMar>
              <w:top w:w="80" w:type="dxa"/>
              <w:start w:w="120" w:type="dxa"/>
              <w:bottom w:w="80" w:type="dxa"/>
              <w:end w:w="120" w:type="dxa"/>
            </w:tcMar>
            <w:vAlign w:val="center"/>
          </w:tcPr>
          <w:p>
            <w:pPr>
              <w:spacing w:after="40" w:line="252" w:lineRule="auto"/>
            </w:pPr>
            <w:r>
              <w:rPr>
                <w:sz w:val="15"/>
              </w:rPr>
              <w:t>Video/post</w:t>
            </w:r>
          </w:p>
        </w:tc>
        <w:tc>
          <w:tcPr>
            <w:tcW w:type="dxa" w:w="1728"/>
            <w:tcMar>
              <w:top w:w="80" w:type="dxa"/>
              <w:start w:w="120" w:type="dxa"/>
              <w:bottom w:w="80" w:type="dxa"/>
              <w:end w:w="120" w:type="dxa"/>
            </w:tcMar>
            <w:vAlign w:val="center"/>
          </w:tcPr>
          <w:p>
            <w:pPr>
              <w:spacing w:after="40" w:line="252" w:lineRule="auto"/>
            </w:pPr>
            <w:r>
              <w:rPr>
                <w:sz w:val="15"/>
              </w:rPr>
              <w:t>Career diagnostic</w:t>
            </w:r>
          </w:p>
        </w:tc>
      </w:tr>
      <w:tr>
        <w:trPr>
          <w:cantSplit/>
        </w:trPr>
        <w:tc>
          <w:tcPr>
            <w:tcW w:type="dxa" w:w="504"/>
            <w:tcMar>
              <w:top w:w="80" w:type="dxa"/>
              <w:start w:w="120" w:type="dxa"/>
              <w:bottom w:w="80" w:type="dxa"/>
              <w:end w:w="120" w:type="dxa"/>
            </w:tcMar>
            <w:vAlign w:val="center"/>
          </w:tcPr>
          <w:p>
            <w:pPr>
              <w:spacing w:after="40" w:line="252" w:lineRule="auto"/>
            </w:pPr>
            <w:r>
              <w:rPr>
                <w:sz w:val="15"/>
              </w:rPr>
              <w:t>24</w:t>
            </w:r>
          </w:p>
        </w:tc>
        <w:tc>
          <w:tcPr>
            <w:tcW w:type="dxa" w:w="3456"/>
            <w:tcMar>
              <w:top w:w="80" w:type="dxa"/>
              <w:start w:w="120" w:type="dxa"/>
              <w:bottom w:w="80" w:type="dxa"/>
              <w:end w:w="120" w:type="dxa"/>
            </w:tcMar>
            <w:vAlign w:val="center"/>
          </w:tcPr>
          <w:p>
            <w:pPr>
              <w:spacing w:after="40" w:line="252" w:lineRule="auto"/>
            </w:pPr>
            <w:r>
              <w:rPr>
                <w:sz w:val="15"/>
              </w:rPr>
              <w:t>Five Basel interview questions</w:t>
            </w:r>
          </w:p>
        </w:tc>
        <w:tc>
          <w:tcPr>
            <w:tcW w:type="dxa" w:w="1944"/>
            <w:tcMar>
              <w:top w:w="80" w:type="dxa"/>
              <w:start w:w="120" w:type="dxa"/>
              <w:bottom w:w="80" w:type="dxa"/>
              <w:end w:w="120" w:type="dxa"/>
            </w:tcMar>
            <w:vAlign w:val="center"/>
          </w:tcPr>
          <w:p>
            <w:pPr>
              <w:spacing w:after="40" w:line="252" w:lineRule="auto"/>
            </w:pPr>
            <w:r>
              <w:rPr>
                <w:sz w:val="15"/>
              </w:rPr>
              <w:t>Banking Career</w:t>
            </w:r>
          </w:p>
        </w:tc>
        <w:tc>
          <w:tcPr>
            <w:tcW w:type="dxa" w:w="1728"/>
            <w:tcMar>
              <w:top w:w="80" w:type="dxa"/>
              <w:start w:w="120" w:type="dxa"/>
              <w:bottom w:w="80" w:type="dxa"/>
              <w:end w:w="120" w:type="dxa"/>
            </w:tcMar>
            <w:vAlign w:val="center"/>
          </w:tcPr>
          <w:p>
            <w:pPr>
              <w:spacing w:after="40" w:line="252" w:lineRule="auto"/>
            </w:pPr>
            <w:r>
              <w:rPr>
                <w:sz w:val="15"/>
              </w:rPr>
              <w:t>Carousel/video</w:t>
            </w:r>
          </w:p>
        </w:tc>
        <w:tc>
          <w:tcPr>
            <w:tcW w:type="dxa" w:w="1728"/>
            <w:tcMar>
              <w:top w:w="80" w:type="dxa"/>
              <w:start w:w="120" w:type="dxa"/>
              <w:bottom w:w="80" w:type="dxa"/>
              <w:end w:w="120" w:type="dxa"/>
            </w:tcMar>
            <w:vAlign w:val="center"/>
          </w:tcPr>
          <w:p>
            <w:pPr>
              <w:spacing w:after="40" w:line="252" w:lineRule="auto"/>
            </w:pPr>
            <w:r>
              <w:rPr>
                <w:sz w:val="15"/>
              </w:rPr>
              <w:t>Free assessment</w:t>
            </w:r>
          </w:p>
        </w:tc>
      </w:tr>
      <w:tr>
        <w:trPr>
          <w:cantSplit/>
        </w:trPr>
        <w:tc>
          <w:tcPr>
            <w:tcW w:type="dxa" w:w="504"/>
            <w:tcMar>
              <w:top w:w="80" w:type="dxa"/>
              <w:start w:w="120" w:type="dxa"/>
              <w:bottom w:w="80" w:type="dxa"/>
              <w:end w:w="120" w:type="dxa"/>
            </w:tcMar>
            <w:vAlign w:val="center"/>
          </w:tcPr>
          <w:p>
            <w:pPr>
              <w:spacing w:after="40" w:line="252" w:lineRule="auto"/>
            </w:pPr>
            <w:r>
              <w:rPr>
                <w:sz w:val="15"/>
              </w:rPr>
              <w:t>25</w:t>
            </w:r>
          </w:p>
        </w:tc>
        <w:tc>
          <w:tcPr>
            <w:tcW w:type="dxa" w:w="3456"/>
            <w:tcMar>
              <w:top w:w="80" w:type="dxa"/>
              <w:start w:w="120" w:type="dxa"/>
              <w:bottom w:w="80" w:type="dxa"/>
              <w:end w:w="120" w:type="dxa"/>
            </w:tcMar>
            <w:vAlign w:val="center"/>
          </w:tcPr>
          <w:p>
            <w:pPr>
              <w:spacing w:after="40" w:line="252" w:lineRule="auto"/>
            </w:pPr>
            <w:r>
              <w:rPr>
                <w:sz w:val="15"/>
              </w:rPr>
              <w:t>How RWA movements are investigated inside a bank</w:t>
            </w:r>
          </w:p>
        </w:tc>
        <w:tc>
          <w:tcPr>
            <w:tcW w:type="dxa" w:w="1944"/>
            <w:tcMar>
              <w:top w:w="80" w:type="dxa"/>
              <w:start w:w="120" w:type="dxa"/>
              <w:bottom w:w="80" w:type="dxa"/>
              <w:end w:w="120" w:type="dxa"/>
            </w:tcMar>
            <w:vAlign w:val="center"/>
          </w:tcPr>
          <w:p>
            <w:pPr>
              <w:spacing w:after="40" w:line="252" w:lineRule="auto"/>
            </w:pPr>
            <w:r>
              <w:rPr>
                <w:sz w:val="15"/>
              </w:rPr>
              <w:t>Inside FinBank</w:t>
            </w:r>
          </w:p>
        </w:tc>
        <w:tc>
          <w:tcPr>
            <w:tcW w:type="dxa" w:w="1728"/>
            <w:tcMar>
              <w:top w:w="80" w:type="dxa"/>
              <w:start w:w="120" w:type="dxa"/>
              <w:bottom w:w="80" w:type="dxa"/>
              <w:end w:w="120" w:type="dxa"/>
            </w:tcMar>
            <w:vAlign w:val="center"/>
          </w:tcPr>
          <w:p>
            <w:pPr>
              <w:spacing w:after="40" w:line="252" w:lineRule="auto"/>
            </w:pPr>
            <w:r>
              <w:rPr>
                <w:sz w:val="15"/>
              </w:rPr>
              <w:t>YouTube</w:t>
            </w:r>
          </w:p>
        </w:tc>
        <w:tc>
          <w:tcPr>
            <w:tcW w:type="dxa" w:w="1728"/>
            <w:tcMar>
              <w:top w:w="80" w:type="dxa"/>
              <w:start w:w="120" w:type="dxa"/>
              <w:bottom w:w="80" w:type="dxa"/>
              <w:end w:w="120" w:type="dxa"/>
            </w:tcMar>
            <w:vAlign w:val="center"/>
          </w:tcPr>
          <w:p>
            <w:pPr>
              <w:spacing w:after="40" w:line="252" w:lineRule="auto"/>
            </w:pPr>
            <w:r>
              <w:rPr>
                <w:sz w:val="15"/>
              </w:rPr>
              <w:t>FinBank workflow</w:t>
            </w:r>
          </w:p>
        </w:tc>
      </w:tr>
      <w:tr>
        <w:trPr>
          <w:cantSplit/>
        </w:trPr>
        <w:tc>
          <w:tcPr>
            <w:tcW w:type="dxa" w:w="504"/>
            <w:tcMar>
              <w:top w:w="80" w:type="dxa"/>
              <w:start w:w="120" w:type="dxa"/>
              <w:bottom w:w="80" w:type="dxa"/>
              <w:end w:w="120" w:type="dxa"/>
            </w:tcMar>
            <w:vAlign w:val="center"/>
          </w:tcPr>
          <w:p>
            <w:pPr>
              <w:spacing w:after="40" w:line="252" w:lineRule="auto"/>
            </w:pPr>
            <w:r>
              <w:rPr>
                <w:sz w:val="15"/>
              </w:rPr>
              <w:t>26</w:t>
            </w:r>
          </w:p>
        </w:tc>
        <w:tc>
          <w:tcPr>
            <w:tcW w:type="dxa" w:w="3456"/>
            <w:tcMar>
              <w:top w:w="80" w:type="dxa"/>
              <w:start w:w="120" w:type="dxa"/>
              <w:bottom w:w="80" w:type="dxa"/>
              <w:end w:w="120" w:type="dxa"/>
            </w:tcMar>
            <w:vAlign w:val="center"/>
          </w:tcPr>
          <w:p>
            <w:pPr>
              <w:spacing w:after="40" w:line="252" w:lineRule="auto"/>
            </w:pPr>
            <w:r>
              <w:rPr>
                <w:sz w:val="15"/>
              </w:rPr>
              <w:t>From loan origination to regulatory report</w:t>
            </w:r>
          </w:p>
        </w:tc>
        <w:tc>
          <w:tcPr>
            <w:tcW w:type="dxa" w:w="1944"/>
            <w:tcMar>
              <w:top w:w="80" w:type="dxa"/>
              <w:start w:w="120" w:type="dxa"/>
              <w:bottom w:w="80" w:type="dxa"/>
              <w:end w:w="120" w:type="dxa"/>
            </w:tcMar>
            <w:vAlign w:val="center"/>
          </w:tcPr>
          <w:p>
            <w:pPr>
              <w:spacing w:after="40" w:line="252" w:lineRule="auto"/>
            </w:pPr>
            <w:r>
              <w:rPr>
                <w:sz w:val="15"/>
              </w:rPr>
              <w:t>Inside FinBank</w:t>
            </w:r>
          </w:p>
        </w:tc>
        <w:tc>
          <w:tcPr>
            <w:tcW w:type="dxa" w:w="1728"/>
            <w:tcMar>
              <w:top w:w="80" w:type="dxa"/>
              <w:start w:w="120" w:type="dxa"/>
              <w:bottom w:w="80" w:type="dxa"/>
              <w:end w:w="120" w:type="dxa"/>
            </w:tcMar>
            <w:vAlign w:val="center"/>
          </w:tcPr>
          <w:p>
            <w:pPr>
              <w:spacing w:after="40" w:line="252" w:lineRule="auto"/>
            </w:pPr>
            <w:r>
              <w:rPr>
                <w:sz w:val="15"/>
              </w:rPr>
              <w:t>Animated workflow</w:t>
            </w:r>
          </w:p>
        </w:tc>
        <w:tc>
          <w:tcPr>
            <w:tcW w:type="dxa" w:w="1728"/>
            <w:tcMar>
              <w:top w:w="80" w:type="dxa"/>
              <w:start w:w="120" w:type="dxa"/>
              <w:bottom w:w="80" w:type="dxa"/>
              <w:end w:w="120" w:type="dxa"/>
            </w:tcMar>
            <w:vAlign w:val="center"/>
          </w:tcPr>
          <w:p>
            <w:pPr>
              <w:spacing w:after="40" w:line="252" w:lineRule="auto"/>
            </w:pPr>
            <w:r>
              <w:rPr>
                <w:sz w:val="15"/>
              </w:rPr>
              <w:t>Cross-Pod preview</w:t>
            </w:r>
          </w:p>
        </w:tc>
      </w:tr>
      <w:tr>
        <w:trPr>
          <w:cantSplit/>
        </w:trPr>
        <w:tc>
          <w:tcPr>
            <w:tcW w:type="dxa" w:w="504"/>
            <w:tcMar>
              <w:top w:w="80" w:type="dxa"/>
              <w:start w:w="120" w:type="dxa"/>
              <w:bottom w:w="80" w:type="dxa"/>
              <w:end w:w="120" w:type="dxa"/>
            </w:tcMar>
            <w:vAlign w:val="center"/>
          </w:tcPr>
          <w:p>
            <w:pPr>
              <w:spacing w:after="40" w:line="252" w:lineRule="auto"/>
            </w:pPr>
            <w:r>
              <w:rPr>
                <w:sz w:val="15"/>
              </w:rPr>
              <w:t>27</w:t>
            </w:r>
          </w:p>
        </w:tc>
        <w:tc>
          <w:tcPr>
            <w:tcW w:type="dxa" w:w="3456"/>
            <w:tcMar>
              <w:top w:w="80" w:type="dxa"/>
              <w:start w:w="120" w:type="dxa"/>
              <w:bottom w:w="80" w:type="dxa"/>
              <w:end w:w="120" w:type="dxa"/>
            </w:tcMar>
            <w:vAlign w:val="center"/>
          </w:tcPr>
          <w:p>
            <w:pPr>
              <w:spacing w:after="40" w:line="252" w:lineRule="auto"/>
            </w:pPr>
            <w:r>
              <w:rPr>
                <w:sz w:val="15"/>
              </w:rPr>
              <w:t>Arabic Basel glossary: RWA, EAD, CET1</w:t>
            </w:r>
          </w:p>
        </w:tc>
        <w:tc>
          <w:tcPr>
            <w:tcW w:type="dxa" w:w="1944"/>
            <w:tcMar>
              <w:top w:w="80" w:type="dxa"/>
              <w:start w:w="120" w:type="dxa"/>
              <w:bottom w:w="80" w:type="dxa"/>
              <w:end w:w="120" w:type="dxa"/>
            </w:tcMar>
            <w:vAlign w:val="center"/>
          </w:tcPr>
          <w:p>
            <w:pPr>
              <w:spacing w:after="40" w:line="252" w:lineRule="auto"/>
            </w:pPr>
            <w:r>
              <w:rPr>
                <w:sz w:val="15"/>
              </w:rPr>
              <w:t>60 Seconds</w:t>
            </w:r>
          </w:p>
        </w:tc>
        <w:tc>
          <w:tcPr>
            <w:tcW w:type="dxa" w:w="1728"/>
            <w:tcMar>
              <w:top w:w="80" w:type="dxa"/>
              <w:start w:w="120" w:type="dxa"/>
              <w:bottom w:w="80" w:type="dxa"/>
              <w:end w:w="120" w:type="dxa"/>
            </w:tcMar>
            <w:vAlign w:val="center"/>
          </w:tcPr>
          <w:p>
            <w:pPr>
              <w:spacing w:after="40" w:line="252" w:lineRule="auto"/>
            </w:pPr>
            <w:r>
              <w:rPr>
                <w:sz w:val="15"/>
              </w:rPr>
              <w:t>Arabic Reel</w:t>
            </w:r>
          </w:p>
        </w:tc>
        <w:tc>
          <w:tcPr>
            <w:tcW w:type="dxa" w:w="1728"/>
            <w:tcMar>
              <w:top w:w="80" w:type="dxa"/>
              <w:start w:w="120" w:type="dxa"/>
              <w:bottom w:w="80" w:type="dxa"/>
              <w:end w:w="120" w:type="dxa"/>
            </w:tcMar>
            <w:vAlign w:val="center"/>
          </w:tcPr>
          <w:p>
            <w:pPr>
              <w:spacing w:after="40" w:line="252" w:lineRule="auto"/>
            </w:pPr>
            <w:r>
              <w:rPr>
                <w:sz w:val="15"/>
              </w:rPr>
              <w:t>Arabic Foundations</w:t>
            </w:r>
          </w:p>
        </w:tc>
      </w:tr>
      <w:tr>
        <w:trPr>
          <w:cantSplit/>
        </w:trPr>
        <w:tc>
          <w:tcPr>
            <w:tcW w:type="dxa" w:w="504"/>
            <w:tcMar>
              <w:top w:w="80" w:type="dxa"/>
              <w:start w:w="120" w:type="dxa"/>
              <w:bottom w:w="80" w:type="dxa"/>
              <w:end w:w="120" w:type="dxa"/>
            </w:tcMar>
            <w:vAlign w:val="center"/>
          </w:tcPr>
          <w:p>
            <w:pPr>
              <w:spacing w:after="40" w:line="252" w:lineRule="auto"/>
            </w:pPr>
            <w:r>
              <w:rPr>
                <w:sz w:val="15"/>
              </w:rPr>
              <w:t>28</w:t>
            </w:r>
          </w:p>
        </w:tc>
        <w:tc>
          <w:tcPr>
            <w:tcW w:type="dxa" w:w="3456"/>
            <w:tcMar>
              <w:top w:w="80" w:type="dxa"/>
              <w:start w:w="120" w:type="dxa"/>
              <w:bottom w:w="80" w:type="dxa"/>
              <w:end w:w="120" w:type="dxa"/>
            </w:tcMar>
            <w:vAlign w:val="center"/>
          </w:tcPr>
          <w:p>
            <w:pPr>
              <w:spacing w:after="40" w:line="252" w:lineRule="auto"/>
            </w:pPr>
            <w:r>
              <w:rPr>
                <w:sz w:val="15"/>
              </w:rPr>
              <w:t>SAMA corporate exposure vocabulary in Arabic/English</w:t>
            </w:r>
          </w:p>
        </w:tc>
        <w:tc>
          <w:tcPr>
            <w:tcW w:type="dxa" w:w="1944"/>
            <w:tcMar>
              <w:top w:w="80" w:type="dxa"/>
              <w:start w:w="120" w:type="dxa"/>
              <w:bottom w:w="80" w:type="dxa"/>
              <w:end w:w="120" w:type="dxa"/>
            </w:tcMar>
            <w:vAlign w:val="center"/>
          </w:tcPr>
          <w:p>
            <w:pPr>
              <w:spacing w:after="40" w:line="252" w:lineRule="auto"/>
            </w:pPr>
            <w:r>
              <w:rPr>
                <w:sz w:val="15"/>
              </w:rPr>
              <w:t>Same Loan, Different Country</w:t>
            </w:r>
          </w:p>
        </w:tc>
        <w:tc>
          <w:tcPr>
            <w:tcW w:type="dxa" w:w="1728"/>
            <w:tcMar>
              <w:top w:w="80" w:type="dxa"/>
              <w:start w:w="120" w:type="dxa"/>
              <w:bottom w:w="80" w:type="dxa"/>
              <w:end w:w="120" w:type="dxa"/>
            </w:tcMar>
            <w:vAlign w:val="center"/>
          </w:tcPr>
          <w:p>
            <w:pPr>
              <w:spacing w:after="40" w:line="252" w:lineRule="auto"/>
            </w:pPr>
            <w:r>
              <w:rPr>
                <w:sz w:val="15"/>
              </w:rPr>
              <w:t>Arabic carousel</w:t>
            </w:r>
          </w:p>
        </w:tc>
        <w:tc>
          <w:tcPr>
            <w:tcW w:type="dxa" w:w="1728"/>
            <w:tcMar>
              <w:top w:w="80" w:type="dxa"/>
              <w:start w:w="120" w:type="dxa"/>
              <w:bottom w:w="80" w:type="dxa"/>
              <w:end w:w="120" w:type="dxa"/>
            </w:tcMar>
            <w:vAlign w:val="center"/>
          </w:tcPr>
          <w:p>
            <w:pPr>
              <w:spacing w:after="40" w:line="252" w:lineRule="auto"/>
            </w:pPr>
            <w:r>
              <w:rPr>
                <w:sz w:val="15"/>
              </w:rPr>
              <w:t>SAMA lesson</w:t>
            </w:r>
          </w:p>
        </w:tc>
      </w:tr>
      <w:tr>
        <w:trPr>
          <w:cantSplit/>
        </w:trPr>
        <w:tc>
          <w:tcPr>
            <w:tcW w:type="dxa" w:w="504"/>
            <w:tcMar>
              <w:top w:w="80" w:type="dxa"/>
              <w:start w:w="120" w:type="dxa"/>
              <w:bottom w:w="80" w:type="dxa"/>
              <w:end w:w="120" w:type="dxa"/>
            </w:tcMar>
            <w:vAlign w:val="center"/>
          </w:tcPr>
          <w:p>
            <w:pPr>
              <w:spacing w:after="40" w:line="252" w:lineRule="auto"/>
            </w:pPr>
            <w:r>
              <w:rPr>
                <w:sz w:val="15"/>
              </w:rPr>
              <w:t>29</w:t>
            </w:r>
          </w:p>
        </w:tc>
        <w:tc>
          <w:tcPr>
            <w:tcW w:type="dxa" w:w="3456"/>
            <w:tcMar>
              <w:top w:w="80" w:type="dxa"/>
              <w:start w:w="120" w:type="dxa"/>
              <w:bottom w:w="80" w:type="dxa"/>
              <w:end w:w="120" w:type="dxa"/>
            </w:tcMar>
            <w:vAlign w:val="center"/>
          </w:tcPr>
          <w:p>
            <w:pPr>
              <w:spacing w:after="40" w:line="252" w:lineRule="auto"/>
            </w:pPr>
            <w:r>
              <w:rPr>
                <w:sz w:val="15"/>
              </w:rPr>
              <w:t>Audience question: “Where did 75% come from?”</w:t>
            </w:r>
          </w:p>
        </w:tc>
        <w:tc>
          <w:tcPr>
            <w:tcW w:type="dxa" w:w="1944"/>
            <w:tcMar>
              <w:top w:w="80" w:type="dxa"/>
              <w:start w:w="120" w:type="dxa"/>
              <w:bottom w:w="80" w:type="dxa"/>
              <w:end w:w="120" w:type="dxa"/>
            </w:tcMar>
            <w:vAlign w:val="center"/>
          </w:tcPr>
          <w:p>
            <w:pPr>
              <w:spacing w:after="40" w:line="252" w:lineRule="auto"/>
            </w:pPr>
            <w:r>
              <w:rPr>
                <w:sz w:val="15"/>
              </w:rPr>
              <w:t>Ask the Tutor</w:t>
            </w:r>
          </w:p>
        </w:tc>
        <w:tc>
          <w:tcPr>
            <w:tcW w:type="dxa" w:w="1728"/>
            <w:tcMar>
              <w:top w:w="80" w:type="dxa"/>
              <w:start w:w="120" w:type="dxa"/>
              <w:bottom w:w="80" w:type="dxa"/>
              <w:end w:w="120" w:type="dxa"/>
            </w:tcMar>
            <w:vAlign w:val="center"/>
          </w:tcPr>
          <w:p>
            <w:pPr>
              <w:spacing w:after="40" w:line="252" w:lineRule="auto"/>
            </w:pPr>
            <w:r>
              <w:rPr>
                <w:sz w:val="15"/>
              </w:rPr>
              <w:t>Q&amp;A Short</w:t>
            </w:r>
          </w:p>
        </w:tc>
        <w:tc>
          <w:tcPr>
            <w:tcW w:type="dxa" w:w="1728"/>
            <w:tcMar>
              <w:top w:w="80" w:type="dxa"/>
              <w:start w:w="120" w:type="dxa"/>
              <w:bottom w:w="80" w:type="dxa"/>
              <w:end w:w="120" w:type="dxa"/>
            </w:tcMar>
            <w:vAlign w:val="center"/>
          </w:tcPr>
          <w:p>
            <w:pPr>
              <w:spacing w:after="40" w:line="252" w:lineRule="auto"/>
            </w:pPr>
            <w:r>
              <w:rPr>
                <w:sz w:val="15"/>
              </w:rPr>
              <w:t>Source + calculator</w:t>
            </w:r>
          </w:p>
        </w:tc>
      </w:tr>
      <w:tr>
        <w:trPr>
          <w:cantSplit/>
        </w:trPr>
        <w:tc>
          <w:tcPr>
            <w:tcW w:type="dxa" w:w="504"/>
            <w:tcMar>
              <w:top w:w="80" w:type="dxa"/>
              <w:start w:w="120" w:type="dxa"/>
              <w:bottom w:w="80" w:type="dxa"/>
              <w:end w:w="120" w:type="dxa"/>
            </w:tcMar>
            <w:vAlign w:val="center"/>
          </w:tcPr>
          <w:p>
            <w:pPr>
              <w:spacing w:after="40" w:line="252" w:lineRule="auto"/>
            </w:pPr>
            <w:r>
              <w:rPr>
                <w:sz w:val="15"/>
              </w:rPr>
              <w:t>30</w:t>
            </w:r>
          </w:p>
        </w:tc>
        <w:tc>
          <w:tcPr>
            <w:tcW w:type="dxa" w:w="3456"/>
            <w:tcMar>
              <w:top w:w="80" w:type="dxa"/>
              <w:start w:w="120" w:type="dxa"/>
              <w:bottom w:w="80" w:type="dxa"/>
              <w:end w:w="120" w:type="dxa"/>
            </w:tcMar>
            <w:vAlign w:val="center"/>
          </w:tcPr>
          <w:p>
            <w:pPr>
              <w:spacing w:after="40" w:line="252" w:lineRule="auto"/>
            </w:pPr>
            <w:r>
              <w:rPr>
                <w:sz w:val="15"/>
              </w:rPr>
              <w:t>Golden Lesson preview: classify, calculate, compare, defend</w:t>
            </w:r>
          </w:p>
        </w:tc>
        <w:tc>
          <w:tcPr>
            <w:tcW w:type="dxa" w:w="1944"/>
            <w:tcMar>
              <w:top w:w="80" w:type="dxa"/>
              <w:start w:w="120" w:type="dxa"/>
              <w:bottom w:w="80" w:type="dxa"/>
              <w:end w:w="120" w:type="dxa"/>
            </w:tcMar>
            <w:vAlign w:val="center"/>
          </w:tcPr>
          <w:p>
            <w:pPr>
              <w:spacing w:after="40" w:line="252" w:lineRule="auto"/>
            </w:pPr>
            <w:r>
              <w:rPr>
                <w:sz w:val="15"/>
              </w:rPr>
              <w:t>Launch</w:t>
            </w:r>
          </w:p>
        </w:tc>
        <w:tc>
          <w:tcPr>
            <w:tcW w:type="dxa" w:w="1728"/>
            <w:tcMar>
              <w:top w:w="80" w:type="dxa"/>
              <w:start w:w="120" w:type="dxa"/>
              <w:bottom w:w="80" w:type="dxa"/>
              <w:end w:w="120" w:type="dxa"/>
            </w:tcMar>
            <w:vAlign w:val="center"/>
          </w:tcPr>
          <w:p>
            <w:pPr>
              <w:spacing w:after="40" w:line="252" w:lineRule="auto"/>
            </w:pPr>
            <w:r>
              <w:rPr>
                <w:sz w:val="15"/>
              </w:rPr>
              <w:t>Trailer</w:t>
            </w:r>
          </w:p>
        </w:tc>
        <w:tc>
          <w:tcPr>
            <w:tcW w:type="dxa" w:w="1728"/>
            <w:tcMar>
              <w:top w:w="80" w:type="dxa"/>
              <w:start w:w="120" w:type="dxa"/>
              <w:bottom w:w="80" w:type="dxa"/>
              <w:end w:w="120" w:type="dxa"/>
            </w:tcMar>
            <w:vAlign w:val="center"/>
          </w:tcPr>
          <w:p>
            <w:pPr>
              <w:spacing w:after="40" w:line="252" w:lineRule="auto"/>
            </w:pPr>
            <w:r>
              <w:rPr>
                <w:sz w:val="15"/>
              </w:rPr>
              <w:t>Free Corporate lesson</w:t>
            </w:r>
          </w:p>
        </w:tc>
      </w:tr>
    </w:tbl>
    <w:p>
      <w:pPr>
        <w:spacing w:after="40"/>
      </w:pPr>
    </w:p>
    <w:p>
      <w:pPr>
        <w:pStyle w:val="Heading1"/>
      </w:pPr>
      <w:r>
        <w:t>10. Production workflow and AI media factory</w:t>
      </w:r>
    </w:p>
    <w:p>
      <w:pPr>
        <w:pStyle w:val="Heading2"/>
      </w:pPr>
      <w:r>
        <w:t>End-to-end content lifecycle</w:t>
      </w:r>
    </w:p>
    <w:p>
      <w:pPr>
        <w:pStyle w:val="ListNumber"/>
        <w:numPr>
          <w:numId w:val="12"/>
        </w:numPr>
        <w:spacing w:after="100"/>
      </w:pPr>
      <w:r>
        <w:t>Demand intake: collect search opportunities, product roadmap priorities, learner questions, regulatory developments, sales objections, and SME suggestions.</w:t>
      </w:r>
    </w:p>
    <w:p>
      <w:pPr>
        <w:pStyle w:val="ListNumber"/>
        <w:numPr>
          <w:numId w:val="12"/>
        </w:numPr>
        <w:spacing w:after="100"/>
      </w:pPr>
      <w:r>
        <w:t>Brief: assign canonical content ID, audience, learning outcome, jurisdiction, rule status, source set, assumptions, format derivatives, CTA, destination, owner, reviewer, deadline, and experiment.</w:t>
      </w:r>
    </w:p>
    <w:p>
      <w:pPr>
        <w:pStyle w:val="ListNumber"/>
        <w:numPr>
          <w:numId w:val="12"/>
        </w:numPr>
        <w:spacing w:after="100"/>
      </w:pPr>
      <w:r>
        <w:t>Source packet: attach official documents, locators, retrieval date, effective/proposal status, canonical claims, approved calculation fixtures, and prohibited/uncertain statements.</w:t>
      </w:r>
    </w:p>
    <w:p>
      <w:pPr>
        <w:pStyle w:val="ListNumber"/>
        <w:numPr>
          <w:numId w:val="12"/>
        </w:numPr>
        <w:spacing w:after="100"/>
      </w:pPr>
      <w:r>
        <w:t>Canonical script: write the platform-neutral teaching narrative and deterministic example. Make claims atomic so reviewers can approve or reject them.</w:t>
      </w:r>
    </w:p>
    <w:p>
      <w:pPr>
        <w:pStyle w:val="ListNumber"/>
        <w:numPr>
          <w:numId w:val="12"/>
        </w:numPr>
        <w:spacing w:after="100"/>
      </w:pPr>
      <w:r>
        <w:t>Regulatory and learning review: SME validates rules and assumptions; learning editor validates clarity, scaffolding, and challenge; localization reviewer approves Arabic.</w:t>
      </w:r>
    </w:p>
    <w:p>
      <w:pPr>
        <w:pStyle w:val="ListNumber"/>
        <w:numPr>
          <w:numId w:val="12"/>
        </w:numPr>
        <w:spacing w:after="100"/>
      </w:pPr>
      <w:r>
        <w:t>Asset generation: create master narration/video, then derive channel-specific scripts, vertical edits, carousels, threads, captions, thumbnails, descriptions, quizzes, and email copy.</w:t>
      </w:r>
    </w:p>
    <w:p>
      <w:pPr>
        <w:pStyle w:val="ListNumber"/>
        <w:numPr>
          <w:numId w:val="12"/>
        </w:numPr>
        <w:spacing w:after="100"/>
      </w:pPr>
      <w:r>
        <w:t>Media production: combine reusable diagrams, Remotion-style deterministic animations, selected generative visuals, avatar/tutor footage when useful, and a consistent narrator identity. AI outputs remain drafts until approved.</w:t>
      </w:r>
    </w:p>
    <w:p>
      <w:pPr>
        <w:pStyle w:val="ListNumber"/>
        <w:numPr>
          <w:numId w:val="12"/>
        </w:numPr>
        <w:spacing w:after="100"/>
      </w:pPr>
      <w:r>
        <w:t>Preflight QA: check claims, citations, calculation outputs, captions, pronunciation, RTL layout, accessibility, disclosures, aspect ratio, safe zones, links, campaign parameters, and platform metadata.</w:t>
      </w:r>
    </w:p>
    <w:p>
      <w:pPr>
        <w:pStyle w:val="ListNumber"/>
        <w:numPr>
          <w:numId w:val="12"/>
        </w:numPr>
        <w:spacing w:after="100"/>
      </w:pPr>
      <w:r>
        <w:t>Publish and community: publish through approved credentials, log platform post IDs, respond using the source packet, and escalate new regulatory questions.</w:t>
      </w:r>
    </w:p>
    <w:p>
      <w:pPr>
        <w:pStyle w:val="ListNumber"/>
        <w:numPr>
          <w:numId w:val="12"/>
        </w:numPr>
        <w:spacing w:after="100"/>
      </w:pPr>
      <w:r>
        <w:t>Measure and learn: join platform, website, product, CRM, and revenue events; record insight and experiment result; update backlog without rewriting history.</w:t>
      </w:r>
    </w:p>
    <w:p>
      <w:pPr>
        <w:pStyle w:val="Heading2"/>
      </w:pPr>
      <w:r>
        <w:t>AI media factory boundaries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536"/>
            <w:shd w:fill="E8EEF5"/>
            <w:tcMar>
              <w:top w:w="80" w:type="dxa"/>
              <w:start w:w="120" w:type="dxa"/>
              <w:bottom w:w="80" w:type="dxa"/>
              <w:end w:w="120" w:type="dxa"/>
            </w:tcMar>
            <w:vAlign w:val="center"/>
          </w:tcPr>
          <w:p>
            <w:r>
              <w:rPr>
                <w:b/>
                <w:color w:val="0B2545"/>
                <w:sz w:val="18"/>
              </w:rPr>
              <w:t>AI may accelerate</w:t>
            </w:r>
          </w:p>
        </w:tc>
        <w:tc>
          <w:tcPr>
            <w:tcW w:type="dxa" w:w="4824"/>
            <w:shd w:fill="E8EEF5"/>
            <w:tcMar>
              <w:top w:w="80" w:type="dxa"/>
              <w:start w:w="120" w:type="dxa"/>
              <w:bottom w:w="80" w:type="dxa"/>
              <w:end w:w="120" w:type="dxa"/>
            </w:tcMar>
            <w:vAlign w:val="center"/>
          </w:tcPr>
          <w:p>
            <w:r>
              <w:rPr>
                <w:b/>
                <w:color w:val="0B2545"/>
                <w:sz w:val="18"/>
              </w:rPr>
              <w:t>Human/accountable control</w:t>
            </w:r>
          </w:p>
        </w:tc>
      </w:tr>
      <w:tr>
        <w:trPr>
          <w:cantSplit/>
        </w:trPr>
        <w:tc>
          <w:tcPr>
            <w:tcW w:type="dxa" w:w="4536"/>
            <w:tcMar>
              <w:top w:w="80" w:type="dxa"/>
              <w:start w:w="120" w:type="dxa"/>
              <w:bottom w:w="80" w:type="dxa"/>
              <w:end w:w="120" w:type="dxa"/>
            </w:tcMar>
            <w:vAlign w:val="center"/>
          </w:tcPr>
          <w:p>
            <w:pPr>
              <w:spacing w:after="40" w:line="252" w:lineRule="auto"/>
            </w:pPr>
            <w:r>
              <w:rPr>
                <w:sz w:val="18"/>
              </w:rPr>
              <w:t>Topic clustering, draft outlines, derivative scripts, captions, cut suggestions, translations, thumbnails, metadata, transcription, variants</w:t>
            </w:r>
          </w:p>
        </w:tc>
        <w:tc>
          <w:tcPr>
            <w:tcW w:type="dxa" w:w="4824"/>
            <w:tcMar>
              <w:top w:w="80" w:type="dxa"/>
              <w:start w:w="120" w:type="dxa"/>
              <w:bottom w:w="80" w:type="dxa"/>
              <w:end w:w="120" w:type="dxa"/>
            </w:tcMar>
            <w:vAlign w:val="center"/>
          </w:tcPr>
          <w:p>
            <w:pPr>
              <w:spacing w:after="40" w:line="252" w:lineRule="auto"/>
            </w:pPr>
            <w:r>
              <w:rPr>
                <w:sz w:val="18"/>
              </w:rPr>
              <w:t>Final claim accuracy, source status, calculation fixtures, Arabic professional usage, rights/consent, brand judgment, disclosures, publication approval</w:t>
            </w:r>
          </w:p>
        </w:tc>
      </w:tr>
      <w:tr>
        <w:trPr>
          <w:cantSplit/>
        </w:trPr>
        <w:tc>
          <w:tcPr>
            <w:tcW w:type="dxa" w:w="4536"/>
            <w:tcMar>
              <w:top w:w="80" w:type="dxa"/>
              <w:start w:w="120" w:type="dxa"/>
              <w:bottom w:w="80" w:type="dxa"/>
              <w:end w:w="120" w:type="dxa"/>
            </w:tcMar>
            <w:vAlign w:val="center"/>
          </w:tcPr>
          <w:p>
            <w:pPr>
              <w:spacing w:after="40" w:line="252" w:lineRule="auto"/>
            </w:pPr>
            <w:r>
              <w:rPr>
                <w:sz w:val="18"/>
              </w:rPr>
              <w:t>Synthetic voice/avatar where consented and licensed</w:t>
            </w:r>
          </w:p>
        </w:tc>
        <w:tc>
          <w:tcPr>
            <w:tcW w:type="dxa" w:w="4824"/>
            <w:tcMar>
              <w:top w:w="80" w:type="dxa"/>
              <w:start w:w="120" w:type="dxa"/>
              <w:bottom w:w="80" w:type="dxa"/>
              <w:end w:w="120" w:type="dxa"/>
            </w:tcMar>
            <w:vAlign w:val="center"/>
          </w:tcPr>
          <w:p>
            <w:pPr>
              <w:spacing w:after="40" w:line="252" w:lineRule="auto"/>
            </w:pPr>
            <w:r>
              <w:rPr>
                <w:sz w:val="18"/>
              </w:rPr>
              <w:t>Voice identity governance, disclosure when required, quality/appropriateness, revocation and vendor controls</w:t>
            </w:r>
          </w:p>
        </w:tc>
      </w:tr>
      <w:tr>
        <w:trPr>
          <w:cantSplit/>
        </w:trPr>
        <w:tc>
          <w:tcPr>
            <w:tcW w:type="dxa" w:w="4536"/>
            <w:tcMar>
              <w:top w:w="80" w:type="dxa"/>
              <w:start w:w="120" w:type="dxa"/>
              <w:bottom w:w="80" w:type="dxa"/>
              <w:end w:w="120" w:type="dxa"/>
            </w:tcMar>
            <w:vAlign w:val="center"/>
          </w:tcPr>
          <w:p>
            <w:pPr>
              <w:spacing w:after="40" w:line="252" w:lineRule="auto"/>
            </w:pPr>
            <w:r>
              <w:rPr>
                <w:sz w:val="18"/>
              </w:rPr>
              <w:t>Generative scenes and illustrations</w:t>
            </w:r>
          </w:p>
        </w:tc>
        <w:tc>
          <w:tcPr>
            <w:tcW w:type="dxa" w:w="4824"/>
            <w:tcMar>
              <w:top w:w="80" w:type="dxa"/>
              <w:start w:w="120" w:type="dxa"/>
              <w:bottom w:w="80" w:type="dxa"/>
              <w:end w:w="120" w:type="dxa"/>
            </w:tcMar>
            <w:vAlign w:val="center"/>
          </w:tcPr>
          <w:p>
            <w:pPr>
              <w:spacing w:after="40" w:line="252" w:lineRule="auto"/>
            </w:pPr>
            <w:r>
              <w:rPr>
                <w:sz w:val="18"/>
              </w:rPr>
              <w:t>No fabricated regulator documents, logos, quotes, people, endorsements, or evidence; asset provenance retained</w:t>
            </w:r>
          </w:p>
        </w:tc>
      </w:tr>
    </w:tbl>
    <w:p>
      <w:pPr>
        <w:spacing w:after="40"/>
      </w:pPr>
    </w:p>
    <w:p>
      <w:pPr>
        <w:pStyle w:val="Heading1"/>
      </w:pPr>
      <w:r>
        <w:t>11. Social publishing architecture</w:t>
      </w:r>
    </w:p>
    <w:p>
      <w:pPr>
        <w:pStyle w:val="CodeBlock"/>
        <w:shd w:fill="F7F8FA"/>
      </w:pPr>
      <w:r>
        <w:t>/growth/</w:t>
        <w:br/>
        <w:t>├─ strategy/        # content_strategy.md, channel_strategy.md, conversion_funnel.md</w:t>
        <w:br/>
        <w:t>├─ calendar/        # editorial_calendar.md + machine-readable schedule</w:t>
        <w:br/>
        <w:t>├─ briefs/          # canonical briefs by content_id</w:t>
        <w:br/>
        <w:t>├─ sources/         # manifests/locators; approved official-source references</w:t>
        <w:br/>
        <w:t>├─ scripts/         # canonical and channel derivatives</w:t>
        <w:br/>
        <w:t>├─ templates/       # social_templates.md, caption/thumbnail/layout templates</w:t>
        <w:br/>
        <w:t>├─ standards/       # video_standards.md, localization, accessibility, disclaimers</w:t>
        <w:br/>
        <w:t>├─ assets/          # source, generated, edited, subtitles, thumbnails, provenance</w:t>
        <w:br/>
        <w:t>├─ campaigns/       # campaign manifests, UTM rules, landing mappings</w:t>
        <w:br/>
        <w:t>├─ pipeline/        # content_pipeline.md, schemas, validation, orchestration</w:t>
        <w:br/>
        <w:t>├─ analytics/       # analytics.md, taxonomy, dashboards, experiments</w:t>
        <w:br/>
        <w:t>├─ governance/      # review records, approvals, corrections, retention</w:t>
        <w:br/>
        <w:t>└─ archive/         # immutable published manifests and superseded versions</w:t>
      </w:r>
    </w:p>
    <w:p>
      <w:pPr>
        <w:pStyle w:val="Heading2"/>
      </w:pPr>
      <w:r>
        <w:t>Logical components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shd w:fill="E8EEF5"/>
            <w:tcMar>
              <w:top w:w="80" w:type="dxa"/>
              <w:start w:w="120" w:type="dxa"/>
              <w:bottom w:w="80" w:type="dxa"/>
              <w:end w:w="120" w:type="dxa"/>
            </w:tcMar>
            <w:vAlign w:val="center"/>
          </w:tcPr>
          <w:p>
            <w:r>
              <w:rPr>
                <w:b/>
                <w:color w:val="0B2545"/>
                <w:sz w:val="16"/>
              </w:rPr>
              <w:t>Component</w:t>
            </w:r>
          </w:p>
        </w:tc>
        <w:tc>
          <w:tcPr>
            <w:tcW w:type="dxa" w:w="4896"/>
            <w:shd w:fill="E8EEF5"/>
            <w:tcMar>
              <w:top w:w="80" w:type="dxa"/>
              <w:start w:w="120" w:type="dxa"/>
              <w:bottom w:w="80" w:type="dxa"/>
              <w:end w:w="120" w:type="dxa"/>
            </w:tcMar>
            <w:vAlign w:val="center"/>
          </w:tcPr>
          <w:p>
            <w:r>
              <w:rPr>
                <w:b/>
                <w:color w:val="0B2545"/>
                <w:sz w:val="16"/>
              </w:rPr>
              <w:t>Responsibility</w:t>
            </w:r>
          </w:p>
        </w:tc>
        <w:tc>
          <w:tcPr>
            <w:tcW w:type="dxa" w:w="2664"/>
            <w:shd w:fill="E8EEF5"/>
            <w:tcMar>
              <w:top w:w="80" w:type="dxa"/>
              <w:start w:w="120" w:type="dxa"/>
              <w:bottom w:w="80" w:type="dxa"/>
              <w:end w:w="120" w:type="dxa"/>
            </w:tcMar>
            <w:vAlign w:val="center"/>
          </w:tcPr>
          <w:p>
            <w:r>
              <w:rPr>
                <w:b/>
                <w:color w:val="0B2545"/>
                <w:sz w:val="16"/>
              </w:rPr>
              <w:t>Key control</w:t>
            </w:r>
          </w:p>
        </w:tc>
      </w:tr>
      <w:tr>
        <w:trPr>
          <w:cantSplit/>
        </w:trPr>
        <w:tc>
          <w:tcPr>
            <w:tcW w:type="dxa" w:w="1800"/>
            <w:tcMar>
              <w:top w:w="80" w:type="dxa"/>
              <w:start w:w="120" w:type="dxa"/>
              <w:bottom w:w="80" w:type="dxa"/>
              <w:end w:w="120" w:type="dxa"/>
            </w:tcMar>
            <w:vAlign w:val="center"/>
          </w:tcPr>
          <w:p>
            <w:pPr>
              <w:spacing w:after="40" w:line="252" w:lineRule="auto"/>
            </w:pPr>
            <w:r>
              <w:rPr>
                <w:sz w:val="16"/>
              </w:rPr>
              <w:t>Content registry</w:t>
            </w:r>
          </w:p>
        </w:tc>
        <w:tc>
          <w:tcPr>
            <w:tcW w:type="dxa" w:w="4896"/>
            <w:tcMar>
              <w:top w:w="80" w:type="dxa"/>
              <w:start w:w="120" w:type="dxa"/>
              <w:bottom w:w="80" w:type="dxa"/>
              <w:end w:w="120" w:type="dxa"/>
            </w:tcMar>
            <w:vAlign w:val="center"/>
          </w:tcPr>
          <w:p>
            <w:pPr>
              <w:spacing w:after="40" w:line="252" w:lineRule="auto"/>
            </w:pPr>
            <w:r>
              <w:rPr>
                <w:sz w:val="16"/>
              </w:rPr>
              <w:t>Canonical IDs, metadata, states, ownership and lineage</w:t>
            </w:r>
          </w:p>
        </w:tc>
        <w:tc>
          <w:tcPr>
            <w:tcW w:type="dxa" w:w="2664"/>
            <w:tcMar>
              <w:top w:w="80" w:type="dxa"/>
              <w:start w:w="120" w:type="dxa"/>
              <w:bottom w:w="80" w:type="dxa"/>
              <w:end w:w="120" w:type="dxa"/>
            </w:tcMar>
            <w:vAlign w:val="center"/>
          </w:tcPr>
          <w:p>
            <w:pPr>
              <w:spacing w:after="40" w:line="252" w:lineRule="auto"/>
            </w:pPr>
            <w:r>
              <w:rPr>
                <w:sz w:val="16"/>
              </w:rPr>
              <w:t>Immutable published versions; auditable transitions</w:t>
            </w:r>
          </w:p>
        </w:tc>
      </w:tr>
      <w:tr>
        <w:trPr>
          <w:cantSplit/>
        </w:trPr>
        <w:tc>
          <w:tcPr>
            <w:tcW w:type="dxa" w:w="1800"/>
            <w:tcMar>
              <w:top w:w="80" w:type="dxa"/>
              <w:start w:w="120" w:type="dxa"/>
              <w:bottom w:w="80" w:type="dxa"/>
              <w:end w:w="120" w:type="dxa"/>
            </w:tcMar>
            <w:vAlign w:val="center"/>
          </w:tcPr>
          <w:p>
            <w:pPr>
              <w:spacing w:after="40" w:line="252" w:lineRule="auto"/>
            </w:pPr>
            <w:r>
              <w:rPr>
                <w:sz w:val="16"/>
              </w:rPr>
              <w:t>Source registry / knowledge service</w:t>
            </w:r>
          </w:p>
        </w:tc>
        <w:tc>
          <w:tcPr>
            <w:tcW w:type="dxa" w:w="4896"/>
            <w:tcMar>
              <w:top w:w="80" w:type="dxa"/>
              <w:start w:w="120" w:type="dxa"/>
              <w:bottom w:w="80" w:type="dxa"/>
              <w:end w:w="120" w:type="dxa"/>
            </w:tcMar>
            <w:vAlign w:val="center"/>
          </w:tcPr>
          <w:p>
            <w:pPr>
              <w:spacing w:after="40" w:line="252" w:lineRule="auto"/>
            </w:pPr>
            <w:r>
              <w:rPr>
                <w:sz w:val="16"/>
              </w:rPr>
              <w:t>Official source objects, version/effective status, claim links</w:t>
            </w:r>
          </w:p>
        </w:tc>
        <w:tc>
          <w:tcPr>
            <w:tcW w:type="dxa" w:w="2664"/>
            <w:tcMar>
              <w:top w:w="80" w:type="dxa"/>
              <w:start w:w="120" w:type="dxa"/>
              <w:bottom w:w="80" w:type="dxa"/>
              <w:end w:w="120" w:type="dxa"/>
            </w:tcMar>
            <w:vAlign w:val="center"/>
          </w:tcPr>
          <w:p>
            <w:pPr>
              <w:spacing w:after="40" w:line="252" w:lineRule="auto"/>
            </w:pPr>
            <w:r>
              <w:rPr>
                <w:sz w:val="16"/>
              </w:rPr>
              <w:t>Only approved source IDs enter publishable assets</w:t>
            </w:r>
          </w:p>
        </w:tc>
      </w:tr>
      <w:tr>
        <w:trPr>
          <w:cantSplit/>
        </w:trPr>
        <w:tc>
          <w:tcPr>
            <w:tcW w:type="dxa" w:w="1800"/>
            <w:tcMar>
              <w:top w:w="80" w:type="dxa"/>
              <w:start w:w="120" w:type="dxa"/>
              <w:bottom w:w="80" w:type="dxa"/>
              <w:end w:w="120" w:type="dxa"/>
            </w:tcMar>
            <w:vAlign w:val="center"/>
          </w:tcPr>
          <w:p>
            <w:pPr>
              <w:spacing w:after="40" w:line="252" w:lineRule="auto"/>
            </w:pPr>
            <w:r>
              <w:rPr>
                <w:sz w:val="16"/>
              </w:rPr>
              <w:t>Calculation service</w:t>
            </w:r>
          </w:p>
        </w:tc>
        <w:tc>
          <w:tcPr>
            <w:tcW w:type="dxa" w:w="4896"/>
            <w:tcMar>
              <w:top w:w="80" w:type="dxa"/>
              <w:start w:w="120" w:type="dxa"/>
              <w:bottom w:w="80" w:type="dxa"/>
              <w:end w:w="120" w:type="dxa"/>
            </w:tcMar>
            <w:vAlign w:val="center"/>
          </w:tcPr>
          <w:p>
            <w:pPr>
              <w:spacing w:after="40" w:line="252" w:lineRule="auto"/>
            </w:pPr>
            <w:r>
              <w:rPr>
                <w:sz w:val="16"/>
              </w:rPr>
              <w:t>Deterministic fixtures and outputs</w:t>
            </w:r>
          </w:p>
        </w:tc>
        <w:tc>
          <w:tcPr>
            <w:tcW w:type="dxa" w:w="2664"/>
            <w:tcMar>
              <w:top w:w="80" w:type="dxa"/>
              <w:start w:w="120" w:type="dxa"/>
              <w:bottom w:w="80" w:type="dxa"/>
              <w:end w:w="120" w:type="dxa"/>
            </w:tcMar>
            <w:vAlign w:val="center"/>
          </w:tcPr>
          <w:p>
            <w:pPr>
              <w:spacing w:after="40" w:line="252" w:lineRule="auto"/>
            </w:pPr>
            <w:r>
              <w:rPr>
                <w:sz w:val="16"/>
              </w:rPr>
              <w:t>LLM never invents production arithmetic</w:t>
            </w:r>
          </w:p>
        </w:tc>
      </w:tr>
      <w:tr>
        <w:trPr>
          <w:cantSplit/>
        </w:trPr>
        <w:tc>
          <w:tcPr>
            <w:tcW w:type="dxa" w:w="1800"/>
            <w:tcMar>
              <w:top w:w="80" w:type="dxa"/>
              <w:start w:w="120" w:type="dxa"/>
              <w:bottom w:w="80" w:type="dxa"/>
              <w:end w:w="120" w:type="dxa"/>
            </w:tcMar>
            <w:vAlign w:val="center"/>
          </w:tcPr>
          <w:p>
            <w:pPr>
              <w:spacing w:after="40" w:line="252" w:lineRule="auto"/>
            </w:pPr>
            <w:r>
              <w:rPr>
                <w:sz w:val="16"/>
              </w:rPr>
              <w:t>Workflow orchestrator</w:t>
            </w:r>
          </w:p>
        </w:tc>
        <w:tc>
          <w:tcPr>
            <w:tcW w:type="dxa" w:w="4896"/>
            <w:tcMar>
              <w:top w:w="80" w:type="dxa"/>
              <w:start w:w="120" w:type="dxa"/>
              <w:bottom w:w="80" w:type="dxa"/>
              <w:end w:w="120" w:type="dxa"/>
            </w:tcMar>
            <w:vAlign w:val="center"/>
          </w:tcPr>
          <w:p>
            <w:pPr>
              <w:spacing w:after="40" w:line="252" w:lineRule="auto"/>
            </w:pPr>
            <w:r>
              <w:rPr>
                <w:sz w:val="16"/>
              </w:rPr>
              <w:t>Brief→review→render→QA→schedule→publish</w:t>
            </w:r>
          </w:p>
        </w:tc>
        <w:tc>
          <w:tcPr>
            <w:tcW w:type="dxa" w:w="2664"/>
            <w:tcMar>
              <w:top w:w="80" w:type="dxa"/>
              <w:start w:w="120" w:type="dxa"/>
              <w:bottom w:w="80" w:type="dxa"/>
              <w:end w:w="120" w:type="dxa"/>
            </w:tcMar>
            <w:vAlign w:val="center"/>
          </w:tcPr>
          <w:p>
            <w:pPr>
              <w:spacing w:after="40" w:line="252" w:lineRule="auto"/>
            </w:pPr>
            <w:r>
              <w:rPr>
                <w:sz w:val="16"/>
              </w:rPr>
              <w:t>Separation of author/reviewer/publisher</w:t>
            </w:r>
          </w:p>
        </w:tc>
      </w:tr>
      <w:tr>
        <w:trPr>
          <w:cantSplit/>
        </w:trPr>
        <w:tc>
          <w:tcPr>
            <w:tcW w:type="dxa" w:w="1800"/>
            <w:tcMar>
              <w:top w:w="80" w:type="dxa"/>
              <w:start w:w="120" w:type="dxa"/>
              <w:bottom w:w="80" w:type="dxa"/>
              <w:end w:w="120" w:type="dxa"/>
            </w:tcMar>
            <w:vAlign w:val="center"/>
          </w:tcPr>
          <w:p>
            <w:pPr>
              <w:spacing w:after="40" w:line="252" w:lineRule="auto"/>
            </w:pPr>
            <w:r>
              <w:rPr>
                <w:sz w:val="16"/>
              </w:rPr>
              <w:t>Asset store/CDN</w:t>
            </w:r>
          </w:p>
        </w:tc>
        <w:tc>
          <w:tcPr>
            <w:tcW w:type="dxa" w:w="4896"/>
            <w:tcMar>
              <w:top w:w="80" w:type="dxa"/>
              <w:start w:w="120" w:type="dxa"/>
              <w:bottom w:w="80" w:type="dxa"/>
              <w:end w:w="120" w:type="dxa"/>
            </w:tcMar>
            <w:vAlign w:val="center"/>
          </w:tcPr>
          <w:p>
            <w:pPr>
              <w:spacing w:after="40" w:line="252" w:lineRule="auto"/>
            </w:pPr>
            <w:r>
              <w:rPr>
                <w:sz w:val="16"/>
              </w:rPr>
              <w:t>Masters, derivatives, captions, thumbnails, provenance</w:t>
            </w:r>
          </w:p>
        </w:tc>
        <w:tc>
          <w:tcPr>
            <w:tcW w:type="dxa" w:w="2664"/>
            <w:tcMar>
              <w:top w:w="80" w:type="dxa"/>
              <w:start w:w="120" w:type="dxa"/>
              <w:bottom w:w="80" w:type="dxa"/>
              <w:end w:w="120" w:type="dxa"/>
            </w:tcMar>
            <w:vAlign w:val="center"/>
          </w:tcPr>
          <w:p>
            <w:pPr>
              <w:spacing w:after="40" w:line="252" w:lineRule="auto"/>
            </w:pPr>
            <w:r>
              <w:rPr>
                <w:sz w:val="16"/>
              </w:rPr>
              <w:t>Rights, hashes, access and retention</w:t>
            </w:r>
          </w:p>
        </w:tc>
      </w:tr>
      <w:tr>
        <w:trPr>
          <w:cantSplit/>
        </w:trPr>
        <w:tc>
          <w:tcPr>
            <w:tcW w:type="dxa" w:w="1800"/>
            <w:tcMar>
              <w:top w:w="80" w:type="dxa"/>
              <w:start w:w="120" w:type="dxa"/>
              <w:bottom w:w="80" w:type="dxa"/>
              <w:end w:w="120" w:type="dxa"/>
            </w:tcMar>
            <w:vAlign w:val="center"/>
          </w:tcPr>
          <w:p>
            <w:pPr>
              <w:spacing w:after="40" w:line="252" w:lineRule="auto"/>
            </w:pPr>
            <w:r>
              <w:rPr>
                <w:sz w:val="16"/>
              </w:rPr>
              <w:t>Publisher adapters</w:t>
            </w:r>
          </w:p>
        </w:tc>
        <w:tc>
          <w:tcPr>
            <w:tcW w:type="dxa" w:w="4896"/>
            <w:tcMar>
              <w:top w:w="80" w:type="dxa"/>
              <w:start w:w="120" w:type="dxa"/>
              <w:bottom w:w="80" w:type="dxa"/>
              <w:end w:w="120" w:type="dxa"/>
            </w:tcMar>
            <w:vAlign w:val="center"/>
          </w:tcPr>
          <w:p>
            <w:pPr>
              <w:spacing w:after="40" w:line="252" w:lineRule="auto"/>
            </w:pPr>
            <w:r>
              <w:rPr>
                <w:sz w:val="16"/>
              </w:rPr>
              <w:t>Platform-specific authenticated publishing</w:t>
            </w:r>
          </w:p>
        </w:tc>
        <w:tc>
          <w:tcPr>
            <w:tcW w:type="dxa" w:w="2664"/>
            <w:tcMar>
              <w:top w:w="80" w:type="dxa"/>
              <w:start w:w="120" w:type="dxa"/>
              <w:bottom w:w="80" w:type="dxa"/>
              <w:end w:w="120" w:type="dxa"/>
            </w:tcMar>
            <w:vAlign w:val="center"/>
          </w:tcPr>
          <w:p>
            <w:pPr>
              <w:spacing w:after="40" w:line="252" w:lineRule="auto"/>
            </w:pPr>
            <w:r>
              <w:rPr>
                <w:sz w:val="16"/>
              </w:rPr>
              <w:t>Least privilege, idempotency, retry, rate-limit handling</w:t>
            </w:r>
          </w:p>
        </w:tc>
      </w:tr>
      <w:tr>
        <w:trPr>
          <w:cantSplit/>
        </w:trPr>
        <w:tc>
          <w:tcPr>
            <w:tcW w:type="dxa" w:w="1800"/>
            <w:tcMar>
              <w:top w:w="80" w:type="dxa"/>
              <w:start w:w="120" w:type="dxa"/>
              <w:bottom w:w="80" w:type="dxa"/>
              <w:end w:w="120" w:type="dxa"/>
            </w:tcMar>
            <w:vAlign w:val="center"/>
          </w:tcPr>
          <w:p>
            <w:pPr>
              <w:spacing w:after="40" w:line="252" w:lineRule="auto"/>
            </w:pPr>
            <w:r>
              <w:rPr>
                <w:sz w:val="16"/>
              </w:rPr>
              <w:t>Link/landing service</w:t>
            </w:r>
          </w:p>
        </w:tc>
        <w:tc>
          <w:tcPr>
            <w:tcW w:type="dxa" w:w="4896"/>
            <w:tcMar>
              <w:top w:w="80" w:type="dxa"/>
              <w:start w:w="120" w:type="dxa"/>
              <w:bottom w:w="80" w:type="dxa"/>
              <w:end w:w="120" w:type="dxa"/>
            </w:tcMar>
            <w:vAlign w:val="center"/>
          </w:tcPr>
          <w:p>
            <w:pPr>
              <w:spacing w:after="40" w:line="252" w:lineRule="auto"/>
            </w:pPr>
            <w:r>
              <w:rPr>
                <w:sz w:val="16"/>
              </w:rPr>
              <w:t>Campaign routing and deep links</w:t>
            </w:r>
          </w:p>
        </w:tc>
        <w:tc>
          <w:tcPr>
            <w:tcW w:type="dxa" w:w="2664"/>
            <w:tcMar>
              <w:top w:w="80" w:type="dxa"/>
              <w:start w:w="120" w:type="dxa"/>
              <w:bottom w:w="80" w:type="dxa"/>
              <w:end w:w="120" w:type="dxa"/>
            </w:tcMar>
            <w:vAlign w:val="center"/>
          </w:tcPr>
          <w:p>
            <w:pPr>
              <w:spacing w:after="40" w:line="252" w:lineRule="auto"/>
            </w:pPr>
            <w:r>
              <w:rPr>
                <w:sz w:val="16"/>
              </w:rPr>
              <w:t>UTM/content IDs; preserve user context</w:t>
            </w:r>
          </w:p>
        </w:tc>
      </w:tr>
      <w:tr>
        <w:trPr>
          <w:cantSplit/>
        </w:trPr>
        <w:tc>
          <w:tcPr>
            <w:tcW w:type="dxa" w:w="1800"/>
            <w:tcMar>
              <w:top w:w="80" w:type="dxa"/>
              <w:start w:w="120" w:type="dxa"/>
              <w:bottom w:w="80" w:type="dxa"/>
              <w:end w:w="120" w:type="dxa"/>
            </w:tcMar>
            <w:vAlign w:val="center"/>
          </w:tcPr>
          <w:p>
            <w:pPr>
              <w:spacing w:after="40" w:line="252" w:lineRule="auto"/>
            </w:pPr>
            <w:r>
              <w:rPr>
                <w:sz w:val="16"/>
              </w:rPr>
              <w:t>Event pipeline / warehouse</w:t>
            </w:r>
          </w:p>
        </w:tc>
        <w:tc>
          <w:tcPr>
            <w:tcW w:type="dxa" w:w="4896"/>
            <w:tcMar>
              <w:top w:w="80" w:type="dxa"/>
              <w:start w:w="120" w:type="dxa"/>
              <w:bottom w:w="80" w:type="dxa"/>
              <w:end w:w="120" w:type="dxa"/>
            </w:tcMar>
            <w:vAlign w:val="center"/>
          </w:tcPr>
          <w:p>
            <w:pPr>
              <w:spacing w:after="40" w:line="252" w:lineRule="auto"/>
            </w:pPr>
            <w:r>
              <w:rPr>
                <w:sz w:val="16"/>
              </w:rPr>
              <w:t>Join platform, site, product, CRM and billing events</w:t>
            </w:r>
          </w:p>
        </w:tc>
        <w:tc>
          <w:tcPr>
            <w:tcW w:type="dxa" w:w="2664"/>
            <w:tcMar>
              <w:top w:w="80" w:type="dxa"/>
              <w:start w:w="120" w:type="dxa"/>
              <w:bottom w:w="80" w:type="dxa"/>
              <w:end w:w="120" w:type="dxa"/>
            </w:tcMar>
            <w:vAlign w:val="center"/>
          </w:tcPr>
          <w:p>
            <w:pPr>
              <w:spacing w:after="40" w:line="252" w:lineRule="auto"/>
            </w:pPr>
            <w:r>
              <w:rPr>
                <w:sz w:val="16"/>
              </w:rPr>
              <w:t>Consent, identity resolution, data minimization</w:t>
            </w:r>
          </w:p>
        </w:tc>
      </w:tr>
      <w:tr>
        <w:trPr>
          <w:cantSplit/>
        </w:trPr>
        <w:tc>
          <w:tcPr>
            <w:tcW w:type="dxa" w:w="1800"/>
            <w:tcMar>
              <w:top w:w="80" w:type="dxa"/>
              <w:start w:w="120" w:type="dxa"/>
              <w:bottom w:w="80" w:type="dxa"/>
              <w:end w:w="120" w:type="dxa"/>
            </w:tcMar>
            <w:vAlign w:val="center"/>
          </w:tcPr>
          <w:p>
            <w:pPr>
              <w:spacing w:after="40" w:line="252" w:lineRule="auto"/>
            </w:pPr>
            <w:r>
              <w:rPr>
                <w:sz w:val="16"/>
              </w:rPr>
              <w:t>Analytics and experiments</w:t>
            </w:r>
          </w:p>
        </w:tc>
        <w:tc>
          <w:tcPr>
            <w:tcW w:type="dxa" w:w="4896"/>
            <w:tcMar>
              <w:top w:w="80" w:type="dxa"/>
              <w:start w:w="120" w:type="dxa"/>
              <w:bottom w:w="80" w:type="dxa"/>
              <w:end w:w="120" w:type="dxa"/>
            </w:tcMar>
            <w:vAlign w:val="center"/>
          </w:tcPr>
          <w:p>
            <w:pPr>
              <w:spacing w:after="40" w:line="252" w:lineRule="auto"/>
            </w:pPr>
            <w:r>
              <w:rPr>
                <w:sz w:val="16"/>
              </w:rPr>
              <w:t>Dashboards, cohorting, decision logs</w:t>
            </w:r>
          </w:p>
        </w:tc>
        <w:tc>
          <w:tcPr>
            <w:tcW w:type="dxa" w:w="2664"/>
            <w:tcMar>
              <w:top w:w="80" w:type="dxa"/>
              <w:start w:w="120" w:type="dxa"/>
              <w:bottom w:w="80" w:type="dxa"/>
              <w:end w:w="120" w:type="dxa"/>
            </w:tcMar>
            <w:vAlign w:val="center"/>
          </w:tcPr>
          <w:p>
            <w:pPr>
              <w:spacing w:after="40" w:line="252" w:lineRule="auto"/>
            </w:pPr>
            <w:r>
              <w:rPr>
                <w:sz w:val="16"/>
              </w:rPr>
              <w:t>Predefined hypotheses and guardrails</w:t>
            </w:r>
          </w:p>
        </w:tc>
      </w:tr>
      <w:tr>
        <w:trPr>
          <w:cantSplit/>
        </w:trPr>
        <w:tc>
          <w:tcPr>
            <w:tcW w:type="dxa" w:w="1800"/>
            <w:tcMar>
              <w:top w:w="80" w:type="dxa"/>
              <w:start w:w="120" w:type="dxa"/>
              <w:bottom w:w="80" w:type="dxa"/>
              <w:end w:w="120" w:type="dxa"/>
            </w:tcMar>
            <w:vAlign w:val="center"/>
          </w:tcPr>
          <w:p>
            <w:pPr>
              <w:spacing w:after="40" w:line="252" w:lineRule="auto"/>
            </w:pPr>
            <w:r>
              <w:rPr>
                <w:sz w:val="16"/>
              </w:rPr>
              <w:t>CRM / lead routing</w:t>
            </w:r>
          </w:p>
        </w:tc>
        <w:tc>
          <w:tcPr>
            <w:tcW w:type="dxa" w:w="4896"/>
            <w:tcMar>
              <w:top w:w="80" w:type="dxa"/>
              <w:start w:w="120" w:type="dxa"/>
              <w:bottom w:w="80" w:type="dxa"/>
              <w:end w:w="120" w:type="dxa"/>
            </w:tcMar>
            <w:vAlign w:val="center"/>
          </w:tcPr>
          <w:p>
            <w:pPr>
              <w:spacing w:after="40" w:line="252" w:lineRule="auto"/>
            </w:pPr>
            <w:r>
              <w:rPr>
                <w:sz w:val="16"/>
              </w:rPr>
              <w:t>Enterprise qualification and follow-up</w:t>
            </w:r>
          </w:p>
        </w:tc>
        <w:tc>
          <w:tcPr>
            <w:tcW w:type="dxa" w:w="2664"/>
            <w:tcMar>
              <w:top w:w="80" w:type="dxa"/>
              <w:start w:w="120" w:type="dxa"/>
              <w:bottom w:w="80" w:type="dxa"/>
              <w:end w:w="120" w:type="dxa"/>
            </w:tcMar>
            <w:vAlign w:val="center"/>
          </w:tcPr>
          <w:p>
            <w:pPr>
              <w:spacing w:after="40" w:line="252" w:lineRule="auto"/>
            </w:pPr>
            <w:r>
              <w:rPr>
                <w:sz w:val="16"/>
              </w:rPr>
              <w:t>Consent, scoring transparency, SLA and owner</w:t>
            </w:r>
          </w:p>
        </w:tc>
      </w:tr>
    </w:tbl>
    <w:p>
      <w:pPr>
        <w:spacing w:after="40"/>
      </w:pPr>
    </w:p>
    <w:p>
      <w:pPr>
        <w:pStyle w:val="Heading2"/>
      </w:pPr>
      <w:r>
        <w:t>Content state machine</w:t>
      </w:r>
    </w:p>
    <w:p>
      <w:pPr>
        <w:pStyle w:val="CodeBlock"/>
        <w:shd w:fill="F7F8FA"/>
      </w:pPr>
      <w:r>
        <w:t>idea → briefed → sourced → drafted → SME_review → learning_review → localized → produced → QA → approved → scheduled → published → measured → refreshed | corrected | retired</w:t>
      </w:r>
    </w:p>
    <w:p>
      <w:r>
        <w:t>No automation may skip the approved state. A correction creates a linked new version and correction record; it does not silently overwrite the published manifest.</w:t>
      </w:r>
    </w:p>
    <w:p>
      <w:pPr>
        <w:pStyle w:val="Heading1"/>
      </w:pPr>
      <w:r>
        <w:t>12. Analytics and KPIs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shd w:fill="E8EEF5"/>
            <w:tcMar>
              <w:top w:w="80" w:type="dxa"/>
              <w:start w:w="120" w:type="dxa"/>
              <w:bottom w:w="80" w:type="dxa"/>
              <w:end w:w="120" w:type="dxa"/>
            </w:tcMar>
            <w:vAlign w:val="center"/>
          </w:tcPr>
          <w:p>
            <w:r>
              <w:rPr>
                <w:b/>
                <w:color w:val="0B2545"/>
                <w:sz w:val="16"/>
              </w:rPr>
              <w:t>Layer</w:t>
            </w:r>
          </w:p>
        </w:tc>
        <w:tc>
          <w:tcPr>
            <w:tcW w:type="dxa" w:w="4968"/>
            <w:shd w:fill="E8EEF5"/>
            <w:tcMar>
              <w:top w:w="80" w:type="dxa"/>
              <w:start w:w="120" w:type="dxa"/>
              <w:bottom w:w="80" w:type="dxa"/>
              <w:end w:w="120" w:type="dxa"/>
            </w:tcMar>
            <w:vAlign w:val="center"/>
          </w:tcPr>
          <w:p>
            <w:r>
              <w:rPr>
                <w:b/>
                <w:color w:val="0B2545"/>
                <w:sz w:val="16"/>
              </w:rPr>
              <w:t>KPIs</w:t>
            </w:r>
          </w:p>
        </w:tc>
        <w:tc>
          <w:tcPr>
            <w:tcW w:type="dxa" w:w="2952"/>
            <w:shd w:fill="E8EEF5"/>
            <w:tcMar>
              <w:top w:w="80" w:type="dxa"/>
              <w:start w:w="120" w:type="dxa"/>
              <w:bottom w:w="80" w:type="dxa"/>
              <w:end w:w="120" w:type="dxa"/>
            </w:tcMar>
            <w:vAlign w:val="center"/>
          </w:tcPr>
          <w:p>
            <w:r>
              <w:rPr>
                <w:b/>
                <w:color w:val="0B2545"/>
                <w:sz w:val="16"/>
              </w:rPr>
              <w:t>Diagnostic cuts</w:t>
            </w:r>
          </w:p>
        </w:tc>
      </w:tr>
      <w:tr>
        <w:trPr>
          <w:cantSplit/>
        </w:trPr>
        <w:tc>
          <w:tcPr>
            <w:tcW w:type="dxa" w:w="1440"/>
            <w:tcMar>
              <w:top w:w="80" w:type="dxa"/>
              <w:start w:w="120" w:type="dxa"/>
              <w:bottom w:w="80" w:type="dxa"/>
              <w:end w:w="120" w:type="dxa"/>
            </w:tcMar>
            <w:vAlign w:val="center"/>
          </w:tcPr>
          <w:p>
            <w:pPr>
              <w:spacing w:after="40" w:line="252" w:lineRule="auto"/>
            </w:pPr>
            <w:r>
              <w:rPr>
                <w:sz w:val="16"/>
              </w:rPr>
              <w:t>Content</w:t>
            </w:r>
          </w:p>
        </w:tc>
        <w:tc>
          <w:tcPr>
            <w:tcW w:type="dxa" w:w="4968"/>
            <w:tcMar>
              <w:top w:w="80" w:type="dxa"/>
              <w:start w:w="120" w:type="dxa"/>
              <w:bottom w:w="80" w:type="dxa"/>
              <w:end w:w="120" w:type="dxa"/>
            </w:tcMar>
            <w:vAlign w:val="center"/>
          </w:tcPr>
          <w:p>
            <w:pPr>
              <w:spacing w:after="40" w:line="252" w:lineRule="auto"/>
            </w:pPr>
            <w:r>
              <w:rPr>
                <w:sz w:val="16"/>
              </w:rPr>
              <w:t>Qualified reach, view rate, average % viewed, completion, returning viewers</w:t>
            </w:r>
          </w:p>
        </w:tc>
        <w:tc>
          <w:tcPr>
            <w:tcW w:type="dxa" w:w="2952"/>
            <w:tcMar>
              <w:top w:w="80" w:type="dxa"/>
              <w:start w:w="120" w:type="dxa"/>
              <w:bottom w:w="80" w:type="dxa"/>
              <w:end w:w="120" w:type="dxa"/>
            </w:tcMar>
            <w:vAlign w:val="center"/>
          </w:tcPr>
          <w:p>
            <w:pPr>
              <w:spacing w:after="40" w:line="252" w:lineRule="auto"/>
            </w:pPr>
            <w:r>
              <w:rPr>
                <w:sz w:val="16"/>
              </w:rPr>
              <w:t>Channel, format, franchise, hook, language, jurisdiction, duration</w:t>
            </w:r>
          </w:p>
        </w:tc>
      </w:tr>
      <w:tr>
        <w:trPr>
          <w:cantSplit/>
        </w:trPr>
        <w:tc>
          <w:tcPr>
            <w:tcW w:type="dxa" w:w="1440"/>
            <w:tcMar>
              <w:top w:w="80" w:type="dxa"/>
              <w:start w:w="120" w:type="dxa"/>
              <w:bottom w:w="80" w:type="dxa"/>
              <w:end w:w="120" w:type="dxa"/>
            </w:tcMar>
            <w:vAlign w:val="center"/>
          </w:tcPr>
          <w:p>
            <w:pPr>
              <w:spacing w:after="40" w:line="252" w:lineRule="auto"/>
            </w:pPr>
            <w:r>
              <w:rPr>
                <w:sz w:val="16"/>
              </w:rPr>
              <w:t>Engagement</w:t>
            </w:r>
          </w:p>
        </w:tc>
        <w:tc>
          <w:tcPr>
            <w:tcW w:type="dxa" w:w="4968"/>
            <w:tcMar>
              <w:top w:w="80" w:type="dxa"/>
              <w:start w:w="120" w:type="dxa"/>
              <w:bottom w:w="80" w:type="dxa"/>
              <w:end w:w="120" w:type="dxa"/>
            </w:tcMar>
            <w:vAlign w:val="center"/>
          </w:tcPr>
          <w:p>
            <w:pPr>
              <w:spacing w:after="40" w:line="252" w:lineRule="auto"/>
            </w:pPr>
            <w:r>
              <w:rPr>
                <w:sz w:val="16"/>
              </w:rPr>
              <w:t>Saves, shares, substantive comments, follows per viewer</w:t>
            </w:r>
          </w:p>
        </w:tc>
        <w:tc>
          <w:tcPr>
            <w:tcW w:type="dxa" w:w="2952"/>
            <w:tcMar>
              <w:top w:w="80" w:type="dxa"/>
              <w:start w:w="120" w:type="dxa"/>
              <w:bottom w:w="80" w:type="dxa"/>
              <w:end w:w="120" w:type="dxa"/>
            </w:tcMar>
            <w:vAlign w:val="center"/>
          </w:tcPr>
          <w:p>
            <w:pPr>
              <w:spacing w:after="40" w:line="252" w:lineRule="auto"/>
            </w:pPr>
            <w:r>
              <w:rPr>
                <w:sz w:val="16"/>
              </w:rPr>
              <w:t>Question type, sentiment, professional role signals</w:t>
            </w:r>
          </w:p>
        </w:tc>
      </w:tr>
      <w:tr>
        <w:trPr>
          <w:cantSplit/>
        </w:trPr>
        <w:tc>
          <w:tcPr>
            <w:tcW w:type="dxa" w:w="1440"/>
            <w:tcMar>
              <w:top w:w="80" w:type="dxa"/>
              <w:start w:w="120" w:type="dxa"/>
              <w:bottom w:w="80" w:type="dxa"/>
              <w:end w:w="120" w:type="dxa"/>
            </w:tcMar>
            <w:vAlign w:val="center"/>
          </w:tcPr>
          <w:p>
            <w:pPr>
              <w:spacing w:after="40" w:line="252" w:lineRule="auto"/>
            </w:pPr>
            <w:r>
              <w:rPr>
                <w:sz w:val="16"/>
              </w:rPr>
              <w:t>Acquisition</w:t>
            </w:r>
          </w:p>
        </w:tc>
        <w:tc>
          <w:tcPr>
            <w:tcW w:type="dxa" w:w="4968"/>
            <w:tcMar>
              <w:top w:w="80" w:type="dxa"/>
              <w:start w:w="120" w:type="dxa"/>
              <w:bottom w:w="80" w:type="dxa"/>
              <w:end w:w="120" w:type="dxa"/>
            </w:tcMar>
            <w:vAlign w:val="center"/>
          </w:tcPr>
          <w:p>
            <w:pPr>
              <w:spacing w:after="40" w:line="252" w:lineRule="auto"/>
            </w:pPr>
            <w:r>
              <w:rPr>
                <w:sz w:val="16"/>
              </w:rPr>
              <w:t>CTR, landing conversion, lead rate, account creation, cost per activated learner</w:t>
            </w:r>
          </w:p>
        </w:tc>
        <w:tc>
          <w:tcPr>
            <w:tcW w:type="dxa" w:w="2952"/>
            <w:tcMar>
              <w:top w:w="80" w:type="dxa"/>
              <w:start w:w="120" w:type="dxa"/>
              <w:bottom w:w="80" w:type="dxa"/>
              <w:end w:w="120" w:type="dxa"/>
            </w:tcMar>
            <w:vAlign w:val="center"/>
          </w:tcPr>
          <w:p>
            <w:pPr>
              <w:spacing w:after="40" w:line="252" w:lineRule="auto"/>
            </w:pPr>
            <w:r>
              <w:rPr>
                <w:sz w:val="16"/>
              </w:rPr>
              <w:t>Content ID, CTA, landing variant, source/medium/campaign</w:t>
            </w:r>
          </w:p>
        </w:tc>
      </w:tr>
      <w:tr>
        <w:trPr>
          <w:cantSplit/>
        </w:trPr>
        <w:tc>
          <w:tcPr>
            <w:tcW w:type="dxa" w:w="1440"/>
            <w:tcMar>
              <w:top w:w="80" w:type="dxa"/>
              <w:start w:w="120" w:type="dxa"/>
              <w:bottom w:w="80" w:type="dxa"/>
              <w:end w:w="120" w:type="dxa"/>
            </w:tcMar>
            <w:vAlign w:val="center"/>
          </w:tcPr>
          <w:p>
            <w:pPr>
              <w:spacing w:after="40" w:line="252" w:lineRule="auto"/>
            </w:pPr>
            <w:r>
              <w:rPr>
                <w:sz w:val="16"/>
              </w:rPr>
              <w:t>Activation</w:t>
            </w:r>
          </w:p>
        </w:tc>
        <w:tc>
          <w:tcPr>
            <w:tcW w:type="dxa" w:w="4968"/>
            <w:tcMar>
              <w:top w:w="80" w:type="dxa"/>
              <w:start w:w="120" w:type="dxa"/>
              <w:bottom w:w="80" w:type="dxa"/>
              <w:end w:w="120" w:type="dxa"/>
            </w:tcMar>
            <w:vAlign w:val="center"/>
          </w:tcPr>
          <w:p>
            <w:pPr>
              <w:spacing w:after="40" w:line="252" w:lineRule="auto"/>
            </w:pPr>
            <w:r>
              <w:rPr>
                <w:sz w:val="16"/>
              </w:rPr>
              <w:t>Lesson start/complete, calculator use, tutor question, assessment completion</w:t>
            </w:r>
          </w:p>
        </w:tc>
        <w:tc>
          <w:tcPr>
            <w:tcW w:type="dxa" w:w="2952"/>
            <w:tcMar>
              <w:top w:w="80" w:type="dxa"/>
              <w:start w:w="120" w:type="dxa"/>
              <w:bottom w:w="80" w:type="dxa"/>
              <w:end w:w="120" w:type="dxa"/>
            </w:tcMar>
            <w:vAlign w:val="center"/>
          </w:tcPr>
          <w:p>
            <w:pPr>
              <w:spacing w:after="40" w:line="252" w:lineRule="auto"/>
            </w:pPr>
            <w:r>
              <w:rPr>
                <w:sz w:val="16"/>
              </w:rPr>
              <w:t>Entry topic, language, persona, device, time-to-value</w:t>
            </w:r>
          </w:p>
        </w:tc>
      </w:tr>
      <w:tr>
        <w:trPr>
          <w:cantSplit/>
        </w:trPr>
        <w:tc>
          <w:tcPr>
            <w:tcW w:type="dxa" w:w="1440"/>
            <w:tcMar>
              <w:top w:w="80" w:type="dxa"/>
              <w:start w:w="120" w:type="dxa"/>
              <w:bottom w:w="80" w:type="dxa"/>
              <w:end w:w="120" w:type="dxa"/>
            </w:tcMar>
            <w:vAlign w:val="center"/>
          </w:tcPr>
          <w:p>
            <w:pPr>
              <w:spacing w:after="40" w:line="252" w:lineRule="auto"/>
            </w:pPr>
            <w:r>
              <w:rPr>
                <w:sz w:val="16"/>
              </w:rPr>
              <w:t>Learning</w:t>
            </w:r>
          </w:p>
        </w:tc>
        <w:tc>
          <w:tcPr>
            <w:tcW w:type="dxa" w:w="4968"/>
            <w:tcMar>
              <w:top w:w="80" w:type="dxa"/>
              <w:start w:w="120" w:type="dxa"/>
              <w:bottom w:w="80" w:type="dxa"/>
              <w:end w:w="120" w:type="dxa"/>
            </w:tcMar>
            <w:vAlign w:val="center"/>
          </w:tcPr>
          <w:p>
            <w:pPr>
              <w:spacing w:after="40" w:line="252" w:lineRule="auto"/>
            </w:pPr>
            <w:r>
              <w:rPr>
                <w:sz w:val="16"/>
              </w:rPr>
              <w:t>Pre/post gain, mastery evidence, retry pattern, viva completion</w:t>
            </w:r>
          </w:p>
        </w:tc>
        <w:tc>
          <w:tcPr>
            <w:tcW w:type="dxa" w:w="2952"/>
            <w:tcMar>
              <w:top w:w="80" w:type="dxa"/>
              <w:start w:w="120" w:type="dxa"/>
              <w:bottom w:w="80" w:type="dxa"/>
              <w:end w:w="120" w:type="dxa"/>
            </w:tcMar>
            <w:vAlign w:val="center"/>
          </w:tcPr>
          <w:p>
            <w:pPr>
              <w:spacing w:after="40" w:line="252" w:lineRule="auto"/>
            </w:pPr>
            <w:r>
              <w:rPr>
                <w:sz w:val="16"/>
              </w:rPr>
              <w:t>Module, cohort, item difficulty, misconception</w:t>
            </w:r>
          </w:p>
        </w:tc>
      </w:tr>
      <w:tr>
        <w:trPr>
          <w:cantSplit/>
        </w:trPr>
        <w:tc>
          <w:tcPr>
            <w:tcW w:type="dxa" w:w="1440"/>
            <w:tcMar>
              <w:top w:w="80" w:type="dxa"/>
              <w:start w:w="120" w:type="dxa"/>
              <w:bottom w:w="80" w:type="dxa"/>
              <w:end w:w="120" w:type="dxa"/>
            </w:tcMar>
            <w:vAlign w:val="center"/>
          </w:tcPr>
          <w:p>
            <w:pPr>
              <w:spacing w:after="40" w:line="252" w:lineRule="auto"/>
            </w:pPr>
            <w:r>
              <w:rPr>
                <w:sz w:val="16"/>
              </w:rPr>
              <w:t>Revenue</w:t>
            </w:r>
          </w:p>
        </w:tc>
        <w:tc>
          <w:tcPr>
            <w:tcW w:type="dxa" w:w="4968"/>
            <w:tcMar>
              <w:top w:w="80" w:type="dxa"/>
              <w:start w:w="120" w:type="dxa"/>
              <w:bottom w:w="80" w:type="dxa"/>
              <w:end w:w="120" w:type="dxa"/>
            </w:tcMar>
            <w:vAlign w:val="center"/>
          </w:tcPr>
          <w:p>
            <w:pPr>
              <w:spacing w:after="40" w:line="252" w:lineRule="auto"/>
            </w:pPr>
            <w:r>
              <w:rPr>
                <w:sz w:val="16"/>
              </w:rPr>
              <w:t>Trial, paid conversion, ARPU, CAC, payback, content-attributed revenue</w:t>
            </w:r>
          </w:p>
        </w:tc>
        <w:tc>
          <w:tcPr>
            <w:tcW w:type="dxa" w:w="2952"/>
            <w:tcMar>
              <w:top w:w="80" w:type="dxa"/>
              <w:start w:w="120" w:type="dxa"/>
              <w:bottom w:w="80" w:type="dxa"/>
              <w:end w:w="120" w:type="dxa"/>
            </w:tcMar>
            <w:vAlign w:val="center"/>
          </w:tcPr>
          <w:p>
            <w:pPr>
              <w:spacing w:after="40" w:line="252" w:lineRule="auto"/>
            </w:pPr>
            <w:r>
              <w:rPr>
                <w:sz w:val="16"/>
              </w:rPr>
              <w:t>First/last/multi-touch attribution; cohort</w:t>
            </w:r>
          </w:p>
        </w:tc>
      </w:tr>
      <w:tr>
        <w:trPr>
          <w:cantSplit/>
        </w:trPr>
        <w:tc>
          <w:tcPr>
            <w:tcW w:type="dxa" w:w="1440"/>
            <w:tcMar>
              <w:top w:w="80" w:type="dxa"/>
              <w:start w:w="120" w:type="dxa"/>
              <w:bottom w:w="80" w:type="dxa"/>
              <w:end w:w="120" w:type="dxa"/>
            </w:tcMar>
            <w:vAlign w:val="center"/>
          </w:tcPr>
          <w:p>
            <w:pPr>
              <w:spacing w:after="40" w:line="252" w:lineRule="auto"/>
            </w:pPr>
            <w:r>
              <w:rPr>
                <w:sz w:val="16"/>
              </w:rPr>
              <w:t>Retention</w:t>
            </w:r>
          </w:p>
        </w:tc>
        <w:tc>
          <w:tcPr>
            <w:tcW w:type="dxa" w:w="4968"/>
            <w:tcMar>
              <w:top w:w="80" w:type="dxa"/>
              <w:start w:w="120" w:type="dxa"/>
              <w:bottom w:w="80" w:type="dxa"/>
              <w:end w:w="120" w:type="dxa"/>
            </w:tcMar>
            <w:vAlign w:val="center"/>
          </w:tcPr>
          <w:p>
            <w:pPr>
              <w:spacing w:after="40" w:line="252" w:lineRule="auto"/>
            </w:pPr>
            <w:r>
              <w:rPr>
                <w:sz w:val="16"/>
              </w:rPr>
              <w:t>W1/W4 return, module progression, subscriber churn</w:t>
            </w:r>
          </w:p>
        </w:tc>
        <w:tc>
          <w:tcPr>
            <w:tcW w:type="dxa" w:w="2952"/>
            <w:tcMar>
              <w:top w:w="80" w:type="dxa"/>
              <w:start w:w="120" w:type="dxa"/>
              <w:bottom w:w="80" w:type="dxa"/>
              <w:end w:w="120" w:type="dxa"/>
            </w:tcMar>
            <w:vAlign w:val="center"/>
          </w:tcPr>
          <w:p>
            <w:pPr>
              <w:spacing w:after="40" w:line="252" w:lineRule="auto"/>
            </w:pPr>
            <w:r>
              <w:rPr>
                <w:sz w:val="16"/>
              </w:rPr>
              <w:t>Acquisition source, paid plan, persona</w:t>
            </w:r>
          </w:p>
        </w:tc>
      </w:tr>
      <w:tr>
        <w:trPr>
          <w:cantSplit/>
        </w:trPr>
        <w:tc>
          <w:tcPr>
            <w:tcW w:type="dxa" w:w="1440"/>
            <w:tcMar>
              <w:top w:w="80" w:type="dxa"/>
              <w:start w:w="120" w:type="dxa"/>
              <w:bottom w:w="80" w:type="dxa"/>
              <w:end w:w="120" w:type="dxa"/>
            </w:tcMar>
            <w:vAlign w:val="center"/>
          </w:tcPr>
          <w:p>
            <w:pPr>
              <w:spacing w:after="40" w:line="252" w:lineRule="auto"/>
            </w:pPr>
            <w:r>
              <w:rPr>
                <w:sz w:val="16"/>
              </w:rPr>
              <w:t>Enterprise</w:t>
            </w:r>
          </w:p>
        </w:tc>
        <w:tc>
          <w:tcPr>
            <w:tcW w:type="dxa" w:w="4968"/>
            <w:tcMar>
              <w:top w:w="80" w:type="dxa"/>
              <w:start w:w="120" w:type="dxa"/>
              <w:bottom w:w="80" w:type="dxa"/>
              <w:end w:w="120" w:type="dxa"/>
            </w:tcMar>
            <w:vAlign w:val="center"/>
          </w:tcPr>
          <w:p>
            <w:pPr>
              <w:spacing w:after="40" w:line="252" w:lineRule="auto"/>
            </w:pPr>
            <w:r>
              <w:rPr>
                <w:sz w:val="16"/>
              </w:rPr>
              <w:t>MQL, SQL, meetings, pilots, cycle time, pipeline and won revenue</w:t>
            </w:r>
          </w:p>
        </w:tc>
        <w:tc>
          <w:tcPr>
            <w:tcW w:type="dxa" w:w="2952"/>
            <w:tcMar>
              <w:top w:w="80" w:type="dxa"/>
              <w:start w:w="120" w:type="dxa"/>
              <w:bottom w:w="80" w:type="dxa"/>
              <w:end w:w="120" w:type="dxa"/>
            </w:tcMar>
            <w:vAlign w:val="center"/>
          </w:tcPr>
          <w:p>
            <w:pPr>
              <w:spacing w:after="40" w:line="252" w:lineRule="auto"/>
            </w:pPr>
            <w:r>
              <w:rPr>
                <w:sz w:val="16"/>
              </w:rPr>
              <w:t>Account, source asset, use case, segment</w:t>
            </w:r>
          </w:p>
        </w:tc>
      </w:tr>
    </w:tbl>
    <w:p>
      <w:pPr>
        <w:spacing w:after="40"/>
      </w:pPr>
    </w:p>
    <w:p>
      <w:pPr>
        <w:pStyle w:val="Heading2"/>
      </w:pPr>
      <w:r>
        <w:t>North-star metric and guardrails</w:t>
      </w:r>
    </w:p>
    <w:p>
      <w:r>
        <w:t>Recommended north star: monthly content-attributed activated learners who complete a meaningful Free Pod action. Pair it with paid/enterprise conversion and learning quality. Guardrails include regulatory correction rate, complaint rate, unsubscribe rate, low-quality lead rate, SME cycle time, and production cost per activated learner.</w:t>
      </w:r>
    </w:p>
    <w:p>
      <w:pPr>
        <w:pStyle w:val="Heading1"/>
      </w:pPr>
      <w:r>
        <w:t>13. Experimentation framework</w:t>
      </w:r>
    </w:p>
    <w:p>
      <w:pPr>
        <w:pStyle w:val="ListNumber"/>
        <w:numPr>
          <w:numId w:val="13"/>
        </w:numPr>
        <w:spacing w:after="100"/>
      </w:pPr>
      <w:r>
        <w:t>Write a one-sentence hypothesis tied to a funnel constraint, not a vague desire for more engagement.</w:t>
      </w:r>
    </w:p>
    <w:p>
      <w:pPr>
        <w:pStyle w:val="ListNumber"/>
        <w:numPr>
          <w:numId w:val="13"/>
        </w:numPr>
        <w:spacing w:after="100"/>
      </w:pPr>
      <w:r>
        <w:t>Choose one primary metric, guardrails, audience, unit of randomization or comparison, minimum observation window, and stopping rule before launch.</w:t>
      </w:r>
    </w:p>
    <w:p>
      <w:pPr>
        <w:pStyle w:val="ListNumber"/>
        <w:numPr>
          <w:numId w:val="13"/>
        </w:numPr>
        <w:spacing w:after="100"/>
      </w:pPr>
      <w:r>
        <w:t>Change one meaningful variable where possible: hook, format, language treatment, CTA, landing message, thumbnail, or lesson preview.</w:t>
      </w:r>
    </w:p>
    <w:p>
      <w:pPr>
        <w:pStyle w:val="ListNumber"/>
        <w:numPr>
          <w:numId w:val="13"/>
        </w:numPr>
        <w:spacing w:after="100"/>
      </w:pPr>
      <w:r>
        <w:t>Preserve asset lineage and campaign IDs; do not merge results from materially different audiences without segmentation.</w:t>
      </w:r>
    </w:p>
    <w:p>
      <w:pPr>
        <w:pStyle w:val="ListNumber"/>
        <w:numPr>
          <w:numId w:val="13"/>
        </w:numPr>
        <w:spacing w:after="100"/>
      </w:pPr>
      <w:r>
        <w:t>Record result as win, lose, inconclusive, or invalid, plus the decision and next test. Do not retrofit the hypothesis after seeing data.</w:t>
      </w:r>
    </w:p>
    <w:p>
      <w:pPr>
        <w:pStyle w:val="ListNumber"/>
        <w:numPr>
          <w:numId w:val="13"/>
        </w:numPr>
        <w:spacing w:after="100"/>
      </w:pPr>
      <w:r>
        <w:t>Promote a winner only after it improves downstream quality—not merely clicks—unless the experiment was explicitly top-of-funnel.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E8EEF5"/>
            <w:tcMar>
              <w:top w:w="80" w:type="dxa"/>
              <w:start w:w="120" w:type="dxa"/>
              <w:bottom w:w="80" w:type="dxa"/>
              <w:end w:w="120" w:type="dxa"/>
            </w:tcMar>
            <w:vAlign w:val="center"/>
          </w:tcPr>
          <w:p>
            <w:r>
              <w:rPr>
                <w:b/>
                <w:color w:val="0B2545"/>
                <w:sz w:val="16"/>
              </w:rPr>
              <w:t>Experiment</w:t>
            </w:r>
          </w:p>
        </w:tc>
        <w:tc>
          <w:tcPr>
            <w:tcW w:type="dxa" w:w="3672"/>
            <w:shd w:fill="E8EEF5"/>
            <w:tcMar>
              <w:top w:w="80" w:type="dxa"/>
              <w:start w:w="120" w:type="dxa"/>
              <w:bottom w:w="80" w:type="dxa"/>
              <w:end w:w="120" w:type="dxa"/>
            </w:tcMar>
            <w:vAlign w:val="center"/>
          </w:tcPr>
          <w:p>
            <w:r>
              <w:rPr>
                <w:b/>
                <w:color w:val="0B2545"/>
                <w:sz w:val="16"/>
              </w:rPr>
              <w:t>Hypothesis</w:t>
            </w:r>
          </w:p>
        </w:tc>
        <w:tc>
          <w:tcPr>
            <w:tcW w:type="dxa" w:w="2232"/>
            <w:shd w:fill="E8EEF5"/>
            <w:tcMar>
              <w:top w:w="80" w:type="dxa"/>
              <w:start w:w="120" w:type="dxa"/>
              <w:bottom w:w="80" w:type="dxa"/>
              <w:end w:w="120" w:type="dxa"/>
            </w:tcMar>
            <w:vAlign w:val="center"/>
          </w:tcPr>
          <w:p>
            <w:r>
              <w:rPr>
                <w:b/>
                <w:color w:val="0B2545"/>
                <w:sz w:val="16"/>
              </w:rPr>
              <w:t>Primary metric</w:t>
            </w:r>
          </w:p>
        </w:tc>
        <w:tc>
          <w:tcPr>
            <w:tcW w:type="dxa" w:w="1656"/>
            <w:shd w:fill="E8EEF5"/>
            <w:tcMar>
              <w:top w:w="80" w:type="dxa"/>
              <w:start w:w="120" w:type="dxa"/>
              <w:bottom w:w="80" w:type="dxa"/>
              <w:end w:w="120" w:type="dxa"/>
            </w:tcMar>
            <w:vAlign w:val="center"/>
          </w:tcPr>
          <w:p>
            <w:r>
              <w:rPr>
                <w:b/>
                <w:color w:val="0B2545"/>
                <w:sz w:val="16"/>
              </w:rPr>
              <w:t>Guardrail</w:t>
            </w:r>
          </w:p>
        </w:tc>
      </w:tr>
      <w:tr>
        <w:trPr>
          <w:cantSplit/>
        </w:trPr>
        <w:tc>
          <w:tcPr>
            <w:tcW w:type="dxa" w:w="1800"/>
            <w:tcMar>
              <w:top w:w="80" w:type="dxa"/>
              <w:start w:w="120" w:type="dxa"/>
              <w:bottom w:w="80" w:type="dxa"/>
              <w:end w:w="120" w:type="dxa"/>
            </w:tcMar>
            <w:vAlign w:val="center"/>
          </w:tcPr>
          <w:p>
            <w:pPr>
              <w:spacing w:after="40" w:line="252" w:lineRule="auto"/>
            </w:pPr>
            <w:r>
              <w:rPr>
                <w:sz w:val="16"/>
              </w:rPr>
              <w:t>Challenge vs explanation hook</w:t>
            </w:r>
          </w:p>
        </w:tc>
        <w:tc>
          <w:tcPr>
            <w:tcW w:type="dxa" w:w="3672"/>
            <w:tcMar>
              <w:top w:w="80" w:type="dxa"/>
              <w:start w:w="120" w:type="dxa"/>
              <w:bottom w:w="80" w:type="dxa"/>
              <w:end w:w="120" w:type="dxa"/>
            </w:tcMar>
            <w:vAlign w:val="center"/>
          </w:tcPr>
          <w:p>
            <w:pPr>
              <w:spacing w:after="40" w:line="252" w:lineRule="auto"/>
            </w:pPr>
            <w:r>
              <w:rPr>
                <w:sz w:val="16"/>
              </w:rPr>
              <w:t>Active problem framing improves qualified attention</w:t>
            </w:r>
          </w:p>
        </w:tc>
        <w:tc>
          <w:tcPr>
            <w:tcW w:type="dxa" w:w="2232"/>
            <w:tcMar>
              <w:top w:w="80" w:type="dxa"/>
              <w:start w:w="120" w:type="dxa"/>
              <w:bottom w:w="80" w:type="dxa"/>
              <w:end w:w="120" w:type="dxa"/>
            </w:tcMar>
            <w:vAlign w:val="center"/>
          </w:tcPr>
          <w:p>
            <w:pPr>
              <w:spacing w:after="40" w:line="252" w:lineRule="auto"/>
            </w:pPr>
            <w:r>
              <w:rPr>
                <w:sz w:val="16"/>
              </w:rPr>
              <w:t>75% completion / save rate</w:t>
            </w:r>
          </w:p>
        </w:tc>
        <w:tc>
          <w:tcPr>
            <w:tcW w:type="dxa" w:w="1656"/>
            <w:tcMar>
              <w:top w:w="80" w:type="dxa"/>
              <w:start w:w="120" w:type="dxa"/>
              <w:bottom w:w="80" w:type="dxa"/>
              <w:end w:w="120" w:type="dxa"/>
            </w:tcMar>
            <w:vAlign w:val="center"/>
          </w:tcPr>
          <w:p>
            <w:pPr>
              <w:spacing w:after="40" w:line="252" w:lineRule="auto"/>
            </w:pPr>
            <w:r>
              <w:rPr>
                <w:sz w:val="16"/>
              </w:rPr>
              <w:t>Negative feedback</w:t>
            </w:r>
          </w:p>
        </w:tc>
      </w:tr>
      <w:tr>
        <w:trPr>
          <w:cantSplit/>
        </w:trPr>
        <w:tc>
          <w:tcPr>
            <w:tcW w:type="dxa" w:w="1800"/>
            <w:tcMar>
              <w:top w:w="80" w:type="dxa"/>
              <w:start w:w="120" w:type="dxa"/>
              <w:bottom w:w="80" w:type="dxa"/>
              <w:end w:w="120" w:type="dxa"/>
            </w:tcMar>
            <w:vAlign w:val="center"/>
          </w:tcPr>
          <w:p>
            <w:pPr>
              <w:spacing w:after="40" w:line="252" w:lineRule="auto"/>
            </w:pPr>
            <w:r>
              <w:rPr>
                <w:sz w:val="16"/>
              </w:rPr>
              <w:t>Calculator vs newsletter CTA</w:t>
            </w:r>
          </w:p>
        </w:tc>
        <w:tc>
          <w:tcPr>
            <w:tcW w:type="dxa" w:w="3672"/>
            <w:tcMar>
              <w:top w:w="80" w:type="dxa"/>
              <w:start w:w="120" w:type="dxa"/>
              <w:bottom w:w="80" w:type="dxa"/>
              <w:end w:w="120" w:type="dxa"/>
            </w:tcMar>
            <w:vAlign w:val="center"/>
          </w:tcPr>
          <w:p>
            <w:pPr>
              <w:spacing w:after="40" w:line="252" w:lineRule="auto"/>
            </w:pPr>
            <w:r>
              <w:rPr>
                <w:sz w:val="16"/>
              </w:rPr>
              <w:t>Interactive intent converts more activated learners</w:t>
            </w:r>
          </w:p>
        </w:tc>
        <w:tc>
          <w:tcPr>
            <w:tcW w:type="dxa" w:w="2232"/>
            <w:tcMar>
              <w:top w:w="80" w:type="dxa"/>
              <w:start w:w="120" w:type="dxa"/>
              <w:bottom w:w="80" w:type="dxa"/>
              <w:end w:w="120" w:type="dxa"/>
            </w:tcMar>
            <w:vAlign w:val="center"/>
          </w:tcPr>
          <w:p>
            <w:pPr>
              <w:spacing w:after="40" w:line="252" w:lineRule="auto"/>
            </w:pPr>
            <w:r>
              <w:rPr>
                <w:sz w:val="16"/>
              </w:rPr>
              <w:t>Activated learner per 1,000 views</w:t>
            </w:r>
          </w:p>
        </w:tc>
        <w:tc>
          <w:tcPr>
            <w:tcW w:type="dxa" w:w="1656"/>
            <w:tcMar>
              <w:top w:w="80" w:type="dxa"/>
              <w:start w:w="120" w:type="dxa"/>
              <w:bottom w:w="80" w:type="dxa"/>
              <w:end w:w="120" w:type="dxa"/>
            </w:tcMar>
            <w:vAlign w:val="center"/>
          </w:tcPr>
          <w:p>
            <w:pPr>
              <w:spacing w:after="40" w:line="252" w:lineRule="auto"/>
            </w:pPr>
            <w:r>
              <w:rPr>
                <w:sz w:val="16"/>
              </w:rPr>
              <w:t>Lead quality / cost</w:t>
            </w:r>
          </w:p>
        </w:tc>
      </w:tr>
      <w:tr>
        <w:trPr>
          <w:cantSplit/>
        </w:trPr>
        <w:tc>
          <w:tcPr>
            <w:tcW w:type="dxa" w:w="1800"/>
            <w:tcMar>
              <w:top w:w="80" w:type="dxa"/>
              <w:start w:w="120" w:type="dxa"/>
              <w:bottom w:w="80" w:type="dxa"/>
              <w:end w:w="120" w:type="dxa"/>
            </w:tcMar>
            <w:vAlign w:val="center"/>
          </w:tcPr>
          <w:p>
            <w:pPr>
              <w:spacing w:after="40" w:line="252" w:lineRule="auto"/>
            </w:pPr>
            <w:r>
              <w:rPr>
                <w:sz w:val="16"/>
              </w:rPr>
              <w:t>English + Arabic subtitles vs native Arabic</w:t>
            </w:r>
          </w:p>
        </w:tc>
        <w:tc>
          <w:tcPr>
            <w:tcW w:type="dxa" w:w="3672"/>
            <w:tcMar>
              <w:top w:w="80" w:type="dxa"/>
              <w:start w:w="120" w:type="dxa"/>
              <w:bottom w:w="80" w:type="dxa"/>
              <w:end w:w="120" w:type="dxa"/>
            </w:tcMar>
            <w:vAlign w:val="center"/>
          </w:tcPr>
          <w:p>
            <w:pPr>
              <w:spacing w:after="40" w:line="252" w:lineRule="auto"/>
            </w:pPr>
            <w:r>
              <w:rPr>
                <w:sz w:val="16"/>
              </w:rPr>
              <w:t>Native narration improves Saudi activation</w:t>
            </w:r>
          </w:p>
        </w:tc>
        <w:tc>
          <w:tcPr>
            <w:tcW w:type="dxa" w:w="2232"/>
            <w:tcMar>
              <w:top w:w="80" w:type="dxa"/>
              <w:start w:w="120" w:type="dxa"/>
              <w:bottom w:w="80" w:type="dxa"/>
              <w:end w:w="120" w:type="dxa"/>
            </w:tcMar>
            <w:vAlign w:val="center"/>
          </w:tcPr>
          <w:p>
            <w:pPr>
              <w:spacing w:after="40" w:line="252" w:lineRule="auto"/>
            </w:pPr>
            <w:r>
              <w:rPr>
                <w:sz w:val="16"/>
              </w:rPr>
              <w:t>Free Pod start rate</w:t>
            </w:r>
          </w:p>
        </w:tc>
        <w:tc>
          <w:tcPr>
            <w:tcW w:type="dxa" w:w="1656"/>
            <w:tcMar>
              <w:top w:w="80" w:type="dxa"/>
              <w:start w:w="120" w:type="dxa"/>
              <w:bottom w:w="80" w:type="dxa"/>
              <w:end w:w="120" w:type="dxa"/>
            </w:tcMar>
            <w:vAlign w:val="center"/>
          </w:tcPr>
          <w:p>
            <w:pPr>
              <w:spacing w:after="40" w:line="252" w:lineRule="auto"/>
            </w:pPr>
            <w:r>
              <w:rPr>
                <w:sz w:val="16"/>
              </w:rPr>
              <w:t>Translation correction rate</w:t>
            </w:r>
          </w:p>
        </w:tc>
      </w:tr>
      <w:tr>
        <w:trPr>
          <w:cantSplit/>
        </w:trPr>
        <w:tc>
          <w:tcPr>
            <w:tcW w:type="dxa" w:w="1800"/>
            <w:tcMar>
              <w:top w:w="80" w:type="dxa"/>
              <w:start w:w="120" w:type="dxa"/>
              <w:bottom w:w="80" w:type="dxa"/>
              <w:end w:w="120" w:type="dxa"/>
            </w:tcMar>
            <w:vAlign w:val="center"/>
          </w:tcPr>
          <w:p>
            <w:pPr>
              <w:spacing w:after="40" w:line="252" w:lineRule="auto"/>
            </w:pPr>
            <w:r>
              <w:rPr>
                <w:sz w:val="16"/>
              </w:rPr>
              <w:t>Generic Basel vs SAMA-specific landing</w:t>
            </w:r>
          </w:p>
        </w:tc>
        <w:tc>
          <w:tcPr>
            <w:tcW w:type="dxa" w:w="3672"/>
            <w:tcMar>
              <w:top w:w="80" w:type="dxa"/>
              <w:start w:w="120" w:type="dxa"/>
              <w:bottom w:w="80" w:type="dxa"/>
              <w:end w:w="120" w:type="dxa"/>
            </w:tcMar>
            <w:vAlign w:val="center"/>
          </w:tcPr>
          <w:p>
            <w:pPr>
              <w:spacing w:after="40" w:line="252" w:lineRule="auto"/>
            </w:pPr>
            <w:r>
              <w:rPr>
                <w:sz w:val="16"/>
              </w:rPr>
              <w:t>Jurisdiction continuity improves signup</w:t>
            </w:r>
          </w:p>
        </w:tc>
        <w:tc>
          <w:tcPr>
            <w:tcW w:type="dxa" w:w="2232"/>
            <w:tcMar>
              <w:top w:w="80" w:type="dxa"/>
              <w:start w:w="120" w:type="dxa"/>
              <w:bottom w:w="80" w:type="dxa"/>
              <w:end w:w="120" w:type="dxa"/>
            </w:tcMar>
            <w:vAlign w:val="center"/>
          </w:tcPr>
          <w:p>
            <w:pPr>
              <w:spacing w:after="40" w:line="252" w:lineRule="auto"/>
            </w:pPr>
            <w:r>
              <w:rPr>
                <w:sz w:val="16"/>
              </w:rPr>
              <w:t>Landing conversion</w:t>
            </w:r>
          </w:p>
        </w:tc>
        <w:tc>
          <w:tcPr>
            <w:tcW w:type="dxa" w:w="1656"/>
            <w:tcMar>
              <w:top w:w="80" w:type="dxa"/>
              <w:start w:w="120" w:type="dxa"/>
              <w:bottom w:w="80" w:type="dxa"/>
              <w:end w:w="120" w:type="dxa"/>
            </w:tcMar>
            <w:vAlign w:val="center"/>
          </w:tcPr>
          <w:p>
            <w:pPr>
              <w:spacing w:after="40" w:line="252" w:lineRule="auto"/>
            </w:pPr>
            <w:r>
              <w:rPr>
                <w:sz w:val="16"/>
              </w:rPr>
              <w:t>Bounce / misclassification</w:t>
            </w:r>
          </w:p>
        </w:tc>
      </w:tr>
      <w:tr>
        <w:trPr>
          <w:cantSplit/>
        </w:trPr>
        <w:tc>
          <w:tcPr>
            <w:tcW w:type="dxa" w:w="1800"/>
            <w:tcMar>
              <w:top w:w="80" w:type="dxa"/>
              <w:start w:w="120" w:type="dxa"/>
              <w:bottom w:w="80" w:type="dxa"/>
              <w:end w:w="120" w:type="dxa"/>
            </w:tcMar>
            <w:vAlign w:val="center"/>
          </w:tcPr>
          <w:p>
            <w:pPr>
              <w:spacing w:after="40" w:line="252" w:lineRule="auto"/>
            </w:pPr>
            <w:r>
              <w:rPr>
                <w:sz w:val="16"/>
              </w:rPr>
              <w:t>Founder voice vs AI tutor clip</w:t>
            </w:r>
          </w:p>
        </w:tc>
        <w:tc>
          <w:tcPr>
            <w:tcW w:type="dxa" w:w="3672"/>
            <w:tcMar>
              <w:top w:w="80" w:type="dxa"/>
              <w:start w:w="120" w:type="dxa"/>
              <w:bottom w:w="80" w:type="dxa"/>
              <w:end w:w="120" w:type="dxa"/>
            </w:tcMar>
            <w:vAlign w:val="center"/>
          </w:tcPr>
          <w:p>
            <w:pPr>
              <w:spacing w:after="40" w:line="252" w:lineRule="auto"/>
            </w:pPr>
            <w:r>
              <w:rPr>
                <w:sz w:val="16"/>
              </w:rPr>
              <w:t>Consistent instructor identity improves trust</w:t>
            </w:r>
          </w:p>
        </w:tc>
        <w:tc>
          <w:tcPr>
            <w:tcW w:type="dxa" w:w="2232"/>
            <w:tcMar>
              <w:top w:w="80" w:type="dxa"/>
              <w:start w:w="120" w:type="dxa"/>
              <w:bottom w:w="80" w:type="dxa"/>
              <w:end w:w="120" w:type="dxa"/>
            </w:tcMar>
            <w:vAlign w:val="center"/>
          </w:tcPr>
          <w:p>
            <w:pPr>
              <w:spacing w:after="40" w:line="252" w:lineRule="auto"/>
            </w:pPr>
            <w:r>
              <w:rPr>
                <w:sz w:val="16"/>
              </w:rPr>
              <w:t>Return viewer / activation</w:t>
            </w:r>
          </w:p>
        </w:tc>
        <w:tc>
          <w:tcPr>
            <w:tcW w:type="dxa" w:w="1656"/>
            <w:tcMar>
              <w:top w:w="80" w:type="dxa"/>
              <w:start w:w="120" w:type="dxa"/>
              <w:bottom w:w="80" w:type="dxa"/>
              <w:end w:w="120" w:type="dxa"/>
            </w:tcMar>
            <w:vAlign w:val="center"/>
          </w:tcPr>
          <w:p>
            <w:pPr>
              <w:spacing w:after="40" w:line="252" w:lineRule="auto"/>
            </w:pPr>
            <w:r>
              <w:rPr>
                <w:sz w:val="16"/>
              </w:rPr>
              <w:t>Production time and consent</w:t>
            </w:r>
          </w:p>
        </w:tc>
      </w:tr>
    </w:tbl>
    <w:p>
      <w:pPr>
        <w:spacing w:after="40"/>
      </w:pPr>
    </w:p>
    <w:p>
      <w:pPr>
        <w:pStyle w:val="Heading1"/>
      </w:pPr>
      <w:r>
        <w:t>14. Customer acquisition and enterprise lead generation</w:t>
      </w:r>
    </w:p>
    <w:p>
      <w:pPr>
        <w:pStyle w:val="Heading2"/>
      </w:pPr>
      <w:r>
        <w:t>Individual acquisition motions</w:t>
      </w:r>
    </w:p>
    <w:p>
      <w:pPr>
        <w:pStyle w:val="ListBullet"/>
        <w:spacing w:after="80"/>
      </w:pPr>
      <w:r>
        <w:t>Organic evergreen search: high-intent YouTube lessons and source-led pages.</w:t>
      </w:r>
    </w:p>
    <w:p>
      <w:pPr>
        <w:pStyle w:val="ListBullet"/>
        <w:spacing w:after="80"/>
      </w:pPr>
      <w:r>
        <w:t>Series-based discovery: Shorts/Reels/challenges that feed precise tools and Free Pod modules.</w:t>
      </w:r>
    </w:p>
    <w:p>
      <w:pPr>
        <w:pStyle w:val="ListBullet"/>
        <w:spacing w:after="80"/>
      </w:pPr>
      <w:r>
        <w:t>Owned nurture: weekly rule, challenge, regulatory update, and progress reminder.</w:t>
      </w:r>
    </w:p>
    <w:p>
      <w:pPr>
        <w:pStyle w:val="ListBullet"/>
        <w:spacing w:after="80"/>
      </w:pPr>
      <w:r>
        <w:t>Partnership distribution: practitioner reviewers, associations, universities, newsletters, podcasts, and communities.</w:t>
      </w:r>
    </w:p>
    <w:p>
      <w:pPr>
        <w:pStyle w:val="ListBullet"/>
        <w:spacing w:after="80"/>
      </w:pPr>
      <w:r>
        <w:t>Paid promotion only after organic content-to-activation is demonstrated; optimize to activated learner, not cheap video views.</w:t>
      </w:r>
    </w:p>
    <w:p>
      <w:pPr>
        <w:pStyle w:val="Heading2"/>
      </w:pPr>
      <w:r>
        <w:t>Enterprise motion</w:t>
      </w:r>
    </w:p>
    <w:p>
      <w:pPr>
        <w:pStyle w:val="ListNumber"/>
        <w:numPr>
          <w:numId w:val="14"/>
        </w:numPr>
        <w:spacing w:after="100"/>
      </w:pPr>
      <w:r>
        <w:t>Create role-specific team diagnostics for regulatory capital analysts, graduate cohorts, and adjacent teams.</w:t>
      </w:r>
    </w:p>
    <w:p>
      <w:pPr>
        <w:pStyle w:val="ListNumber"/>
        <w:numPr>
          <w:numId w:val="14"/>
        </w:numPr>
        <w:spacing w:after="100"/>
      </w:pPr>
      <w:r>
        <w:t>Use content engagement to identify themes, then approach accounts with a relevant evidence-based asset—not inferred personal claims.</w:t>
      </w:r>
    </w:p>
    <w:p>
      <w:pPr>
        <w:pStyle w:val="ListNumber"/>
        <w:numPr>
          <w:numId w:val="14"/>
        </w:numPr>
        <w:spacing w:after="100"/>
      </w:pPr>
      <w:r>
        <w:t>Offer a 30–45 minute briefing or roundtable around a current rule, jurisdiction comparison, or workforce skill gap.</w:t>
      </w:r>
    </w:p>
    <w:p>
      <w:pPr>
        <w:pStyle w:val="ListNumber"/>
        <w:numPr>
          <w:numId w:val="14"/>
        </w:numPr>
        <w:spacing w:after="100"/>
      </w:pPr>
      <w:r>
        <w:t>Qualify the business problem, learner group, sponsor, procurement/security path, timeline, and success measure.</w:t>
      </w:r>
    </w:p>
    <w:p>
      <w:pPr>
        <w:pStyle w:val="ListNumber"/>
        <w:numPr>
          <w:numId w:val="14"/>
        </w:numPr>
        <w:spacing w:after="100"/>
      </w:pPr>
      <w:r>
        <w:t>Propose a bounded pilot: defined cohort, baseline assessment, selected Golden Lessons, support, completion/mastery metrics, and executive readout.</w:t>
      </w:r>
    </w:p>
    <w:p>
      <w:pPr>
        <w:pStyle w:val="ListNumber"/>
        <w:numPr>
          <w:numId w:val="14"/>
        </w:numPr>
        <w:spacing w:after="100"/>
      </w:pPr>
      <w:r>
        <w:t>Convert pilot evidence into an enterprise plan with cohort administration, reporting, governance, integrations, and content roadmap.</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448"/>
            <w:shd w:fill="E8EEF5"/>
            <w:tcMar>
              <w:top w:w="80" w:type="dxa"/>
              <w:start w:w="120" w:type="dxa"/>
              <w:bottom w:w="80" w:type="dxa"/>
              <w:end w:w="120" w:type="dxa"/>
            </w:tcMar>
            <w:vAlign w:val="center"/>
          </w:tcPr>
          <w:p>
            <w:r>
              <w:rPr>
                <w:b/>
                <w:color w:val="0B2545"/>
                <w:sz w:val="18"/>
              </w:rPr>
              <w:t>Lead signal</w:t>
            </w:r>
          </w:p>
        </w:tc>
        <w:tc>
          <w:tcPr>
            <w:tcW w:type="dxa" w:w="4896"/>
            <w:shd w:fill="E8EEF5"/>
            <w:tcMar>
              <w:top w:w="80" w:type="dxa"/>
              <w:start w:w="120" w:type="dxa"/>
              <w:bottom w:w="80" w:type="dxa"/>
              <w:end w:w="120" w:type="dxa"/>
            </w:tcMar>
            <w:vAlign w:val="center"/>
          </w:tcPr>
          <w:p>
            <w:r>
              <w:rPr>
                <w:b/>
                <w:color w:val="0B2545"/>
                <w:sz w:val="18"/>
              </w:rPr>
              <w:t>Route</w:t>
            </w:r>
          </w:p>
        </w:tc>
        <w:tc>
          <w:tcPr>
            <w:tcW w:type="dxa" w:w="2016"/>
            <w:shd w:fill="E8EEF5"/>
            <w:tcMar>
              <w:top w:w="80" w:type="dxa"/>
              <w:start w:w="120" w:type="dxa"/>
              <w:bottom w:w="80" w:type="dxa"/>
              <w:end w:w="120" w:type="dxa"/>
            </w:tcMar>
            <w:vAlign w:val="center"/>
          </w:tcPr>
          <w:p>
            <w:r>
              <w:rPr>
                <w:b/>
                <w:color w:val="0B2545"/>
                <w:sz w:val="18"/>
              </w:rPr>
              <w:t>Follow-up SLA</w:t>
            </w:r>
          </w:p>
        </w:tc>
      </w:tr>
      <w:tr>
        <w:trPr>
          <w:cantSplit/>
        </w:trPr>
        <w:tc>
          <w:tcPr>
            <w:tcW w:type="dxa" w:w="2448"/>
            <w:tcMar>
              <w:top w:w="80" w:type="dxa"/>
              <w:start w:w="120" w:type="dxa"/>
              <w:bottom w:w="80" w:type="dxa"/>
              <w:end w:w="120" w:type="dxa"/>
            </w:tcMar>
            <w:vAlign w:val="center"/>
          </w:tcPr>
          <w:p>
            <w:pPr>
              <w:spacing w:after="40" w:line="252" w:lineRule="auto"/>
            </w:pPr>
            <w:r>
              <w:rPr>
                <w:sz w:val="18"/>
              </w:rPr>
              <w:t>Enterprise form / demo request</w:t>
            </w:r>
          </w:p>
        </w:tc>
        <w:tc>
          <w:tcPr>
            <w:tcW w:type="dxa" w:w="4896"/>
            <w:tcMar>
              <w:top w:w="80" w:type="dxa"/>
              <w:start w:w="120" w:type="dxa"/>
              <w:bottom w:w="80" w:type="dxa"/>
              <w:end w:w="120" w:type="dxa"/>
            </w:tcMar>
            <w:vAlign w:val="center"/>
          </w:tcPr>
          <w:p>
            <w:pPr>
              <w:spacing w:after="40" w:line="252" w:lineRule="auto"/>
            </w:pPr>
            <w:r>
              <w:rPr>
                <w:sz w:val="18"/>
              </w:rPr>
              <w:t>Immediate CRM creation; assign owner; enrich account safely</w:t>
            </w:r>
          </w:p>
        </w:tc>
        <w:tc>
          <w:tcPr>
            <w:tcW w:type="dxa" w:w="2016"/>
            <w:tcMar>
              <w:top w:w="80" w:type="dxa"/>
              <w:start w:w="120" w:type="dxa"/>
              <w:bottom w:w="80" w:type="dxa"/>
              <w:end w:w="120" w:type="dxa"/>
            </w:tcMar>
            <w:vAlign w:val="center"/>
          </w:tcPr>
          <w:p>
            <w:pPr>
              <w:spacing w:after="40" w:line="252" w:lineRule="auto"/>
            </w:pPr>
            <w:r>
              <w:rPr>
                <w:sz w:val="18"/>
              </w:rPr>
              <w:t>1 business day</w:t>
            </w:r>
          </w:p>
        </w:tc>
      </w:tr>
      <w:tr>
        <w:trPr>
          <w:cantSplit/>
        </w:trPr>
        <w:tc>
          <w:tcPr>
            <w:tcW w:type="dxa" w:w="2448"/>
            <w:tcMar>
              <w:top w:w="80" w:type="dxa"/>
              <w:start w:w="120" w:type="dxa"/>
              <w:bottom w:w="80" w:type="dxa"/>
              <w:end w:w="120" w:type="dxa"/>
            </w:tcMar>
            <w:vAlign w:val="center"/>
          </w:tcPr>
          <w:p>
            <w:pPr>
              <w:spacing w:after="40" w:line="252" w:lineRule="auto"/>
            </w:pPr>
            <w:r>
              <w:rPr>
                <w:sz w:val="18"/>
              </w:rPr>
              <w:t>Team diagnostic with consent</w:t>
            </w:r>
          </w:p>
        </w:tc>
        <w:tc>
          <w:tcPr>
            <w:tcW w:type="dxa" w:w="4896"/>
            <w:tcMar>
              <w:top w:w="80" w:type="dxa"/>
              <w:start w:w="120" w:type="dxa"/>
              <w:bottom w:w="80" w:type="dxa"/>
              <w:end w:w="120" w:type="dxa"/>
            </w:tcMar>
            <w:vAlign w:val="center"/>
          </w:tcPr>
          <w:p>
            <w:pPr>
              <w:spacing w:after="40" w:line="252" w:lineRule="auto"/>
            </w:pPr>
            <w:r>
              <w:rPr>
                <w:sz w:val="18"/>
              </w:rPr>
              <w:t>Score against explicit rubric; route qualified response</w:t>
            </w:r>
          </w:p>
        </w:tc>
        <w:tc>
          <w:tcPr>
            <w:tcW w:type="dxa" w:w="2016"/>
            <w:tcMar>
              <w:top w:w="80" w:type="dxa"/>
              <w:start w:w="120" w:type="dxa"/>
              <w:bottom w:w="80" w:type="dxa"/>
              <w:end w:w="120" w:type="dxa"/>
            </w:tcMar>
            <w:vAlign w:val="center"/>
          </w:tcPr>
          <w:p>
            <w:pPr>
              <w:spacing w:after="40" w:line="252" w:lineRule="auto"/>
            </w:pPr>
            <w:r>
              <w:rPr>
                <w:sz w:val="18"/>
              </w:rPr>
              <w:t>2 business days</w:t>
            </w:r>
          </w:p>
        </w:tc>
      </w:tr>
      <w:tr>
        <w:trPr>
          <w:cantSplit/>
        </w:trPr>
        <w:tc>
          <w:tcPr>
            <w:tcW w:type="dxa" w:w="2448"/>
            <w:tcMar>
              <w:top w:w="80" w:type="dxa"/>
              <w:start w:w="120" w:type="dxa"/>
              <w:bottom w:w="80" w:type="dxa"/>
              <w:end w:w="120" w:type="dxa"/>
            </w:tcMar>
            <w:vAlign w:val="center"/>
          </w:tcPr>
          <w:p>
            <w:pPr>
              <w:spacing w:after="40" w:line="252" w:lineRule="auto"/>
            </w:pPr>
            <w:r>
              <w:rPr>
                <w:sz w:val="18"/>
              </w:rPr>
              <w:t>Manager/L&amp;D webinar attendee</w:t>
            </w:r>
          </w:p>
        </w:tc>
        <w:tc>
          <w:tcPr>
            <w:tcW w:type="dxa" w:w="4896"/>
            <w:tcMar>
              <w:top w:w="80" w:type="dxa"/>
              <w:start w:w="120" w:type="dxa"/>
              <w:bottom w:w="80" w:type="dxa"/>
              <w:end w:w="120" w:type="dxa"/>
            </w:tcMar>
            <w:vAlign w:val="center"/>
          </w:tcPr>
          <w:p>
            <w:pPr>
              <w:spacing w:after="40" w:line="252" w:lineRule="auto"/>
            </w:pPr>
            <w:r>
              <w:rPr>
                <w:sz w:val="18"/>
              </w:rPr>
              <w:t>Send resource, ask scoped qualification question</w:t>
            </w:r>
          </w:p>
        </w:tc>
        <w:tc>
          <w:tcPr>
            <w:tcW w:type="dxa" w:w="2016"/>
            <w:tcMar>
              <w:top w:w="80" w:type="dxa"/>
              <w:start w:w="120" w:type="dxa"/>
              <w:bottom w:w="80" w:type="dxa"/>
              <w:end w:w="120" w:type="dxa"/>
            </w:tcMar>
            <w:vAlign w:val="center"/>
          </w:tcPr>
          <w:p>
            <w:pPr>
              <w:spacing w:after="40" w:line="252" w:lineRule="auto"/>
            </w:pPr>
            <w:r>
              <w:rPr>
                <w:sz w:val="18"/>
              </w:rPr>
              <w:t>2 business days</w:t>
            </w:r>
          </w:p>
        </w:tc>
      </w:tr>
      <w:tr>
        <w:trPr>
          <w:cantSplit/>
        </w:trPr>
        <w:tc>
          <w:tcPr>
            <w:tcW w:type="dxa" w:w="2448"/>
            <w:tcMar>
              <w:top w:w="80" w:type="dxa"/>
              <w:start w:w="120" w:type="dxa"/>
              <w:bottom w:w="80" w:type="dxa"/>
              <w:end w:w="120" w:type="dxa"/>
            </w:tcMar>
            <w:vAlign w:val="center"/>
          </w:tcPr>
          <w:p>
            <w:pPr>
              <w:spacing w:after="40" w:line="252" w:lineRule="auto"/>
            </w:pPr>
            <w:r>
              <w:rPr>
                <w:sz w:val="18"/>
              </w:rPr>
              <w:t>Practitioner asks product/team question</w:t>
            </w:r>
          </w:p>
        </w:tc>
        <w:tc>
          <w:tcPr>
            <w:tcW w:type="dxa" w:w="4896"/>
            <w:tcMar>
              <w:top w:w="80" w:type="dxa"/>
              <w:start w:w="120" w:type="dxa"/>
              <w:bottom w:w="80" w:type="dxa"/>
              <w:end w:w="120" w:type="dxa"/>
            </w:tcMar>
            <w:vAlign w:val="center"/>
          </w:tcPr>
          <w:p>
            <w:pPr>
              <w:spacing w:after="40" w:line="252" w:lineRule="auto"/>
            </w:pPr>
            <w:r>
              <w:rPr>
                <w:sz w:val="18"/>
              </w:rPr>
              <w:t>Human response; offer demo only when relevant</w:t>
            </w:r>
          </w:p>
        </w:tc>
        <w:tc>
          <w:tcPr>
            <w:tcW w:type="dxa" w:w="2016"/>
            <w:tcMar>
              <w:top w:w="80" w:type="dxa"/>
              <w:start w:w="120" w:type="dxa"/>
              <w:bottom w:w="80" w:type="dxa"/>
              <w:end w:w="120" w:type="dxa"/>
            </w:tcMar>
            <w:vAlign w:val="center"/>
          </w:tcPr>
          <w:p>
            <w:pPr>
              <w:spacing w:after="40" w:line="252" w:lineRule="auto"/>
            </w:pPr>
            <w:r>
              <w:rPr>
                <w:sz w:val="18"/>
              </w:rPr>
              <w:t>2 business days</w:t>
            </w:r>
          </w:p>
        </w:tc>
      </w:tr>
      <w:tr>
        <w:trPr>
          <w:cantSplit/>
        </w:trPr>
        <w:tc>
          <w:tcPr>
            <w:tcW w:type="dxa" w:w="2448"/>
            <w:tcMar>
              <w:top w:w="80" w:type="dxa"/>
              <w:start w:w="120" w:type="dxa"/>
              <w:bottom w:w="80" w:type="dxa"/>
              <w:end w:w="120" w:type="dxa"/>
            </w:tcMar>
            <w:vAlign w:val="center"/>
          </w:tcPr>
          <w:p>
            <w:pPr>
              <w:spacing w:after="40" w:line="252" w:lineRule="auto"/>
            </w:pPr>
            <w:r>
              <w:rPr>
                <w:sz w:val="18"/>
              </w:rPr>
              <w:t>High engagement without consent</w:t>
            </w:r>
          </w:p>
        </w:tc>
        <w:tc>
          <w:tcPr>
            <w:tcW w:type="dxa" w:w="4896"/>
            <w:tcMar>
              <w:top w:w="80" w:type="dxa"/>
              <w:start w:w="120" w:type="dxa"/>
              <w:bottom w:w="80" w:type="dxa"/>
              <w:end w:w="120" w:type="dxa"/>
            </w:tcMar>
            <w:vAlign w:val="center"/>
          </w:tcPr>
          <w:p>
            <w:pPr>
              <w:spacing w:after="40" w:line="252" w:lineRule="auto"/>
            </w:pPr>
            <w:r>
              <w:rPr>
                <w:sz w:val="18"/>
              </w:rPr>
              <w:t>Nurture through platform/content only</w:t>
            </w:r>
          </w:p>
        </w:tc>
        <w:tc>
          <w:tcPr>
            <w:tcW w:type="dxa" w:w="2016"/>
            <w:tcMar>
              <w:top w:w="80" w:type="dxa"/>
              <w:start w:w="120" w:type="dxa"/>
              <w:bottom w:w="80" w:type="dxa"/>
              <w:end w:w="120" w:type="dxa"/>
            </w:tcMar>
            <w:vAlign w:val="center"/>
          </w:tcPr>
          <w:p>
            <w:pPr>
              <w:spacing w:after="40" w:line="252" w:lineRule="auto"/>
            </w:pPr>
            <w:r>
              <w:rPr>
                <w:sz w:val="18"/>
              </w:rPr>
              <w:t>No personal sales outreach</w:t>
            </w:r>
          </w:p>
        </w:tc>
      </w:tr>
    </w:tbl>
    <w:p>
      <w:pPr>
        <w:spacing w:after="40"/>
      </w:pPr>
    </w:p>
    <w:p>
      <w:pPr>
        <w:pStyle w:val="Heading1"/>
      </w:pPr>
      <w:r>
        <w:t>15. Governance, accuracy, and disclaimers</w:t>
      </w:r>
    </w:p>
    <w:p>
      <w:pPr>
        <w:pStyle w:val="Heading2"/>
      </w:pPr>
      <w:r>
        <w:t>Approval roles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shd w:fill="E8EEF5"/>
            <w:tcMar>
              <w:top w:w="80" w:type="dxa"/>
              <w:start w:w="120" w:type="dxa"/>
              <w:bottom w:w="80" w:type="dxa"/>
              <w:end w:w="120" w:type="dxa"/>
            </w:tcMar>
            <w:vAlign w:val="center"/>
          </w:tcPr>
          <w:p>
            <w:r>
              <w:rPr>
                <w:b/>
                <w:color w:val="0B2545"/>
                <w:sz w:val="18"/>
              </w:rPr>
              <w:t>Role</w:t>
            </w:r>
          </w:p>
        </w:tc>
        <w:tc>
          <w:tcPr>
            <w:tcW w:type="dxa" w:w="6840"/>
            <w:shd w:fill="E8EEF5"/>
            <w:tcMar>
              <w:top w:w="80" w:type="dxa"/>
              <w:start w:w="120" w:type="dxa"/>
              <w:bottom w:w="80" w:type="dxa"/>
              <w:end w:w="120" w:type="dxa"/>
            </w:tcMar>
            <w:vAlign w:val="center"/>
          </w:tcPr>
          <w:p>
            <w:r>
              <w:rPr>
                <w:b/>
                <w:color w:val="0B2545"/>
                <w:sz w:val="18"/>
              </w:rPr>
              <w:t>Accountability</w:t>
            </w:r>
          </w:p>
        </w:tc>
      </w:tr>
      <w:tr>
        <w:trPr>
          <w:cantSplit/>
        </w:trPr>
        <w:tc>
          <w:tcPr>
            <w:tcW w:type="dxa" w:w="2520"/>
            <w:tcMar>
              <w:top w:w="80" w:type="dxa"/>
              <w:start w:w="120" w:type="dxa"/>
              <w:bottom w:w="80" w:type="dxa"/>
              <w:end w:w="120" w:type="dxa"/>
            </w:tcMar>
            <w:vAlign w:val="center"/>
          </w:tcPr>
          <w:p>
            <w:pPr>
              <w:spacing w:after="40" w:line="252" w:lineRule="auto"/>
            </w:pPr>
            <w:r>
              <w:rPr>
                <w:sz w:val="18"/>
              </w:rPr>
              <w:t>Content owner</w:t>
            </w:r>
          </w:p>
        </w:tc>
        <w:tc>
          <w:tcPr>
            <w:tcW w:type="dxa" w:w="6840"/>
            <w:tcMar>
              <w:top w:w="80" w:type="dxa"/>
              <w:start w:w="120" w:type="dxa"/>
              <w:bottom w:w="80" w:type="dxa"/>
              <w:end w:w="120" w:type="dxa"/>
            </w:tcMar>
            <w:vAlign w:val="center"/>
          </w:tcPr>
          <w:p>
            <w:pPr>
              <w:spacing w:after="40" w:line="252" w:lineRule="auto"/>
            </w:pPr>
            <w:r>
              <w:rPr>
                <w:sz w:val="18"/>
              </w:rPr>
              <w:t>Brief, timeline, completeness, channel fit, record integrity</w:t>
            </w:r>
          </w:p>
        </w:tc>
      </w:tr>
      <w:tr>
        <w:trPr>
          <w:cantSplit/>
        </w:trPr>
        <w:tc>
          <w:tcPr>
            <w:tcW w:type="dxa" w:w="2520"/>
            <w:tcMar>
              <w:top w:w="80" w:type="dxa"/>
              <w:start w:w="120" w:type="dxa"/>
              <w:bottom w:w="80" w:type="dxa"/>
              <w:end w:w="120" w:type="dxa"/>
            </w:tcMar>
            <w:vAlign w:val="center"/>
          </w:tcPr>
          <w:p>
            <w:pPr>
              <w:spacing w:after="40" w:line="252" w:lineRule="auto"/>
            </w:pPr>
            <w:r>
              <w:rPr>
                <w:sz w:val="18"/>
              </w:rPr>
              <w:t>Regulatory SME</w:t>
            </w:r>
          </w:p>
        </w:tc>
        <w:tc>
          <w:tcPr>
            <w:tcW w:type="dxa" w:w="6840"/>
            <w:tcMar>
              <w:top w:w="80" w:type="dxa"/>
              <w:start w:w="120" w:type="dxa"/>
              <w:bottom w:w="80" w:type="dxa"/>
              <w:end w:w="120" w:type="dxa"/>
            </w:tcMar>
            <w:vAlign w:val="center"/>
          </w:tcPr>
          <w:p>
            <w:pPr>
              <w:spacing w:after="40" w:line="252" w:lineRule="auto"/>
            </w:pPr>
            <w:r>
              <w:rPr>
                <w:sz w:val="18"/>
              </w:rPr>
              <w:t>Claim, jurisdiction, source status, interpretation and calculation assumption review</w:t>
            </w:r>
          </w:p>
        </w:tc>
      </w:tr>
      <w:tr>
        <w:trPr>
          <w:cantSplit/>
        </w:trPr>
        <w:tc>
          <w:tcPr>
            <w:tcW w:type="dxa" w:w="2520"/>
            <w:tcMar>
              <w:top w:w="80" w:type="dxa"/>
              <w:start w:w="120" w:type="dxa"/>
              <w:bottom w:w="80" w:type="dxa"/>
              <w:end w:w="120" w:type="dxa"/>
            </w:tcMar>
            <w:vAlign w:val="center"/>
          </w:tcPr>
          <w:p>
            <w:pPr>
              <w:spacing w:after="40" w:line="252" w:lineRule="auto"/>
            </w:pPr>
            <w:r>
              <w:rPr>
                <w:sz w:val="18"/>
              </w:rPr>
              <w:t>Calculation reviewer</w:t>
            </w:r>
          </w:p>
        </w:tc>
        <w:tc>
          <w:tcPr>
            <w:tcW w:type="dxa" w:w="6840"/>
            <w:tcMar>
              <w:top w:w="80" w:type="dxa"/>
              <w:start w:w="120" w:type="dxa"/>
              <w:bottom w:w="80" w:type="dxa"/>
              <w:end w:w="120" w:type="dxa"/>
            </w:tcMar>
            <w:vAlign w:val="center"/>
          </w:tcPr>
          <w:p>
            <w:pPr>
              <w:spacing w:after="40" w:line="252" w:lineRule="auto"/>
            </w:pPr>
            <w:r>
              <w:rPr>
                <w:sz w:val="18"/>
              </w:rPr>
              <w:t>Fixture, formula, units, rounding and reproducibility</w:t>
            </w:r>
          </w:p>
        </w:tc>
      </w:tr>
      <w:tr>
        <w:trPr>
          <w:cantSplit/>
        </w:trPr>
        <w:tc>
          <w:tcPr>
            <w:tcW w:type="dxa" w:w="2520"/>
            <w:tcMar>
              <w:top w:w="80" w:type="dxa"/>
              <w:start w:w="120" w:type="dxa"/>
              <w:bottom w:w="80" w:type="dxa"/>
              <w:end w:w="120" w:type="dxa"/>
            </w:tcMar>
            <w:vAlign w:val="center"/>
          </w:tcPr>
          <w:p>
            <w:pPr>
              <w:spacing w:after="40" w:line="252" w:lineRule="auto"/>
            </w:pPr>
            <w:r>
              <w:rPr>
                <w:sz w:val="18"/>
              </w:rPr>
              <w:t>Learning editor</w:t>
            </w:r>
          </w:p>
        </w:tc>
        <w:tc>
          <w:tcPr>
            <w:tcW w:type="dxa" w:w="6840"/>
            <w:tcMar>
              <w:top w:w="80" w:type="dxa"/>
              <w:start w:w="120" w:type="dxa"/>
              <w:bottom w:w="80" w:type="dxa"/>
              <w:end w:w="120" w:type="dxa"/>
            </w:tcMar>
            <w:vAlign w:val="center"/>
          </w:tcPr>
          <w:p>
            <w:pPr>
              <w:spacing w:after="40" w:line="252" w:lineRule="auto"/>
            </w:pPr>
            <w:r>
              <w:rPr>
                <w:sz w:val="18"/>
              </w:rPr>
              <w:t>Accuracy-preserving clarity, pedagogy, challenge and assessment quality</w:t>
            </w:r>
          </w:p>
        </w:tc>
      </w:tr>
      <w:tr>
        <w:trPr>
          <w:cantSplit/>
        </w:trPr>
        <w:tc>
          <w:tcPr>
            <w:tcW w:type="dxa" w:w="2520"/>
            <w:tcMar>
              <w:top w:w="80" w:type="dxa"/>
              <w:start w:w="120" w:type="dxa"/>
              <w:bottom w:w="80" w:type="dxa"/>
              <w:end w:w="120" w:type="dxa"/>
            </w:tcMar>
            <w:vAlign w:val="center"/>
          </w:tcPr>
          <w:p>
            <w:pPr>
              <w:spacing w:after="40" w:line="252" w:lineRule="auto"/>
            </w:pPr>
            <w:r>
              <w:rPr>
                <w:sz w:val="18"/>
              </w:rPr>
              <w:t>Arabic/localization reviewer</w:t>
            </w:r>
          </w:p>
        </w:tc>
        <w:tc>
          <w:tcPr>
            <w:tcW w:type="dxa" w:w="6840"/>
            <w:tcMar>
              <w:top w:w="80" w:type="dxa"/>
              <w:start w:w="120" w:type="dxa"/>
              <w:bottom w:w="80" w:type="dxa"/>
              <w:end w:w="120" w:type="dxa"/>
            </w:tcMar>
            <w:vAlign w:val="center"/>
          </w:tcPr>
          <w:p>
            <w:pPr>
              <w:spacing w:after="40" w:line="252" w:lineRule="auto"/>
            </w:pPr>
            <w:r>
              <w:rPr>
                <w:sz w:val="18"/>
              </w:rPr>
              <w:t>Terminology, meaning, register, pronunciation, subtitles and RTL presentation</w:t>
            </w:r>
          </w:p>
        </w:tc>
      </w:tr>
      <w:tr>
        <w:trPr>
          <w:cantSplit/>
        </w:trPr>
        <w:tc>
          <w:tcPr>
            <w:tcW w:type="dxa" w:w="2520"/>
            <w:tcMar>
              <w:top w:w="80" w:type="dxa"/>
              <w:start w:w="120" w:type="dxa"/>
              <w:bottom w:w="80" w:type="dxa"/>
              <w:end w:w="120" w:type="dxa"/>
            </w:tcMar>
            <w:vAlign w:val="center"/>
          </w:tcPr>
          <w:p>
            <w:pPr>
              <w:spacing w:after="40" w:line="252" w:lineRule="auto"/>
            </w:pPr>
            <w:r>
              <w:rPr>
                <w:sz w:val="18"/>
              </w:rPr>
              <w:t>Legal/compliance owner</w:t>
            </w:r>
          </w:p>
        </w:tc>
        <w:tc>
          <w:tcPr>
            <w:tcW w:type="dxa" w:w="6840"/>
            <w:tcMar>
              <w:top w:w="80" w:type="dxa"/>
              <w:start w:w="120" w:type="dxa"/>
              <w:bottom w:w="80" w:type="dxa"/>
              <w:end w:w="120" w:type="dxa"/>
            </w:tcMar>
            <w:vAlign w:val="center"/>
          </w:tcPr>
          <w:p>
            <w:pPr>
              <w:spacing w:after="40" w:line="252" w:lineRule="auto"/>
            </w:pPr>
            <w:r>
              <w:rPr>
                <w:sz w:val="18"/>
              </w:rPr>
              <w:t>Disclosures, rights, privacy, endorsements, promotions and incident policy</w:t>
            </w:r>
          </w:p>
        </w:tc>
      </w:tr>
      <w:tr>
        <w:trPr>
          <w:cantSplit/>
        </w:trPr>
        <w:tc>
          <w:tcPr>
            <w:tcW w:type="dxa" w:w="2520"/>
            <w:tcMar>
              <w:top w:w="80" w:type="dxa"/>
              <w:start w:w="120" w:type="dxa"/>
              <w:bottom w:w="80" w:type="dxa"/>
              <w:end w:w="120" w:type="dxa"/>
            </w:tcMar>
            <w:vAlign w:val="center"/>
          </w:tcPr>
          <w:p>
            <w:pPr>
              <w:spacing w:after="40" w:line="252" w:lineRule="auto"/>
            </w:pPr>
            <w:r>
              <w:rPr>
                <w:sz w:val="18"/>
              </w:rPr>
              <w:t>Publisher</w:t>
            </w:r>
          </w:p>
        </w:tc>
        <w:tc>
          <w:tcPr>
            <w:tcW w:type="dxa" w:w="6840"/>
            <w:tcMar>
              <w:top w:w="80" w:type="dxa"/>
              <w:start w:w="120" w:type="dxa"/>
              <w:bottom w:w="80" w:type="dxa"/>
              <w:end w:w="120" w:type="dxa"/>
            </w:tcMar>
            <w:vAlign w:val="center"/>
          </w:tcPr>
          <w:p>
            <w:pPr>
              <w:spacing w:after="40" w:line="252" w:lineRule="auto"/>
            </w:pPr>
            <w:r>
              <w:rPr>
                <w:sz w:val="18"/>
              </w:rPr>
              <w:t>Final preflight, credentials, scheduling and publication record</w:t>
            </w:r>
          </w:p>
        </w:tc>
      </w:tr>
    </w:tbl>
    <w:p>
      <w:pPr>
        <w:spacing w:after="40"/>
      </w:pPr>
    </w:p>
    <w:p>
      <w:pPr>
        <w:pStyle w:val="Heading2"/>
      </w:pPr>
      <w:r>
        <w:t>Regulatory accuracy standard</w:t>
      </w:r>
    </w:p>
    <w:p>
      <w:pPr>
        <w:pStyle w:val="ListBullet"/>
        <w:spacing w:after="80"/>
      </w:pPr>
      <w:r>
        <w:t>Attach every material rule claim to an official-source object with jurisdiction, issuer, title, publication/effective dates, status, version, locator, retrieval date, and approved excerpt/summary.</w:t>
      </w:r>
    </w:p>
    <w:p>
      <w:pPr>
        <w:pStyle w:val="ListBullet"/>
        <w:spacing w:after="80"/>
      </w:pPr>
      <w:r>
        <w:t>Clearly distinguish Basel Committee baseline from local implementation; never imply that a canonical BCBS text automatically equals an in-force local rule.</w:t>
      </w:r>
    </w:p>
    <w:p>
      <w:pPr>
        <w:pStyle w:val="ListBullet"/>
        <w:spacing w:after="80"/>
      </w:pPr>
      <w:r>
        <w:t>Label proposals, consultations, final rules, transitional provisions, superseded guidance, and illustrative teaching assumptions prominently.</w:t>
      </w:r>
    </w:p>
    <w:p>
      <w:pPr>
        <w:pStyle w:val="ListBullet"/>
        <w:spacing w:after="80"/>
      </w:pPr>
      <w:r>
        <w:t>Use deterministic calculation services or approved fixtures. Show inputs, units, formula path, rounding, and scenario limitations.</w:t>
      </w:r>
    </w:p>
    <w:p>
      <w:pPr>
        <w:pStyle w:val="ListBullet"/>
        <w:spacing w:after="80"/>
      </w:pPr>
      <w:r>
        <w:t>Time-sensitive “Regulation Changed” assets receive an explicit expiration/review date and alert monitoring.</w:t>
      </w:r>
    </w:p>
    <w:p>
      <w:pPr>
        <w:pStyle w:val="ListBullet"/>
        <w:spacing w:after="80"/>
      </w:pPr>
      <w:r>
        <w:t>If a reviewer cannot resolve uncertainty, narrow or remove the claim. Publishing speed is not a reason to speculate.</w:t>
      </w:r>
    </w:p>
    <w:p>
      <w:pPr>
        <w:pStyle w:val="Heading2"/>
      </w:pPr>
      <w:r>
        <w:t>Standard educational disclaimer</w:t>
      </w:r>
    </w:p>
    <w:p>
      <w:pPr>
        <w:pStyle w:val="NoteBox"/>
      </w:pPr>
      <w:r>
        <w:t>Financial Pods content is for education and training only. It is not legal, regulatory, accounting, investment, or professional advice and should not be used as a substitute for applicable law, regulation, supervisory guidance, official interpretations, or institution-specific policies. Rules and proposals may change; viewers should verify the cited official source, jurisdiction, version, status, and effective date. Illustrative examples simplify facts and assumptions and may not reflect the treatment of a real exposure.</w:t>
      </w:r>
    </w:p>
    <w:p>
      <w:pPr>
        <w:pStyle w:val="Heading2"/>
      </w:pPr>
      <w:r>
        <w:t>Correction and incident process</w:t>
      </w:r>
    </w:p>
    <w:p>
      <w:pPr>
        <w:pStyle w:val="ListNumber"/>
        <w:numPr>
          <w:numId w:val="15"/>
        </w:numPr>
        <w:spacing w:after="100"/>
      </w:pPr>
      <w:r>
        <w:t>Triage report severity: cosmetic, clarity, calculation, material regulatory claim, privacy/rights, or security.</w:t>
      </w:r>
    </w:p>
    <w:p>
      <w:pPr>
        <w:pStyle w:val="ListNumber"/>
        <w:numPr>
          <w:numId w:val="15"/>
        </w:numPr>
        <w:spacing w:after="100"/>
      </w:pPr>
      <w:r>
        <w:t>For material risk, unpublish or add a visible warning while investigation proceeds; preserve evidence and access logs.</w:t>
      </w:r>
    </w:p>
    <w:p>
      <w:pPr>
        <w:pStyle w:val="ListNumber"/>
        <w:numPr>
          <w:numId w:val="15"/>
        </w:numPr>
        <w:spacing w:after="100"/>
      </w:pPr>
      <w:r>
        <w:t>Assign SME and accountable owner; reproduce the issue against the published manifest and source packet.</w:t>
      </w:r>
    </w:p>
    <w:p>
      <w:pPr>
        <w:pStyle w:val="ListNumber"/>
        <w:numPr>
          <w:numId w:val="15"/>
        </w:numPr>
        <w:spacing w:after="100"/>
      </w:pPr>
      <w:r>
        <w:t>Publish a corrected version with a linked correction note; notify affected learners/customers when impact warrants.</w:t>
      </w:r>
    </w:p>
    <w:p>
      <w:pPr>
        <w:pStyle w:val="ListNumber"/>
        <w:numPr>
          <w:numId w:val="15"/>
        </w:numPr>
        <w:spacing w:after="100"/>
      </w:pPr>
      <w:r>
        <w:t>Update knowledge object, tests, templates, and reviewer checklist; run retrospective and track recurrence.</w:t>
      </w:r>
    </w:p>
    <w:p>
      <w:pPr>
        <w:pStyle w:val="Heading1"/>
      </w:pPr>
      <w:r>
        <w:t>16. Developer and agent Markdown files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shd w:fill="E8EEF5"/>
            <w:tcMar>
              <w:top w:w="80" w:type="dxa"/>
              <w:start w:w="120" w:type="dxa"/>
              <w:bottom w:w="80" w:type="dxa"/>
              <w:end w:w="120" w:type="dxa"/>
            </w:tcMar>
            <w:vAlign w:val="center"/>
          </w:tcPr>
          <w:p>
            <w:r>
              <w:rPr>
                <w:b/>
                <w:color w:val="0B2545"/>
                <w:sz w:val="16"/>
              </w:rPr>
              <w:t>File</w:t>
            </w:r>
          </w:p>
        </w:tc>
        <w:tc>
          <w:tcPr>
            <w:tcW w:type="dxa" w:w="6984"/>
            <w:shd w:fill="E8EEF5"/>
            <w:tcMar>
              <w:top w:w="80" w:type="dxa"/>
              <w:start w:w="120" w:type="dxa"/>
              <w:bottom w:w="80" w:type="dxa"/>
              <w:end w:w="120" w:type="dxa"/>
            </w:tcMar>
            <w:vAlign w:val="center"/>
          </w:tcPr>
          <w:p>
            <w:r>
              <w:rPr>
                <w:b/>
                <w:color w:val="0B2545"/>
                <w:sz w:val="16"/>
              </w:rPr>
              <w:t>Required contents</w:t>
            </w:r>
          </w:p>
        </w:tc>
      </w:tr>
      <w:tr>
        <w:trPr>
          <w:cantSplit/>
        </w:trPr>
        <w:tc>
          <w:tcPr>
            <w:tcW w:type="dxa" w:w="2376"/>
            <w:tcMar>
              <w:top w:w="80" w:type="dxa"/>
              <w:start w:w="120" w:type="dxa"/>
              <w:bottom w:w="80" w:type="dxa"/>
              <w:end w:w="120" w:type="dxa"/>
            </w:tcMar>
            <w:vAlign w:val="center"/>
          </w:tcPr>
          <w:p>
            <w:pPr>
              <w:spacing w:after="40" w:line="252" w:lineRule="auto"/>
            </w:pPr>
            <w:r>
              <w:rPr>
                <w:sz w:val="16"/>
              </w:rPr>
              <w:t>content_strategy.md</w:t>
            </w:r>
          </w:p>
        </w:tc>
        <w:tc>
          <w:tcPr>
            <w:tcW w:type="dxa" w:w="6984"/>
            <w:tcMar>
              <w:top w:w="80" w:type="dxa"/>
              <w:start w:w="120" w:type="dxa"/>
              <w:bottom w:w="80" w:type="dxa"/>
              <w:end w:w="120" w:type="dxa"/>
            </w:tcMar>
            <w:vAlign w:val="center"/>
          </w:tcPr>
          <w:p>
            <w:pPr>
              <w:spacing w:after="40" w:line="252" w:lineRule="auto"/>
            </w:pPr>
            <w:r>
              <w:rPr>
                <w:sz w:val="16"/>
              </w:rPr>
              <w:t>Mission, audiences, positioning, franchises, editorial principles, scope boundaries, annual/quarterly themes, ownership and approval model.</w:t>
            </w:r>
          </w:p>
        </w:tc>
      </w:tr>
      <w:tr>
        <w:trPr>
          <w:cantSplit/>
        </w:trPr>
        <w:tc>
          <w:tcPr>
            <w:tcW w:type="dxa" w:w="2376"/>
            <w:tcMar>
              <w:top w:w="80" w:type="dxa"/>
              <w:start w:w="120" w:type="dxa"/>
              <w:bottom w:w="80" w:type="dxa"/>
              <w:end w:w="120" w:type="dxa"/>
            </w:tcMar>
            <w:vAlign w:val="center"/>
          </w:tcPr>
          <w:p>
            <w:pPr>
              <w:spacing w:after="40" w:line="252" w:lineRule="auto"/>
            </w:pPr>
            <w:r>
              <w:rPr>
                <w:sz w:val="16"/>
              </w:rPr>
              <w:t>channel_strategy.md</w:t>
            </w:r>
          </w:p>
        </w:tc>
        <w:tc>
          <w:tcPr>
            <w:tcW w:type="dxa" w:w="6984"/>
            <w:tcMar>
              <w:top w:w="80" w:type="dxa"/>
              <w:start w:w="120" w:type="dxa"/>
              <w:bottom w:w="80" w:type="dxa"/>
              <w:end w:w="120" w:type="dxa"/>
            </w:tcMar>
            <w:vAlign w:val="center"/>
          </w:tcPr>
          <w:p>
            <w:pPr>
              <w:spacing w:after="40" w:line="252" w:lineRule="auto"/>
            </w:pPr>
            <w:r>
              <w:rPr>
                <w:sz w:val="16"/>
              </w:rPr>
              <w:t>Per-channel audience, role, formats, cadence, metadata, moderation, accessibility, CTA patterns, platform configuration and deprecation rules.</w:t>
            </w:r>
          </w:p>
        </w:tc>
      </w:tr>
      <w:tr>
        <w:trPr>
          <w:cantSplit/>
        </w:trPr>
        <w:tc>
          <w:tcPr>
            <w:tcW w:type="dxa" w:w="2376"/>
            <w:tcMar>
              <w:top w:w="80" w:type="dxa"/>
              <w:start w:w="120" w:type="dxa"/>
              <w:bottom w:w="80" w:type="dxa"/>
              <w:end w:w="120" w:type="dxa"/>
            </w:tcMar>
            <w:vAlign w:val="center"/>
          </w:tcPr>
          <w:p>
            <w:pPr>
              <w:spacing w:after="40" w:line="252" w:lineRule="auto"/>
            </w:pPr>
            <w:r>
              <w:rPr>
                <w:sz w:val="16"/>
              </w:rPr>
              <w:t>editorial_calendar.md</w:t>
            </w:r>
          </w:p>
        </w:tc>
        <w:tc>
          <w:tcPr>
            <w:tcW w:type="dxa" w:w="6984"/>
            <w:tcMar>
              <w:top w:w="80" w:type="dxa"/>
              <w:start w:w="120" w:type="dxa"/>
              <w:bottom w:w="80" w:type="dxa"/>
              <w:end w:w="120" w:type="dxa"/>
            </w:tcMar>
            <w:vAlign w:val="center"/>
          </w:tcPr>
          <w:p>
            <w:pPr>
              <w:spacing w:after="40" w:line="252" w:lineRule="auto"/>
            </w:pPr>
            <w:r>
              <w:rPr>
                <w:sz w:val="16"/>
              </w:rPr>
              <w:t>Rolling 90-day calendar; content_id, status, owner, source packet, jurisdiction/status, franchise, channel derivatives, language, CTA, publish date, reviewer and experiment.</w:t>
            </w:r>
          </w:p>
        </w:tc>
      </w:tr>
      <w:tr>
        <w:trPr>
          <w:cantSplit/>
        </w:trPr>
        <w:tc>
          <w:tcPr>
            <w:tcW w:type="dxa" w:w="2376"/>
            <w:tcMar>
              <w:top w:w="80" w:type="dxa"/>
              <w:start w:w="120" w:type="dxa"/>
              <w:bottom w:w="80" w:type="dxa"/>
              <w:end w:w="120" w:type="dxa"/>
            </w:tcMar>
            <w:vAlign w:val="center"/>
          </w:tcPr>
          <w:p>
            <w:pPr>
              <w:spacing w:after="40" w:line="252" w:lineRule="auto"/>
            </w:pPr>
            <w:r>
              <w:rPr>
                <w:sz w:val="16"/>
              </w:rPr>
              <w:t>video_standards.md</w:t>
            </w:r>
          </w:p>
        </w:tc>
        <w:tc>
          <w:tcPr>
            <w:tcW w:type="dxa" w:w="6984"/>
            <w:tcMar>
              <w:top w:w="80" w:type="dxa"/>
              <w:start w:w="120" w:type="dxa"/>
              <w:bottom w:w="80" w:type="dxa"/>
              <w:end w:w="120" w:type="dxa"/>
            </w:tcMar>
            <w:vAlign w:val="center"/>
          </w:tcPr>
          <w:p>
            <w:pPr>
              <w:spacing w:after="40" w:line="252" w:lineRule="auto"/>
            </w:pPr>
            <w:r>
              <w:rPr>
                <w:sz w:val="16"/>
              </w:rPr>
              <w:t>Long/short duration bands, aspect ratios, hook/pacing, safe zones, typography, captions, audio, pronunciation, disclosures, thumbnail rules, export/QA checklist.</w:t>
            </w:r>
          </w:p>
        </w:tc>
      </w:tr>
      <w:tr>
        <w:trPr>
          <w:cantSplit/>
        </w:trPr>
        <w:tc>
          <w:tcPr>
            <w:tcW w:type="dxa" w:w="2376"/>
            <w:tcMar>
              <w:top w:w="80" w:type="dxa"/>
              <w:start w:w="120" w:type="dxa"/>
              <w:bottom w:w="80" w:type="dxa"/>
              <w:end w:w="120" w:type="dxa"/>
            </w:tcMar>
            <w:vAlign w:val="center"/>
          </w:tcPr>
          <w:p>
            <w:pPr>
              <w:spacing w:after="40" w:line="252" w:lineRule="auto"/>
            </w:pPr>
            <w:r>
              <w:rPr>
                <w:sz w:val="16"/>
              </w:rPr>
              <w:t>social_templates.md</w:t>
            </w:r>
          </w:p>
        </w:tc>
        <w:tc>
          <w:tcPr>
            <w:tcW w:type="dxa" w:w="6984"/>
            <w:tcMar>
              <w:top w:w="80" w:type="dxa"/>
              <w:start w:w="120" w:type="dxa"/>
              <w:bottom w:w="80" w:type="dxa"/>
              <w:end w:w="120" w:type="dxa"/>
            </w:tcMar>
            <w:vAlign w:val="center"/>
          </w:tcPr>
          <w:p>
            <w:pPr>
              <w:spacing w:after="40" w:line="252" w:lineRule="auto"/>
            </w:pPr>
            <w:r>
              <w:rPr>
                <w:sz w:val="16"/>
              </w:rPr>
              <w:t>Approved templates for hooks, captions, X threads, LinkedIn posts, carousels, descriptions, pinned comments, community replies, corrections and bilingual variants.</w:t>
            </w:r>
          </w:p>
        </w:tc>
      </w:tr>
      <w:tr>
        <w:trPr>
          <w:cantSplit/>
        </w:trPr>
        <w:tc>
          <w:tcPr>
            <w:tcW w:type="dxa" w:w="2376"/>
            <w:tcMar>
              <w:top w:w="80" w:type="dxa"/>
              <w:start w:w="120" w:type="dxa"/>
              <w:bottom w:w="80" w:type="dxa"/>
              <w:end w:w="120" w:type="dxa"/>
            </w:tcMar>
            <w:vAlign w:val="center"/>
          </w:tcPr>
          <w:p>
            <w:pPr>
              <w:spacing w:after="40" w:line="252" w:lineRule="auto"/>
            </w:pPr>
            <w:r>
              <w:rPr>
                <w:sz w:val="16"/>
              </w:rPr>
              <w:t>analytics.md</w:t>
            </w:r>
          </w:p>
        </w:tc>
        <w:tc>
          <w:tcPr>
            <w:tcW w:type="dxa" w:w="6984"/>
            <w:tcMar>
              <w:top w:w="80" w:type="dxa"/>
              <w:start w:w="120" w:type="dxa"/>
              <w:bottom w:w="80" w:type="dxa"/>
              <w:end w:w="120" w:type="dxa"/>
            </w:tcMar>
            <w:vAlign w:val="center"/>
          </w:tcPr>
          <w:p>
            <w:pPr>
              <w:spacing w:after="40" w:line="252" w:lineRule="auto"/>
            </w:pPr>
            <w:r>
              <w:rPr>
                <w:sz w:val="16"/>
              </w:rPr>
              <w:t>Event taxonomy, identity/consent, attribution, dashboard definitions, KPI formulas, data-quality tests, retention, access controls and review cadence.</w:t>
            </w:r>
          </w:p>
        </w:tc>
      </w:tr>
      <w:tr>
        <w:trPr>
          <w:cantSplit/>
        </w:trPr>
        <w:tc>
          <w:tcPr>
            <w:tcW w:type="dxa" w:w="2376"/>
            <w:tcMar>
              <w:top w:w="80" w:type="dxa"/>
              <w:start w:w="120" w:type="dxa"/>
              <w:bottom w:w="80" w:type="dxa"/>
              <w:end w:w="120" w:type="dxa"/>
            </w:tcMar>
            <w:vAlign w:val="center"/>
          </w:tcPr>
          <w:p>
            <w:pPr>
              <w:spacing w:after="40" w:line="252" w:lineRule="auto"/>
            </w:pPr>
            <w:r>
              <w:rPr>
                <w:sz w:val="16"/>
              </w:rPr>
              <w:t>conversion_funnel.md</w:t>
            </w:r>
          </w:p>
        </w:tc>
        <w:tc>
          <w:tcPr>
            <w:tcW w:type="dxa" w:w="6984"/>
            <w:tcMar>
              <w:top w:w="80" w:type="dxa"/>
              <w:start w:w="120" w:type="dxa"/>
              <w:bottom w:w="80" w:type="dxa"/>
              <w:end w:w="120" w:type="dxa"/>
            </w:tcMar>
            <w:vAlign w:val="center"/>
          </w:tcPr>
          <w:p>
            <w:pPr>
              <w:spacing w:after="40" w:line="252" w:lineRule="auto"/>
            </w:pPr>
            <w:r>
              <w:rPr>
                <w:sz w:val="16"/>
              </w:rPr>
              <w:t>Personas, stage definitions, CTAs, landing routes, Free Pod activation, lifecycle messaging, scoring, enterprise handoff and funnel targets as assumptions/baselines.</w:t>
            </w:r>
          </w:p>
        </w:tc>
      </w:tr>
      <w:tr>
        <w:trPr>
          <w:cantSplit/>
        </w:trPr>
        <w:tc>
          <w:tcPr>
            <w:tcW w:type="dxa" w:w="2376"/>
            <w:tcMar>
              <w:top w:w="80" w:type="dxa"/>
              <w:start w:w="120" w:type="dxa"/>
              <w:bottom w:w="80" w:type="dxa"/>
              <w:end w:w="120" w:type="dxa"/>
            </w:tcMar>
            <w:vAlign w:val="center"/>
          </w:tcPr>
          <w:p>
            <w:pPr>
              <w:spacing w:after="40" w:line="252" w:lineRule="auto"/>
            </w:pPr>
            <w:r>
              <w:rPr>
                <w:sz w:val="16"/>
              </w:rPr>
              <w:t>content_pipeline.md</w:t>
            </w:r>
          </w:p>
        </w:tc>
        <w:tc>
          <w:tcPr>
            <w:tcW w:type="dxa" w:w="6984"/>
            <w:tcMar>
              <w:top w:w="80" w:type="dxa"/>
              <w:start w:w="120" w:type="dxa"/>
              <w:bottom w:w="80" w:type="dxa"/>
              <w:end w:w="120" w:type="dxa"/>
            </w:tcMar>
            <w:vAlign w:val="center"/>
          </w:tcPr>
          <w:p>
            <w:pPr>
              <w:spacing w:after="40" w:line="252" w:lineRule="auto"/>
            </w:pPr>
            <w:r>
              <w:rPr>
                <w:sz w:val="16"/>
              </w:rPr>
              <w:t>State machine, schemas, source/calculation integration, generation, review gates, publishing adapters, idempotency, retries, observability, incident and rollback procedures.</w:t>
            </w:r>
          </w:p>
        </w:tc>
      </w:tr>
    </w:tbl>
    <w:p>
      <w:pPr>
        <w:spacing w:after="40"/>
      </w:pPr>
    </w:p>
    <w:p>
      <w:pPr>
        <w:pStyle w:val="Heading2"/>
      </w:pPr>
      <w:r>
        <w:t>Minimum front matter for each governed file</w:t>
      </w:r>
    </w:p>
    <w:p>
      <w:pPr>
        <w:pStyle w:val="CodeBlock"/>
        <w:shd w:fill="F7F8FA"/>
      </w:pPr>
      <w:r>
        <w:t>owner: growth</w:t>
        <w:br/>
        <w:t>status: draft|approved|deprecated</w:t>
        <w:br/>
        <w:t>version: 1.0</w:t>
        <w:br/>
        <w:t>last_reviewed: YYYY-MM-DD</w:t>
        <w:br/>
        <w:t>next_review: YYYY-MM-DD</w:t>
        <w:br/>
        <w:t>approvers: [role_or_id]</w:t>
        <w:br/>
        <w:t>related_adrs: []</w:t>
        <w:br/>
        <w:t>source_of_truth: path_or_system</w:t>
      </w:r>
    </w:p>
    <w:p>
      <w:pPr>
        <w:pStyle w:val="Heading2"/>
      </w:pPr>
      <w:r>
        <w:t>Agent operating constraints</w:t>
      </w:r>
    </w:p>
    <w:p>
      <w:pPr>
        <w:pStyle w:val="ListBullet"/>
        <w:spacing w:after="80"/>
      </w:pPr>
      <w:r>
        <w:t>Agents may propose, draft, transform, render, tag, validate, and summarize; they may not self-approve regulated claims or publish without the approved workflow.</w:t>
      </w:r>
    </w:p>
    <w:p>
      <w:pPr>
        <w:pStyle w:val="ListBullet"/>
        <w:spacing w:after="80"/>
      </w:pPr>
      <w:r>
        <w:t>Agents must reference canonical source and calculation IDs rather than copying unsupported claims between files.</w:t>
      </w:r>
    </w:p>
    <w:p>
      <w:pPr>
        <w:pStyle w:val="ListBullet"/>
        <w:spacing w:after="80"/>
      </w:pPr>
      <w:r>
        <w:t>Prompts, model/provider versions, inputs, outputs, reviewer decisions, and final hashes are logged for reproducibility subject to privacy controls.</w:t>
      </w:r>
    </w:p>
    <w:p>
      <w:pPr>
        <w:pStyle w:val="ListBullet"/>
        <w:spacing w:after="80"/>
      </w:pPr>
      <w:r>
        <w:t>Production credentials remain outside the repository; publisher adapters use least-privilege secrets and environment separation.</w:t>
      </w:r>
    </w:p>
    <w:p>
      <w:pPr>
        <w:pStyle w:val="ListBullet"/>
        <w:spacing w:after="80"/>
      </w:pPr>
      <w:r>
        <w:t>Any claim-status conflict, missing citation, failed deterministic test, or expired source blocks approval.</w:t>
      </w:r>
    </w:p>
    <w:p>
      <w:pPr>
        <w:pStyle w:val="Heading1"/>
      </w:pPr>
      <w:r>
        <w:t>17. Implementation next steps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864"/>
            <w:shd w:fill="E8EEF5"/>
            <w:tcMar>
              <w:top w:w="80" w:type="dxa"/>
              <w:start w:w="120" w:type="dxa"/>
              <w:bottom w:w="80" w:type="dxa"/>
              <w:end w:w="120" w:type="dxa"/>
            </w:tcMar>
            <w:vAlign w:val="center"/>
          </w:tcPr>
          <w:p>
            <w:r>
              <w:rPr>
                <w:b/>
                <w:color w:val="0B2545"/>
                <w:sz w:val="16"/>
              </w:rPr>
              <w:t>Priority</w:t>
            </w:r>
          </w:p>
        </w:tc>
        <w:tc>
          <w:tcPr>
            <w:tcW w:type="dxa" w:w="3528"/>
            <w:shd w:fill="E8EEF5"/>
            <w:tcMar>
              <w:top w:w="80" w:type="dxa"/>
              <w:start w:w="120" w:type="dxa"/>
              <w:bottom w:w="80" w:type="dxa"/>
              <w:end w:w="120" w:type="dxa"/>
            </w:tcMar>
            <w:vAlign w:val="center"/>
          </w:tcPr>
          <w:p>
            <w:r>
              <w:rPr>
                <w:b/>
                <w:color w:val="0B2545"/>
                <w:sz w:val="16"/>
              </w:rPr>
              <w:t>Next step</w:t>
            </w:r>
          </w:p>
        </w:tc>
        <w:tc>
          <w:tcPr>
            <w:tcW w:type="dxa" w:w="4968"/>
            <w:shd w:fill="E8EEF5"/>
            <w:tcMar>
              <w:top w:w="80" w:type="dxa"/>
              <w:start w:w="120" w:type="dxa"/>
              <w:bottom w:w="80" w:type="dxa"/>
              <w:end w:w="120" w:type="dxa"/>
            </w:tcMar>
            <w:vAlign w:val="center"/>
          </w:tcPr>
          <w:p>
            <w:r>
              <w:rPr>
                <w:b/>
                <w:color w:val="0B2545"/>
                <w:sz w:val="16"/>
              </w:rPr>
              <w:t>Deliverable / acceptance</w:t>
            </w:r>
          </w:p>
        </w:tc>
      </w:tr>
      <w:tr>
        <w:trPr>
          <w:cantSplit/>
        </w:trPr>
        <w:tc>
          <w:tcPr>
            <w:tcW w:type="dxa" w:w="864"/>
            <w:tcMar>
              <w:top w:w="80" w:type="dxa"/>
              <w:start w:w="120" w:type="dxa"/>
              <w:bottom w:w="80" w:type="dxa"/>
              <w:end w:w="120" w:type="dxa"/>
            </w:tcMar>
            <w:vAlign w:val="center"/>
          </w:tcPr>
          <w:p>
            <w:pPr>
              <w:spacing w:after="40" w:line="252" w:lineRule="auto"/>
            </w:pPr>
            <w:r>
              <w:rPr>
                <w:sz w:val="16"/>
              </w:rPr>
              <w:t>P0</w:t>
            </w:r>
          </w:p>
        </w:tc>
        <w:tc>
          <w:tcPr>
            <w:tcW w:type="dxa" w:w="3528"/>
            <w:tcMar>
              <w:top w:w="80" w:type="dxa"/>
              <w:start w:w="120" w:type="dxa"/>
              <w:bottom w:w="80" w:type="dxa"/>
              <w:end w:w="120" w:type="dxa"/>
            </w:tcMar>
            <w:vAlign w:val="center"/>
          </w:tcPr>
          <w:p>
            <w:pPr>
              <w:spacing w:after="40" w:line="252" w:lineRule="auto"/>
            </w:pPr>
            <w:r>
              <w:rPr>
                <w:sz w:val="16"/>
              </w:rPr>
              <w:t>Approve Growth Engine charter and accountable owners</w:t>
            </w:r>
          </w:p>
        </w:tc>
        <w:tc>
          <w:tcPr>
            <w:tcW w:type="dxa" w:w="4968"/>
            <w:tcMar>
              <w:top w:w="80" w:type="dxa"/>
              <w:start w:w="120" w:type="dxa"/>
              <w:bottom w:w="80" w:type="dxa"/>
              <w:end w:w="120" w:type="dxa"/>
            </w:tcMar>
            <w:vAlign w:val="center"/>
          </w:tcPr>
          <w:p>
            <w:pPr>
              <w:spacing w:after="40" w:line="252" w:lineRule="auto"/>
            </w:pPr>
            <w:r>
              <w:rPr>
                <w:sz w:val="16"/>
              </w:rPr>
              <w:t>Written decision: part of Financial Pods; owner, SME lead, publisher, analytics and enterprise owner assigned</w:t>
            </w:r>
          </w:p>
        </w:tc>
      </w:tr>
      <w:tr>
        <w:trPr>
          <w:cantSplit/>
        </w:trPr>
        <w:tc>
          <w:tcPr>
            <w:tcW w:type="dxa" w:w="864"/>
            <w:tcMar>
              <w:top w:w="80" w:type="dxa"/>
              <w:start w:w="120" w:type="dxa"/>
              <w:bottom w:w="80" w:type="dxa"/>
              <w:end w:w="120" w:type="dxa"/>
            </w:tcMar>
            <w:vAlign w:val="center"/>
          </w:tcPr>
          <w:p>
            <w:pPr>
              <w:spacing w:after="40" w:line="252" w:lineRule="auto"/>
            </w:pPr>
            <w:r>
              <w:rPr>
                <w:sz w:val="16"/>
              </w:rPr>
              <w:t>P0</w:t>
            </w:r>
          </w:p>
        </w:tc>
        <w:tc>
          <w:tcPr>
            <w:tcW w:type="dxa" w:w="3528"/>
            <w:tcMar>
              <w:top w:w="80" w:type="dxa"/>
              <w:start w:w="120" w:type="dxa"/>
              <w:bottom w:w="80" w:type="dxa"/>
              <w:end w:w="120" w:type="dxa"/>
            </w:tcMar>
            <w:vAlign w:val="center"/>
          </w:tcPr>
          <w:p>
            <w:pPr>
              <w:spacing w:after="40" w:line="252" w:lineRule="auto"/>
            </w:pPr>
            <w:r>
              <w:rPr>
                <w:sz w:val="16"/>
              </w:rPr>
              <w:t>Create `/growth/` scaffold and eight Markdown standards</w:t>
            </w:r>
          </w:p>
        </w:tc>
        <w:tc>
          <w:tcPr>
            <w:tcW w:type="dxa" w:w="4968"/>
            <w:tcMar>
              <w:top w:w="80" w:type="dxa"/>
              <w:start w:w="120" w:type="dxa"/>
              <w:bottom w:w="80" w:type="dxa"/>
              <w:end w:w="120" w:type="dxa"/>
            </w:tcMar>
            <w:vAlign w:val="center"/>
          </w:tcPr>
          <w:p>
            <w:pPr>
              <w:spacing w:after="40" w:line="252" w:lineRule="auto"/>
            </w:pPr>
            <w:r>
              <w:rPr>
                <w:sz w:val="16"/>
              </w:rPr>
              <w:t>Reviewed files with front matter, CODEOWNERS/review rules, templates and issue forms</w:t>
            </w:r>
          </w:p>
        </w:tc>
      </w:tr>
      <w:tr>
        <w:trPr>
          <w:cantSplit/>
        </w:trPr>
        <w:tc>
          <w:tcPr>
            <w:tcW w:type="dxa" w:w="864"/>
            <w:tcMar>
              <w:top w:w="80" w:type="dxa"/>
              <w:start w:w="120" w:type="dxa"/>
              <w:bottom w:w="80" w:type="dxa"/>
              <w:end w:w="120" w:type="dxa"/>
            </w:tcMar>
            <w:vAlign w:val="center"/>
          </w:tcPr>
          <w:p>
            <w:pPr>
              <w:spacing w:after="40" w:line="252" w:lineRule="auto"/>
            </w:pPr>
            <w:r>
              <w:rPr>
                <w:sz w:val="16"/>
              </w:rPr>
              <w:t>P0</w:t>
            </w:r>
          </w:p>
        </w:tc>
        <w:tc>
          <w:tcPr>
            <w:tcW w:type="dxa" w:w="3528"/>
            <w:tcMar>
              <w:top w:w="80" w:type="dxa"/>
              <w:start w:w="120" w:type="dxa"/>
              <w:bottom w:w="80" w:type="dxa"/>
              <w:end w:w="120" w:type="dxa"/>
            </w:tcMar>
            <w:vAlign w:val="center"/>
          </w:tcPr>
          <w:p>
            <w:pPr>
              <w:spacing w:after="40" w:line="252" w:lineRule="auto"/>
            </w:pPr>
            <w:r>
              <w:rPr>
                <w:sz w:val="16"/>
              </w:rPr>
              <w:t>Define content, source, approval and event schemas</w:t>
            </w:r>
          </w:p>
        </w:tc>
        <w:tc>
          <w:tcPr>
            <w:tcW w:type="dxa" w:w="4968"/>
            <w:tcMar>
              <w:top w:w="80" w:type="dxa"/>
              <w:start w:w="120" w:type="dxa"/>
              <w:bottom w:w="80" w:type="dxa"/>
              <w:end w:w="120" w:type="dxa"/>
            </w:tcMar>
            <w:vAlign w:val="center"/>
          </w:tcPr>
          <w:p>
            <w:pPr>
              <w:spacing w:after="40" w:line="252" w:lineRule="auto"/>
            </w:pPr>
            <w:r>
              <w:rPr>
                <w:sz w:val="16"/>
              </w:rPr>
              <w:t>Versioned JSON schemas; sample Golden Lesson 001 record validates</w:t>
            </w:r>
          </w:p>
        </w:tc>
      </w:tr>
      <w:tr>
        <w:trPr>
          <w:cantSplit/>
        </w:trPr>
        <w:tc>
          <w:tcPr>
            <w:tcW w:type="dxa" w:w="864"/>
            <w:tcMar>
              <w:top w:w="80" w:type="dxa"/>
              <w:start w:w="120" w:type="dxa"/>
              <w:bottom w:w="80" w:type="dxa"/>
              <w:end w:w="120" w:type="dxa"/>
            </w:tcMar>
            <w:vAlign w:val="center"/>
          </w:tcPr>
          <w:p>
            <w:pPr>
              <w:spacing w:after="40" w:line="252" w:lineRule="auto"/>
            </w:pPr>
            <w:r>
              <w:rPr>
                <w:sz w:val="16"/>
              </w:rPr>
              <w:t>P0</w:t>
            </w:r>
          </w:p>
        </w:tc>
        <w:tc>
          <w:tcPr>
            <w:tcW w:type="dxa" w:w="3528"/>
            <w:tcMar>
              <w:top w:w="80" w:type="dxa"/>
              <w:start w:w="120" w:type="dxa"/>
              <w:bottom w:w="80" w:type="dxa"/>
              <w:end w:w="120" w:type="dxa"/>
            </w:tcMar>
            <w:vAlign w:val="center"/>
          </w:tcPr>
          <w:p>
            <w:pPr>
              <w:spacing w:after="40" w:line="252" w:lineRule="auto"/>
            </w:pPr>
            <w:r>
              <w:rPr>
                <w:sz w:val="16"/>
              </w:rPr>
              <w:t>Build source packet and calculation fixtures for first 10 assets</w:t>
            </w:r>
          </w:p>
        </w:tc>
        <w:tc>
          <w:tcPr>
            <w:tcW w:type="dxa" w:w="4968"/>
            <w:tcMar>
              <w:top w:w="80" w:type="dxa"/>
              <w:start w:w="120" w:type="dxa"/>
              <w:bottom w:w="80" w:type="dxa"/>
              <w:end w:w="120" w:type="dxa"/>
            </w:tcMar>
            <w:vAlign w:val="center"/>
          </w:tcPr>
          <w:p>
            <w:pPr>
              <w:spacing w:after="40" w:line="252" w:lineRule="auto"/>
            </w:pPr>
            <w:r>
              <w:rPr>
                <w:sz w:val="16"/>
              </w:rPr>
              <w:t>Every claim traceable; deterministic tests pass; proposal/final status visible</w:t>
            </w:r>
          </w:p>
        </w:tc>
      </w:tr>
      <w:tr>
        <w:trPr>
          <w:cantSplit/>
        </w:trPr>
        <w:tc>
          <w:tcPr>
            <w:tcW w:type="dxa" w:w="864"/>
            <w:tcMar>
              <w:top w:w="80" w:type="dxa"/>
              <w:start w:w="120" w:type="dxa"/>
              <w:bottom w:w="80" w:type="dxa"/>
              <w:end w:w="120" w:type="dxa"/>
            </w:tcMar>
            <w:vAlign w:val="center"/>
          </w:tcPr>
          <w:p>
            <w:pPr>
              <w:spacing w:after="40" w:line="252" w:lineRule="auto"/>
            </w:pPr>
            <w:r>
              <w:rPr>
                <w:sz w:val="16"/>
              </w:rPr>
              <w:t>P0</w:t>
            </w:r>
          </w:p>
        </w:tc>
        <w:tc>
          <w:tcPr>
            <w:tcW w:type="dxa" w:w="3528"/>
            <w:tcMar>
              <w:top w:w="80" w:type="dxa"/>
              <w:start w:w="120" w:type="dxa"/>
              <w:bottom w:w="80" w:type="dxa"/>
              <w:end w:w="120" w:type="dxa"/>
            </w:tcMar>
            <w:vAlign w:val="center"/>
          </w:tcPr>
          <w:p>
            <w:pPr>
              <w:spacing w:after="40" w:line="252" w:lineRule="auto"/>
            </w:pPr>
            <w:r>
              <w:rPr>
                <w:sz w:val="16"/>
              </w:rPr>
              <w:t>Launch Basel landing/early access and attribution</w:t>
            </w:r>
          </w:p>
        </w:tc>
        <w:tc>
          <w:tcPr>
            <w:tcW w:type="dxa" w:w="4968"/>
            <w:tcMar>
              <w:top w:w="80" w:type="dxa"/>
              <w:start w:w="120" w:type="dxa"/>
              <w:bottom w:w="80" w:type="dxa"/>
              <w:end w:w="120" w:type="dxa"/>
            </w:tcMar>
            <w:vAlign w:val="center"/>
          </w:tcPr>
          <w:p>
            <w:pPr>
              <w:spacing w:after="40" w:line="252" w:lineRule="auto"/>
            </w:pPr>
            <w:r>
              <w:rPr>
                <w:sz w:val="16"/>
              </w:rPr>
              <w:t>Deep links, consent, content_id/UTM capture, account and activation events verified</w:t>
            </w:r>
          </w:p>
        </w:tc>
      </w:tr>
      <w:tr>
        <w:trPr>
          <w:cantSplit/>
        </w:trPr>
        <w:tc>
          <w:tcPr>
            <w:tcW w:type="dxa" w:w="864"/>
            <w:tcMar>
              <w:top w:w="80" w:type="dxa"/>
              <w:start w:w="120" w:type="dxa"/>
              <w:bottom w:w="80" w:type="dxa"/>
              <w:end w:w="120" w:type="dxa"/>
            </w:tcMar>
            <w:vAlign w:val="center"/>
          </w:tcPr>
          <w:p>
            <w:pPr>
              <w:spacing w:after="40" w:line="252" w:lineRule="auto"/>
            </w:pPr>
            <w:r>
              <w:rPr>
                <w:sz w:val="16"/>
              </w:rPr>
              <w:t>P1</w:t>
            </w:r>
          </w:p>
        </w:tc>
        <w:tc>
          <w:tcPr>
            <w:tcW w:type="dxa" w:w="3528"/>
            <w:tcMar>
              <w:top w:w="80" w:type="dxa"/>
              <w:start w:w="120" w:type="dxa"/>
              <w:bottom w:w="80" w:type="dxa"/>
              <w:end w:w="120" w:type="dxa"/>
            </w:tcMar>
            <w:vAlign w:val="center"/>
          </w:tcPr>
          <w:p>
            <w:pPr>
              <w:spacing w:after="40" w:line="252" w:lineRule="auto"/>
            </w:pPr>
            <w:r>
              <w:rPr>
                <w:sz w:val="16"/>
              </w:rPr>
              <w:t>Produce three cornerstone videos and derivative batch</w:t>
            </w:r>
          </w:p>
        </w:tc>
        <w:tc>
          <w:tcPr>
            <w:tcW w:type="dxa" w:w="4968"/>
            <w:tcMar>
              <w:top w:w="80" w:type="dxa"/>
              <w:start w:w="120" w:type="dxa"/>
              <w:bottom w:w="80" w:type="dxa"/>
              <w:end w:w="120" w:type="dxa"/>
            </w:tcMar>
            <w:vAlign w:val="center"/>
          </w:tcPr>
          <w:p>
            <w:pPr>
              <w:spacing w:after="40" w:line="252" w:lineRule="auto"/>
            </w:pPr>
            <w:r>
              <w:rPr>
                <w:sz w:val="16"/>
              </w:rPr>
              <w:t>Master + channel variants + Arabic tests pass preflight and SME approval</w:t>
            </w:r>
          </w:p>
        </w:tc>
      </w:tr>
      <w:tr>
        <w:trPr>
          <w:cantSplit/>
        </w:trPr>
        <w:tc>
          <w:tcPr>
            <w:tcW w:type="dxa" w:w="864"/>
            <w:tcMar>
              <w:top w:w="80" w:type="dxa"/>
              <w:start w:w="120" w:type="dxa"/>
              <w:bottom w:w="80" w:type="dxa"/>
              <w:end w:w="120" w:type="dxa"/>
            </w:tcMar>
            <w:vAlign w:val="center"/>
          </w:tcPr>
          <w:p>
            <w:pPr>
              <w:spacing w:after="40" w:line="252" w:lineRule="auto"/>
            </w:pPr>
            <w:r>
              <w:rPr>
                <w:sz w:val="16"/>
              </w:rPr>
              <w:t>P1</w:t>
            </w:r>
          </w:p>
        </w:tc>
        <w:tc>
          <w:tcPr>
            <w:tcW w:type="dxa" w:w="3528"/>
            <w:tcMar>
              <w:top w:w="80" w:type="dxa"/>
              <w:start w:w="120" w:type="dxa"/>
              <w:bottom w:w="80" w:type="dxa"/>
              <w:end w:w="120" w:type="dxa"/>
            </w:tcMar>
            <w:vAlign w:val="center"/>
          </w:tcPr>
          <w:p>
            <w:pPr>
              <w:spacing w:after="40" w:line="252" w:lineRule="auto"/>
            </w:pPr>
            <w:r>
              <w:rPr>
                <w:sz w:val="16"/>
              </w:rPr>
              <w:t>Implement workflow board/state machine and approval log</w:t>
            </w:r>
          </w:p>
        </w:tc>
        <w:tc>
          <w:tcPr>
            <w:tcW w:type="dxa" w:w="4968"/>
            <w:tcMar>
              <w:top w:w="80" w:type="dxa"/>
              <w:start w:w="120" w:type="dxa"/>
              <w:bottom w:w="80" w:type="dxa"/>
              <w:end w:w="120" w:type="dxa"/>
            </w:tcMar>
            <w:vAlign w:val="center"/>
          </w:tcPr>
          <w:p>
            <w:pPr>
              <w:spacing w:after="40" w:line="252" w:lineRule="auto"/>
            </w:pPr>
            <w:r>
              <w:rPr>
                <w:sz w:val="16"/>
              </w:rPr>
              <w:t>No publishable asset can bypass reviewer gates; correction flow tested</w:t>
            </w:r>
          </w:p>
        </w:tc>
      </w:tr>
      <w:tr>
        <w:trPr>
          <w:cantSplit/>
        </w:trPr>
        <w:tc>
          <w:tcPr>
            <w:tcW w:type="dxa" w:w="864"/>
            <w:tcMar>
              <w:top w:w="80" w:type="dxa"/>
              <w:start w:w="120" w:type="dxa"/>
              <w:bottom w:w="80" w:type="dxa"/>
              <w:end w:w="120" w:type="dxa"/>
            </w:tcMar>
            <w:vAlign w:val="center"/>
          </w:tcPr>
          <w:p>
            <w:pPr>
              <w:spacing w:after="40" w:line="252" w:lineRule="auto"/>
            </w:pPr>
            <w:r>
              <w:rPr>
                <w:sz w:val="16"/>
              </w:rPr>
              <w:t>P1</w:t>
            </w:r>
          </w:p>
        </w:tc>
        <w:tc>
          <w:tcPr>
            <w:tcW w:type="dxa" w:w="3528"/>
            <w:tcMar>
              <w:top w:w="80" w:type="dxa"/>
              <w:start w:w="120" w:type="dxa"/>
              <w:bottom w:w="80" w:type="dxa"/>
              <w:end w:w="120" w:type="dxa"/>
            </w:tcMar>
            <w:vAlign w:val="center"/>
          </w:tcPr>
          <w:p>
            <w:pPr>
              <w:spacing w:after="40" w:line="252" w:lineRule="auto"/>
            </w:pPr>
            <w:r>
              <w:rPr>
                <w:sz w:val="16"/>
              </w:rPr>
              <w:t>Stand up baseline dashboard</w:t>
            </w:r>
          </w:p>
        </w:tc>
        <w:tc>
          <w:tcPr>
            <w:tcW w:type="dxa" w:w="4968"/>
            <w:tcMar>
              <w:top w:w="80" w:type="dxa"/>
              <w:start w:w="120" w:type="dxa"/>
              <w:bottom w:w="80" w:type="dxa"/>
              <w:end w:w="120" w:type="dxa"/>
            </w:tcMar>
            <w:vAlign w:val="center"/>
          </w:tcPr>
          <w:p>
            <w:pPr>
              <w:spacing w:after="40" w:line="252" w:lineRule="auto"/>
            </w:pPr>
            <w:r>
              <w:rPr>
                <w:sz w:val="16"/>
              </w:rPr>
              <w:t>Content→landing→account→activation joined; data-quality checks documented</w:t>
            </w:r>
          </w:p>
        </w:tc>
      </w:tr>
      <w:tr>
        <w:trPr>
          <w:cantSplit/>
        </w:trPr>
        <w:tc>
          <w:tcPr>
            <w:tcW w:type="dxa" w:w="864"/>
            <w:tcMar>
              <w:top w:w="80" w:type="dxa"/>
              <w:start w:w="120" w:type="dxa"/>
              <w:bottom w:w="80" w:type="dxa"/>
              <w:end w:w="120" w:type="dxa"/>
            </w:tcMar>
            <w:vAlign w:val="center"/>
          </w:tcPr>
          <w:p>
            <w:pPr>
              <w:spacing w:after="40" w:line="252" w:lineRule="auto"/>
            </w:pPr>
            <w:r>
              <w:rPr>
                <w:sz w:val="16"/>
              </w:rPr>
              <w:t>P1</w:t>
            </w:r>
          </w:p>
        </w:tc>
        <w:tc>
          <w:tcPr>
            <w:tcW w:type="dxa" w:w="3528"/>
            <w:tcMar>
              <w:top w:w="80" w:type="dxa"/>
              <w:start w:w="120" w:type="dxa"/>
              <w:bottom w:w="80" w:type="dxa"/>
              <w:end w:w="120" w:type="dxa"/>
            </w:tcMar>
            <w:vAlign w:val="center"/>
          </w:tcPr>
          <w:p>
            <w:pPr>
              <w:spacing w:after="40" w:line="252" w:lineRule="auto"/>
            </w:pPr>
            <w:r>
              <w:rPr>
                <w:sz w:val="16"/>
              </w:rPr>
              <w:t>Build Free Pod MVP</w:t>
            </w:r>
          </w:p>
        </w:tc>
        <w:tc>
          <w:tcPr>
            <w:tcW w:type="dxa" w:w="4968"/>
            <w:tcMar>
              <w:top w:w="80" w:type="dxa"/>
              <w:start w:w="120" w:type="dxa"/>
              <w:bottom w:w="80" w:type="dxa"/>
              <w:end w:w="120" w:type="dxa"/>
            </w:tcMar>
            <w:vAlign w:val="center"/>
          </w:tcPr>
          <w:p>
            <w:pPr>
              <w:spacing w:after="40" w:line="252" w:lineRule="auto"/>
            </w:pPr>
            <w:r>
              <w:rPr>
                <w:sz w:val="16"/>
              </w:rPr>
              <w:t>Corporate example, tutor touch, calculator and assessment produce activation events</w:t>
            </w:r>
          </w:p>
        </w:tc>
      </w:tr>
      <w:tr>
        <w:trPr>
          <w:cantSplit/>
        </w:trPr>
        <w:tc>
          <w:tcPr>
            <w:tcW w:type="dxa" w:w="864"/>
            <w:tcMar>
              <w:top w:w="80" w:type="dxa"/>
              <w:start w:w="120" w:type="dxa"/>
              <w:bottom w:w="80" w:type="dxa"/>
              <w:end w:w="120" w:type="dxa"/>
            </w:tcMar>
            <w:vAlign w:val="center"/>
          </w:tcPr>
          <w:p>
            <w:pPr>
              <w:spacing w:after="40" w:line="252" w:lineRule="auto"/>
            </w:pPr>
            <w:r>
              <w:rPr>
                <w:sz w:val="16"/>
              </w:rPr>
              <w:t>P2</w:t>
            </w:r>
          </w:p>
        </w:tc>
        <w:tc>
          <w:tcPr>
            <w:tcW w:type="dxa" w:w="3528"/>
            <w:tcMar>
              <w:top w:w="80" w:type="dxa"/>
              <w:start w:w="120" w:type="dxa"/>
              <w:bottom w:w="80" w:type="dxa"/>
              <w:end w:w="120" w:type="dxa"/>
            </w:tcMar>
            <w:vAlign w:val="center"/>
          </w:tcPr>
          <w:p>
            <w:pPr>
              <w:spacing w:after="40" w:line="252" w:lineRule="auto"/>
            </w:pPr>
            <w:r>
              <w:rPr>
                <w:sz w:val="16"/>
              </w:rPr>
              <w:t>Launch newsletter and lifecycle automation</w:t>
            </w:r>
          </w:p>
        </w:tc>
        <w:tc>
          <w:tcPr>
            <w:tcW w:type="dxa" w:w="4968"/>
            <w:tcMar>
              <w:top w:w="80" w:type="dxa"/>
              <w:start w:w="120" w:type="dxa"/>
              <w:bottom w:w="80" w:type="dxa"/>
              <w:end w:w="120" w:type="dxa"/>
            </w:tcMar>
            <w:vAlign w:val="center"/>
          </w:tcPr>
          <w:p>
            <w:pPr>
              <w:spacing w:after="40" w:line="252" w:lineRule="auto"/>
            </w:pPr>
            <w:r>
              <w:rPr>
                <w:sz w:val="16"/>
              </w:rPr>
              <w:t>Consent-compliant sequences; unsubscribe and preference management verified</w:t>
            </w:r>
          </w:p>
        </w:tc>
      </w:tr>
      <w:tr>
        <w:trPr>
          <w:cantSplit/>
        </w:trPr>
        <w:tc>
          <w:tcPr>
            <w:tcW w:type="dxa" w:w="864"/>
            <w:tcMar>
              <w:top w:w="80" w:type="dxa"/>
              <w:start w:w="120" w:type="dxa"/>
              <w:bottom w:w="80" w:type="dxa"/>
              <w:end w:w="120" w:type="dxa"/>
            </w:tcMar>
            <w:vAlign w:val="center"/>
          </w:tcPr>
          <w:p>
            <w:pPr>
              <w:spacing w:after="40" w:line="252" w:lineRule="auto"/>
            </w:pPr>
            <w:r>
              <w:rPr>
                <w:sz w:val="16"/>
              </w:rPr>
              <w:t>P2</w:t>
            </w:r>
          </w:p>
        </w:tc>
        <w:tc>
          <w:tcPr>
            <w:tcW w:type="dxa" w:w="3528"/>
            <w:tcMar>
              <w:top w:w="80" w:type="dxa"/>
              <w:start w:w="120" w:type="dxa"/>
              <w:bottom w:w="80" w:type="dxa"/>
              <w:end w:w="120" w:type="dxa"/>
            </w:tcMar>
            <w:vAlign w:val="center"/>
          </w:tcPr>
          <w:p>
            <w:pPr>
              <w:spacing w:after="40" w:line="252" w:lineRule="auto"/>
            </w:pPr>
            <w:r>
              <w:rPr>
                <w:sz w:val="16"/>
              </w:rPr>
              <w:t>Pilot enterprise diagnostic and roundtable</w:t>
            </w:r>
          </w:p>
        </w:tc>
        <w:tc>
          <w:tcPr>
            <w:tcW w:type="dxa" w:w="4968"/>
            <w:tcMar>
              <w:top w:w="80" w:type="dxa"/>
              <w:start w:w="120" w:type="dxa"/>
              <w:bottom w:w="80" w:type="dxa"/>
              <w:end w:w="120" w:type="dxa"/>
            </w:tcMar>
            <w:vAlign w:val="center"/>
          </w:tcPr>
          <w:p>
            <w:pPr>
              <w:spacing w:after="40" w:line="252" w:lineRule="auto"/>
            </w:pPr>
            <w:r>
              <w:rPr>
                <w:sz w:val="16"/>
              </w:rPr>
              <w:t>Qualification rubric, CRM routing, pilot template and outcome scorecard</w:t>
            </w:r>
          </w:p>
        </w:tc>
      </w:tr>
      <w:tr>
        <w:trPr>
          <w:cantSplit/>
        </w:trPr>
        <w:tc>
          <w:tcPr>
            <w:tcW w:type="dxa" w:w="864"/>
            <w:tcMar>
              <w:top w:w="80" w:type="dxa"/>
              <w:start w:w="120" w:type="dxa"/>
              <w:bottom w:w="80" w:type="dxa"/>
              <w:end w:w="120" w:type="dxa"/>
            </w:tcMar>
            <w:vAlign w:val="center"/>
          </w:tcPr>
          <w:p>
            <w:pPr>
              <w:spacing w:after="40" w:line="252" w:lineRule="auto"/>
            </w:pPr>
            <w:r>
              <w:rPr>
                <w:sz w:val="16"/>
              </w:rPr>
              <w:t>P2</w:t>
            </w:r>
          </w:p>
        </w:tc>
        <w:tc>
          <w:tcPr>
            <w:tcW w:type="dxa" w:w="3528"/>
            <w:tcMar>
              <w:top w:w="80" w:type="dxa"/>
              <w:start w:w="120" w:type="dxa"/>
              <w:bottom w:w="80" w:type="dxa"/>
              <w:end w:w="120" w:type="dxa"/>
            </w:tcMar>
            <w:vAlign w:val="center"/>
          </w:tcPr>
          <w:p>
            <w:pPr>
              <w:spacing w:after="40" w:line="252" w:lineRule="auto"/>
            </w:pPr>
            <w:r>
              <w:rPr>
                <w:sz w:val="16"/>
              </w:rPr>
              <w:t>Review day-30/60/90 evidence and lock scale decisions</w:t>
            </w:r>
          </w:p>
        </w:tc>
        <w:tc>
          <w:tcPr>
            <w:tcW w:type="dxa" w:w="4968"/>
            <w:tcMar>
              <w:top w:w="80" w:type="dxa"/>
              <w:start w:w="120" w:type="dxa"/>
              <w:bottom w:w="80" w:type="dxa"/>
              <w:end w:w="120" w:type="dxa"/>
            </w:tcMar>
            <w:vAlign w:val="center"/>
          </w:tcPr>
          <w:p>
            <w:pPr>
              <w:spacing w:after="40" w:line="252" w:lineRule="auto"/>
            </w:pPr>
            <w:r>
              <w:rPr>
                <w:sz w:val="16"/>
              </w:rPr>
              <w:t>Decision log: formats, languages, channels, topics, spend and hiring</w:t>
            </w:r>
          </w:p>
        </w:tc>
      </w:tr>
    </w:tbl>
    <w:p>
      <w:pPr>
        <w:spacing w:after="40"/>
      </w:pPr>
    </w:p>
    <w:p>
      <w:pPr>
        <w:pStyle w:val="Heading2"/>
      </w:pPr>
      <w:r>
        <w:t>Definition of done for the first release</w:t>
      </w:r>
    </w:p>
    <w:p>
      <w:pPr>
        <w:pStyle w:val="ListBullet"/>
        <w:spacing w:after="80"/>
      </w:pPr>
      <w:r>
        <w:t>At least 10 useful public Basel assets are live across the priority channels and derive from approved source packets.</w:t>
      </w:r>
    </w:p>
    <w:p>
      <w:pPr>
        <w:pStyle w:val="ListBullet"/>
        <w:spacing w:after="80"/>
      </w:pPr>
      <w:r>
        <w:t>Every asset has a canonical content ID, one CTA, a destination, attribution, owner, reviewer, published manifest, review date, and correction path.</w:t>
      </w:r>
    </w:p>
    <w:p>
      <w:pPr>
        <w:pStyle w:val="ListBullet"/>
        <w:spacing w:after="80"/>
      </w:pPr>
      <w:r>
        <w:t>The landing page and Free Pod provide a coherent context-preserving path into a real product action.</w:t>
      </w:r>
    </w:p>
    <w:p>
      <w:pPr>
        <w:pStyle w:val="ListBullet"/>
        <w:spacing w:after="80"/>
      </w:pPr>
      <w:r>
        <w:t>Analytics can report content → click → signup → activation, segmented by language, channel, content ID, and franchise.</w:t>
      </w:r>
    </w:p>
    <w:p>
      <w:pPr>
        <w:pStyle w:val="ListBullet"/>
        <w:spacing w:after="80"/>
      </w:pPr>
      <w:r>
        <w:t>English and Arabic terminology, subtitle, pronunciation, and RTL checks are documented and used.</w:t>
      </w:r>
    </w:p>
    <w:p>
      <w:pPr>
        <w:pStyle w:val="ListBullet"/>
        <w:spacing w:after="80"/>
      </w:pPr>
      <w:r>
        <w:t>The team can publish, pause, correct, refresh, and retire an asset without losing audit history.</w:t>
      </w:r>
    </w:p>
    <w:p>
      <w:pPr>
        <w:pStyle w:val="ListBullet"/>
        <w:spacing w:after="80"/>
      </w:pPr>
      <w:r>
        <w:t>A day-30 review identifies at least two supported product insights and one next experiment; day-90 review produces an explicit scale/pivot decision.</w:t>
      </w:r>
    </w:p>
    <w:p>
      <w:pPr>
        <w:pStyle w:val="Heading1"/>
      </w:pPr>
      <w:r>
        <w:t>Appendix A. Canonical content brief</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E8EEF5"/>
            <w:tcMar>
              <w:top w:w="80" w:type="dxa"/>
              <w:start w:w="120" w:type="dxa"/>
              <w:bottom w:w="80" w:type="dxa"/>
              <w:end w:w="120" w:type="dxa"/>
            </w:tcMar>
            <w:vAlign w:val="center"/>
          </w:tcPr>
          <w:p>
            <w:r>
              <w:rPr>
                <w:b/>
                <w:color w:val="0B2545"/>
                <w:sz w:val="18"/>
              </w:rPr>
              <w:t>Field</w:t>
            </w:r>
          </w:p>
        </w:tc>
        <w:tc>
          <w:tcPr>
            <w:tcW w:type="dxa" w:w="7560"/>
            <w:shd w:fill="E8EEF5"/>
            <w:tcMar>
              <w:top w:w="80" w:type="dxa"/>
              <w:start w:w="120" w:type="dxa"/>
              <w:bottom w:w="80" w:type="dxa"/>
              <w:end w:w="120" w:type="dxa"/>
            </w:tcMar>
            <w:vAlign w:val="center"/>
          </w:tcPr>
          <w:p>
            <w:r>
              <w:rPr>
                <w:b/>
                <w:color w:val="0B2545"/>
                <w:sz w:val="18"/>
              </w:rPr>
              <w:t>Required value</w:t>
            </w:r>
          </w:p>
        </w:tc>
      </w:tr>
      <w:tr>
        <w:trPr>
          <w:cantSplit/>
        </w:trPr>
        <w:tc>
          <w:tcPr>
            <w:tcW w:type="dxa" w:w="1800"/>
            <w:tcMar>
              <w:top w:w="80" w:type="dxa"/>
              <w:start w:w="120" w:type="dxa"/>
              <w:bottom w:w="80" w:type="dxa"/>
              <w:end w:w="120" w:type="dxa"/>
            </w:tcMar>
            <w:vAlign w:val="center"/>
          </w:tcPr>
          <w:p>
            <w:pPr>
              <w:spacing w:after="40" w:line="252" w:lineRule="auto"/>
            </w:pPr>
            <w:r>
              <w:rPr>
                <w:sz w:val="18"/>
              </w:rPr>
              <w:t>Identity</w:t>
            </w:r>
          </w:p>
        </w:tc>
        <w:tc>
          <w:tcPr>
            <w:tcW w:type="dxa" w:w="7560"/>
            <w:tcMar>
              <w:top w:w="80" w:type="dxa"/>
              <w:start w:w="120" w:type="dxa"/>
              <w:bottom w:w="80" w:type="dxa"/>
              <w:end w:w="120" w:type="dxa"/>
            </w:tcMar>
            <w:vAlign w:val="center"/>
          </w:tcPr>
          <w:p>
            <w:pPr>
              <w:spacing w:after="40" w:line="252" w:lineRule="auto"/>
            </w:pPr>
            <w:r>
              <w:rPr>
                <w:sz w:val="18"/>
              </w:rPr>
              <w:t>content_id, title, franchise, parent lesson, version, owner, status</w:t>
            </w:r>
          </w:p>
        </w:tc>
      </w:tr>
      <w:tr>
        <w:trPr>
          <w:cantSplit/>
        </w:trPr>
        <w:tc>
          <w:tcPr>
            <w:tcW w:type="dxa" w:w="1800"/>
            <w:tcMar>
              <w:top w:w="80" w:type="dxa"/>
              <w:start w:w="120" w:type="dxa"/>
              <w:bottom w:w="80" w:type="dxa"/>
              <w:end w:w="120" w:type="dxa"/>
            </w:tcMar>
            <w:vAlign w:val="center"/>
          </w:tcPr>
          <w:p>
            <w:pPr>
              <w:spacing w:after="40" w:line="252" w:lineRule="auto"/>
            </w:pPr>
            <w:r>
              <w:rPr>
                <w:sz w:val="18"/>
              </w:rPr>
              <w:t>Audience</w:t>
            </w:r>
          </w:p>
        </w:tc>
        <w:tc>
          <w:tcPr>
            <w:tcW w:type="dxa" w:w="7560"/>
            <w:tcMar>
              <w:top w:w="80" w:type="dxa"/>
              <w:start w:w="120" w:type="dxa"/>
              <w:bottom w:w="80" w:type="dxa"/>
              <w:end w:w="120" w:type="dxa"/>
            </w:tcMar>
            <w:vAlign w:val="center"/>
          </w:tcPr>
          <w:p>
            <w:pPr>
              <w:spacing w:after="40" w:line="252" w:lineRule="auto"/>
            </w:pPr>
            <w:r>
              <w:rPr>
                <w:sz w:val="18"/>
              </w:rPr>
              <w:t>persona, jurisdiction, language, knowledge level, job-to-be-done</w:t>
            </w:r>
          </w:p>
        </w:tc>
      </w:tr>
      <w:tr>
        <w:trPr>
          <w:cantSplit/>
        </w:trPr>
        <w:tc>
          <w:tcPr>
            <w:tcW w:type="dxa" w:w="1800"/>
            <w:tcMar>
              <w:top w:w="80" w:type="dxa"/>
              <w:start w:w="120" w:type="dxa"/>
              <w:bottom w:w="80" w:type="dxa"/>
              <w:end w:w="120" w:type="dxa"/>
            </w:tcMar>
            <w:vAlign w:val="center"/>
          </w:tcPr>
          <w:p>
            <w:pPr>
              <w:spacing w:after="40" w:line="252" w:lineRule="auto"/>
            </w:pPr>
            <w:r>
              <w:rPr>
                <w:sz w:val="18"/>
              </w:rPr>
              <w:t>Learning</w:t>
            </w:r>
          </w:p>
        </w:tc>
        <w:tc>
          <w:tcPr>
            <w:tcW w:type="dxa" w:w="7560"/>
            <w:tcMar>
              <w:top w:w="80" w:type="dxa"/>
              <w:start w:w="120" w:type="dxa"/>
              <w:bottom w:w="80" w:type="dxa"/>
              <w:end w:w="120" w:type="dxa"/>
            </w:tcMar>
            <w:vAlign w:val="center"/>
          </w:tcPr>
          <w:p>
            <w:pPr>
              <w:spacing w:after="40" w:line="252" w:lineRule="auto"/>
            </w:pPr>
            <w:r>
              <w:rPr>
                <w:sz w:val="18"/>
              </w:rPr>
              <w:t>one outcome, misconception, worked/practice element, desired behavior</w:t>
            </w:r>
          </w:p>
        </w:tc>
      </w:tr>
      <w:tr>
        <w:trPr>
          <w:cantSplit/>
        </w:trPr>
        <w:tc>
          <w:tcPr>
            <w:tcW w:type="dxa" w:w="1800"/>
            <w:tcMar>
              <w:top w:w="80" w:type="dxa"/>
              <w:start w:w="120" w:type="dxa"/>
              <w:bottom w:w="80" w:type="dxa"/>
              <w:end w:w="120" w:type="dxa"/>
            </w:tcMar>
            <w:vAlign w:val="center"/>
          </w:tcPr>
          <w:p>
            <w:pPr>
              <w:spacing w:after="40" w:line="252" w:lineRule="auto"/>
            </w:pPr>
            <w:r>
              <w:rPr>
                <w:sz w:val="18"/>
              </w:rPr>
              <w:t>Claims</w:t>
            </w:r>
          </w:p>
        </w:tc>
        <w:tc>
          <w:tcPr>
            <w:tcW w:type="dxa" w:w="7560"/>
            <w:tcMar>
              <w:top w:w="80" w:type="dxa"/>
              <w:start w:w="120" w:type="dxa"/>
              <w:bottom w:w="80" w:type="dxa"/>
              <w:end w:w="120" w:type="dxa"/>
            </w:tcMar>
            <w:vAlign w:val="center"/>
          </w:tcPr>
          <w:p>
            <w:pPr>
              <w:spacing w:after="40" w:line="252" w:lineRule="auto"/>
            </w:pPr>
            <w:r>
              <w:rPr>
                <w:sz w:val="18"/>
              </w:rPr>
              <w:t>claim IDs, official source IDs/locators, status/effective date, uncertainty</w:t>
            </w:r>
          </w:p>
        </w:tc>
      </w:tr>
      <w:tr>
        <w:trPr>
          <w:cantSplit/>
        </w:trPr>
        <w:tc>
          <w:tcPr>
            <w:tcW w:type="dxa" w:w="1800"/>
            <w:tcMar>
              <w:top w:w="80" w:type="dxa"/>
              <w:start w:w="120" w:type="dxa"/>
              <w:bottom w:w="80" w:type="dxa"/>
              <w:end w:w="120" w:type="dxa"/>
            </w:tcMar>
            <w:vAlign w:val="center"/>
          </w:tcPr>
          <w:p>
            <w:pPr>
              <w:spacing w:after="40" w:line="252" w:lineRule="auto"/>
            </w:pPr>
            <w:r>
              <w:rPr>
                <w:sz w:val="18"/>
              </w:rPr>
              <w:t>Calculation</w:t>
            </w:r>
          </w:p>
        </w:tc>
        <w:tc>
          <w:tcPr>
            <w:tcW w:type="dxa" w:w="7560"/>
            <w:tcMar>
              <w:top w:w="80" w:type="dxa"/>
              <w:start w:w="120" w:type="dxa"/>
              <w:bottom w:w="80" w:type="dxa"/>
              <w:end w:w="120" w:type="dxa"/>
            </w:tcMar>
            <w:vAlign w:val="center"/>
          </w:tcPr>
          <w:p>
            <w:pPr>
              <w:spacing w:after="40" w:line="252" w:lineRule="auto"/>
            </w:pPr>
            <w:r>
              <w:rPr>
                <w:sz w:val="18"/>
              </w:rPr>
              <w:t>fixture ID, inputs, units, formula path, expected output, rounding</w:t>
            </w:r>
          </w:p>
        </w:tc>
      </w:tr>
      <w:tr>
        <w:trPr>
          <w:cantSplit/>
        </w:trPr>
        <w:tc>
          <w:tcPr>
            <w:tcW w:type="dxa" w:w="1800"/>
            <w:tcMar>
              <w:top w:w="80" w:type="dxa"/>
              <w:start w:w="120" w:type="dxa"/>
              <w:bottom w:w="80" w:type="dxa"/>
              <w:end w:w="120" w:type="dxa"/>
            </w:tcMar>
            <w:vAlign w:val="center"/>
          </w:tcPr>
          <w:p>
            <w:pPr>
              <w:spacing w:after="40" w:line="252" w:lineRule="auto"/>
            </w:pPr>
            <w:r>
              <w:rPr>
                <w:sz w:val="18"/>
              </w:rPr>
              <w:t>Production</w:t>
            </w:r>
          </w:p>
        </w:tc>
        <w:tc>
          <w:tcPr>
            <w:tcW w:type="dxa" w:w="7560"/>
            <w:tcMar>
              <w:top w:w="80" w:type="dxa"/>
              <w:start w:w="120" w:type="dxa"/>
              <w:bottom w:w="80" w:type="dxa"/>
              <w:end w:w="120" w:type="dxa"/>
            </w:tcMar>
            <w:vAlign w:val="center"/>
          </w:tcPr>
          <w:p>
            <w:pPr>
              <w:spacing w:after="40" w:line="252" w:lineRule="auto"/>
            </w:pPr>
            <w:r>
              <w:rPr>
                <w:sz w:val="18"/>
              </w:rPr>
              <w:t>master format, derivatives, narrator/avatar/voice, asset provenance, rights</w:t>
            </w:r>
          </w:p>
        </w:tc>
      </w:tr>
      <w:tr>
        <w:trPr>
          <w:cantSplit/>
        </w:trPr>
        <w:tc>
          <w:tcPr>
            <w:tcW w:type="dxa" w:w="1800"/>
            <w:tcMar>
              <w:top w:w="80" w:type="dxa"/>
              <w:start w:w="120" w:type="dxa"/>
              <w:bottom w:w="80" w:type="dxa"/>
              <w:end w:w="120" w:type="dxa"/>
            </w:tcMar>
            <w:vAlign w:val="center"/>
          </w:tcPr>
          <w:p>
            <w:pPr>
              <w:spacing w:after="40" w:line="252" w:lineRule="auto"/>
            </w:pPr>
            <w:r>
              <w:rPr>
                <w:sz w:val="18"/>
              </w:rPr>
              <w:t>Conversion</w:t>
            </w:r>
          </w:p>
        </w:tc>
        <w:tc>
          <w:tcPr>
            <w:tcW w:type="dxa" w:w="7560"/>
            <w:tcMar>
              <w:top w:w="80" w:type="dxa"/>
              <w:start w:w="120" w:type="dxa"/>
              <w:bottom w:w="80" w:type="dxa"/>
              <w:end w:w="120" w:type="dxa"/>
            </w:tcMar>
            <w:vAlign w:val="center"/>
          </w:tcPr>
          <w:p>
            <w:pPr>
              <w:spacing w:after="40" w:line="252" w:lineRule="auto"/>
            </w:pPr>
            <w:r>
              <w:rPr>
                <w:sz w:val="18"/>
              </w:rPr>
              <w:t>one CTA, destination, offer, campaign/content parameters</w:t>
            </w:r>
          </w:p>
        </w:tc>
      </w:tr>
      <w:tr>
        <w:trPr>
          <w:cantSplit/>
        </w:trPr>
        <w:tc>
          <w:tcPr>
            <w:tcW w:type="dxa" w:w="1800"/>
            <w:tcMar>
              <w:top w:w="80" w:type="dxa"/>
              <w:start w:w="120" w:type="dxa"/>
              <w:bottom w:w="80" w:type="dxa"/>
              <w:end w:w="120" w:type="dxa"/>
            </w:tcMar>
            <w:vAlign w:val="center"/>
          </w:tcPr>
          <w:p>
            <w:pPr>
              <w:spacing w:after="40" w:line="252" w:lineRule="auto"/>
            </w:pPr>
            <w:r>
              <w:rPr>
                <w:sz w:val="18"/>
              </w:rPr>
              <w:t>Review</w:t>
            </w:r>
          </w:p>
        </w:tc>
        <w:tc>
          <w:tcPr>
            <w:tcW w:type="dxa" w:w="7560"/>
            <w:tcMar>
              <w:top w:w="80" w:type="dxa"/>
              <w:start w:w="120" w:type="dxa"/>
              <w:bottom w:w="80" w:type="dxa"/>
              <w:end w:w="120" w:type="dxa"/>
            </w:tcMar>
            <w:vAlign w:val="center"/>
          </w:tcPr>
          <w:p>
            <w:pPr>
              <w:spacing w:after="40" w:line="252" w:lineRule="auto"/>
            </w:pPr>
            <w:r>
              <w:rPr>
                <w:sz w:val="18"/>
              </w:rPr>
              <w:t>SME, learning, localization, legal/compliance, publisher approvals</w:t>
            </w:r>
          </w:p>
        </w:tc>
      </w:tr>
      <w:tr>
        <w:trPr>
          <w:cantSplit/>
        </w:trPr>
        <w:tc>
          <w:tcPr>
            <w:tcW w:type="dxa" w:w="1800"/>
            <w:tcMar>
              <w:top w:w="80" w:type="dxa"/>
              <w:start w:w="120" w:type="dxa"/>
              <w:bottom w:w="80" w:type="dxa"/>
              <w:end w:w="120" w:type="dxa"/>
            </w:tcMar>
            <w:vAlign w:val="center"/>
          </w:tcPr>
          <w:p>
            <w:pPr>
              <w:spacing w:after="40" w:line="252" w:lineRule="auto"/>
            </w:pPr>
            <w:r>
              <w:rPr>
                <w:sz w:val="18"/>
              </w:rPr>
              <w:t>Measurement</w:t>
            </w:r>
          </w:p>
        </w:tc>
        <w:tc>
          <w:tcPr>
            <w:tcW w:type="dxa" w:w="7560"/>
            <w:tcMar>
              <w:top w:w="80" w:type="dxa"/>
              <w:start w:w="120" w:type="dxa"/>
              <w:bottom w:w="80" w:type="dxa"/>
              <w:end w:w="120" w:type="dxa"/>
            </w:tcMar>
            <w:vAlign w:val="center"/>
          </w:tcPr>
          <w:p>
            <w:pPr>
              <w:spacing w:after="40" w:line="252" w:lineRule="auto"/>
            </w:pPr>
            <w:r>
              <w:rPr>
                <w:sz w:val="18"/>
              </w:rPr>
              <w:t>hypothesis, primary KPI, guardrails, observation window</w:t>
            </w:r>
          </w:p>
        </w:tc>
      </w:tr>
      <w:tr>
        <w:trPr>
          <w:cantSplit/>
        </w:trPr>
        <w:tc>
          <w:tcPr>
            <w:tcW w:type="dxa" w:w="1800"/>
            <w:tcMar>
              <w:top w:w="80" w:type="dxa"/>
              <w:start w:w="120" w:type="dxa"/>
              <w:bottom w:w="80" w:type="dxa"/>
              <w:end w:w="120" w:type="dxa"/>
            </w:tcMar>
            <w:vAlign w:val="center"/>
          </w:tcPr>
          <w:p>
            <w:pPr>
              <w:spacing w:after="40" w:line="252" w:lineRule="auto"/>
            </w:pPr>
            <w:r>
              <w:rPr>
                <w:sz w:val="18"/>
              </w:rPr>
              <w:t>Lifecycle</w:t>
            </w:r>
          </w:p>
        </w:tc>
        <w:tc>
          <w:tcPr>
            <w:tcW w:type="dxa" w:w="7560"/>
            <w:tcMar>
              <w:top w:w="80" w:type="dxa"/>
              <w:start w:w="120" w:type="dxa"/>
              <w:bottom w:w="80" w:type="dxa"/>
              <w:end w:w="120" w:type="dxa"/>
            </w:tcMar>
            <w:vAlign w:val="center"/>
          </w:tcPr>
          <w:p>
            <w:pPr>
              <w:spacing w:after="40" w:line="252" w:lineRule="auto"/>
            </w:pPr>
            <w:r>
              <w:rPr>
                <w:sz w:val="18"/>
              </w:rPr>
              <w:t>publish date, next review, expiration, correction/retirement links</w:t>
            </w:r>
          </w:p>
        </w:tc>
      </w:tr>
    </w:tbl>
    <w:p>
      <w:pPr>
        <w:spacing w:after="40"/>
      </w:pPr>
    </w:p>
    <w:p>
      <w:pPr>
        <w:pStyle w:val="Heading1"/>
      </w:pPr>
      <w:r>
        <w:t>Appendix B. Publish preflight checklist</w:t>
      </w:r>
    </w:p>
    <w:p>
      <w:pPr>
        <w:pStyle w:val="ListBullet"/>
        <w:spacing w:after="80"/>
      </w:pPr>
      <w:r>
        <w:t>Claim and source links resolve; jurisdiction and status labels are on-screen where needed.</w:t>
      </w:r>
    </w:p>
    <w:p>
      <w:pPr>
        <w:pStyle w:val="ListBullet"/>
        <w:spacing w:after="80"/>
      </w:pPr>
      <w:r>
        <w:t>Calculation matches approved fixture and shows assumptions/units.</w:t>
      </w:r>
    </w:p>
    <w:p>
      <w:pPr>
        <w:pStyle w:val="ListBullet"/>
        <w:spacing w:after="80"/>
      </w:pPr>
      <w:r>
        <w:t>Title/hook is accurate; no guarantee, endorsement, or urgency is fabricated.</w:t>
      </w:r>
    </w:p>
    <w:p>
      <w:pPr>
        <w:pStyle w:val="ListBullet"/>
        <w:spacing w:after="80"/>
      </w:pPr>
      <w:r>
        <w:t>Captions, transcript, contrast, reading order, alt text and audio intelligibility pass.</w:t>
      </w:r>
    </w:p>
    <w:p>
      <w:pPr>
        <w:pStyle w:val="ListBullet"/>
        <w:spacing w:after="80"/>
      </w:pPr>
      <w:r>
        <w:t>Arabic terminology, pronunciation, subtitle direction/timing and layout pass when applicable.</w:t>
      </w:r>
    </w:p>
    <w:p>
      <w:pPr>
        <w:pStyle w:val="ListBullet"/>
        <w:spacing w:after="80"/>
      </w:pPr>
      <w:r>
        <w:t>Rights, consent, voice/avatar, music, stock, regulator marks and generative provenance are cleared.</w:t>
      </w:r>
    </w:p>
    <w:p>
      <w:pPr>
        <w:pStyle w:val="ListBullet"/>
        <w:spacing w:after="80"/>
      </w:pPr>
      <w:r>
        <w:t>Disclaimer is present at the appropriate level; proposal/final/in-force status is not buried.</w:t>
      </w:r>
    </w:p>
    <w:p>
      <w:pPr>
        <w:pStyle w:val="ListBullet"/>
        <w:spacing w:after="80"/>
      </w:pPr>
      <w:r>
        <w:t>CTA, deep link, campaign parameters, landing continuity, consent and analytics events work.</w:t>
      </w:r>
    </w:p>
    <w:p>
      <w:pPr>
        <w:pStyle w:val="ListBullet"/>
        <w:spacing w:after="80"/>
      </w:pPr>
      <w:r>
        <w:t>Platform crop, thumbnail, safe zones, description, pinned comment, moderation plan and publish time are approved.</w:t>
      </w:r>
    </w:p>
    <w:p>
      <w:pPr>
        <w:pStyle w:val="ListBullet"/>
        <w:spacing w:after="80"/>
      </w:pPr>
      <w:r>
        <w:t>Published manifest, hash, reviewer decisions, review date and incident contact are stored.</w:t>
      </w:r>
    </w:p>
    <w:p>
      <w:pPr>
        <w:pStyle w:val="Heading1"/>
      </w:pPr>
      <w:r>
        <w:t>Appendix C. Strategic decision</w:t>
      </w:r>
    </w:p>
    <w:p>
      <w:pPr>
        <w:pStyle w:val="LeadCallout"/>
      </w:pPr>
      <w:r>
        <w:t>Launch public Basel content now, in parallel with the Golden Lesson build, using the same governed knowledge and media pipeline. Keep Financial Pods as one product and one brand. The Growth Engine teaches enough to create trust and demand; the Free Pod proves the experience; paid and enterprise offerings develop and demonstrate competency.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Financial Pods • Content Growth and Publishing Strategy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B6573"/>
        <w:sz w:val="16"/>
      </w:rPr>
      <w:t>FINANCIAL PODS  |  GROWTH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basedOn w:val="Normal"/>
    <w:pPr>
      <w:spacing w:before="120" w:after="160"/>
      <w:ind w:left="259" w:right="173"/>
    </w:pPr>
  </w:style>
  <w:style w:type="paragraph" w:customStyle="1" w:styleId="NoteBox">
    <w:name w:val="Note Box"/>
    <w:basedOn w:val="Normal"/>
    <w:pPr>
      <w:spacing w:before="120" w:after="160"/>
      <w:ind w:left="259" w:right="173"/>
    </w:pPr>
  </w:style>
  <w:style w:type="paragraph" w:customStyle="1" w:styleId="CodeBlock">
    <w:name w:val="Code Block"/>
    <w:basedOn w:val="Normal"/>
    <w:pPr>
      <w:spacing w:before="120" w:after="160"/>
      <w:ind w:left="259"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Pods Content Growth and Publishing Strategy</dc:title>
  <dc:subject>Basel-first Growth Engine, social publishing, funnel, governance, architecture and implementation plan</dc:subject>
  <dc:creator>Financial Pods</dc:creator>
  <cp:keywords>Financial Pods, Basel, growth engine, YouTube, Instagram, X, LinkedIn, Arabic, content strategy</cp:keywords>
  <dc:description>generated by python-docx</dc:description>
  <cp:lastModifiedBy/>
  <cp:revision>1</cp:revision>
  <dcterms:created xsi:type="dcterms:W3CDTF">2013-12-23T23:15:00Z</dcterms:created>
  <dcterms:modified xsi:type="dcterms:W3CDTF">2013-12-23T23:15:00Z</dcterms:modified>
  <cp:category/>
</cp:coreProperties>
</file>