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7972E90">
      <w:pPr>
        <w:pStyle w:val="style179"/>
        <w:numPr>
          <w:ilvl w:val="0"/>
          <w:numId w:val="1"/>
        </w:numPr>
        <w:spacing w:before="100" w:beforeAutospacing="true" w:after="100" w:afterAutospacing="true"/>
        <w:ind w:left="426" w:hanging="426"/>
        <w:jc w:val="both"/>
        <w:outlineLvl w:val="2"/>
        <w:rPr>
          <w:b/>
          <w:bCs/>
          <w:color w:val="000000"/>
        </w:rPr>
      </w:pPr>
      <w:r>
        <w:rPr>
          <w:b/>
          <w:bCs/>
          <w:color w:val="000000"/>
        </w:rPr>
        <w:t>Cold-Chain Logistics Integrity Platform (Food &amp; Pharma Distribution)</w:t>
      </w:r>
    </w:p>
    <w:p w14:paraId="5DE2395B">
      <w:pPr>
        <w:pStyle w:val="style0"/>
        <w:spacing w:before="100" w:beforeAutospacing="true" w:after="100" w:afterAutospacing="true"/>
        <w:jc w:val="both"/>
        <w:outlineLvl w:val="1"/>
        <w:rPr>
          <w:b/>
          <w:bCs/>
          <w:color w:val="000000"/>
        </w:rPr>
      </w:pPr>
      <w:r>
        <w:rPr>
          <w:b/>
          <w:bCs/>
          <w:color w:val="000000"/>
        </w:rPr>
        <w:t>Industry Context</w:t>
      </w:r>
    </w:p>
    <w:p w14:paraId="4ABF393E">
      <w:pPr>
        <w:pStyle w:val="style0"/>
        <w:spacing w:before="100" w:beforeAutospacing="true" w:after="100" w:afterAutospacing="true"/>
        <w:jc w:val="both"/>
        <w:rPr>
          <w:color w:val="000000"/>
        </w:rPr>
      </w:pPr>
      <w:r>
        <w:rPr>
          <w:color w:val="000000"/>
        </w:rPr>
        <w:t>The global food and pharmaceutical supply chains depend heavily on cold-chain logistics to preserve product quality, safety, and regulatory compliance. Products such as vaccines, insulin, biologics, dairy products, seafood, meat, and fresh produce must remain within strictly defined environmental conditions throughout transportation and storage. Despite modern refrigeration systems, temperature excursions caused by equipment failures, power outages, door openings, traffic delays, or improper handling often go undetected until the shipment reaches its destination. By that point, products may already be compromised, leading to:</w:t>
      </w:r>
    </w:p>
    <w:p w14:paraId="2503C98E">
      <w:pPr>
        <w:pStyle w:val="style0"/>
        <w:numPr>
          <w:ilvl w:val="0"/>
          <w:numId w:val="2"/>
        </w:numPr>
        <w:spacing w:before="100" w:beforeAutospacing="true" w:after="100" w:afterAutospacing="true"/>
        <w:jc w:val="both"/>
        <w:rPr>
          <w:color w:val="000000"/>
        </w:rPr>
      </w:pPr>
      <w:r>
        <w:rPr>
          <w:color w:val="000000"/>
        </w:rPr>
        <w:t>Product spoilage and wastage</w:t>
      </w:r>
    </w:p>
    <w:p w14:paraId="1D5811BF">
      <w:pPr>
        <w:pStyle w:val="style0"/>
        <w:numPr>
          <w:ilvl w:val="0"/>
          <w:numId w:val="2"/>
        </w:numPr>
        <w:spacing w:before="100" w:beforeAutospacing="true" w:after="100" w:afterAutospacing="true"/>
        <w:jc w:val="both"/>
        <w:rPr>
          <w:color w:val="000000"/>
        </w:rPr>
      </w:pPr>
      <w:r>
        <w:rPr>
          <w:color w:val="000000"/>
        </w:rPr>
        <w:t>Regulatory non-compliance</w:t>
      </w:r>
    </w:p>
    <w:p w14:paraId="56AD98F6">
      <w:pPr>
        <w:pStyle w:val="style0"/>
        <w:numPr>
          <w:ilvl w:val="0"/>
          <w:numId w:val="2"/>
        </w:numPr>
        <w:spacing w:before="100" w:beforeAutospacing="true" w:after="100" w:afterAutospacing="true"/>
        <w:jc w:val="both"/>
        <w:rPr>
          <w:color w:val="000000"/>
        </w:rPr>
      </w:pPr>
      <w:r>
        <w:rPr>
          <w:color w:val="000000"/>
        </w:rPr>
        <w:t>Financial losses</w:t>
      </w:r>
    </w:p>
    <w:p w14:paraId="5CD207A2">
      <w:pPr>
        <w:pStyle w:val="style0"/>
        <w:numPr>
          <w:ilvl w:val="0"/>
          <w:numId w:val="2"/>
        </w:numPr>
        <w:spacing w:before="100" w:beforeAutospacing="true" w:after="100" w:afterAutospacing="true"/>
        <w:jc w:val="both"/>
        <w:rPr>
          <w:color w:val="000000"/>
        </w:rPr>
      </w:pPr>
      <w:r>
        <w:rPr>
          <w:color w:val="000000"/>
        </w:rPr>
        <w:t>Product recalls</w:t>
      </w:r>
    </w:p>
    <w:p w14:paraId="007BABC5">
      <w:pPr>
        <w:pStyle w:val="style0"/>
        <w:numPr>
          <w:ilvl w:val="0"/>
          <w:numId w:val="2"/>
        </w:numPr>
        <w:spacing w:before="100" w:beforeAutospacing="true" w:after="100" w:afterAutospacing="true"/>
        <w:jc w:val="both"/>
        <w:rPr>
          <w:color w:val="000000"/>
        </w:rPr>
      </w:pPr>
      <w:r>
        <w:rPr>
          <w:color w:val="000000"/>
        </w:rPr>
        <w:t>Delayed deliveries</w:t>
      </w:r>
    </w:p>
    <w:p w14:paraId="237956D8">
      <w:pPr>
        <w:pStyle w:val="style0"/>
        <w:numPr>
          <w:ilvl w:val="0"/>
          <w:numId w:val="2"/>
        </w:numPr>
        <w:spacing w:before="100" w:beforeAutospacing="true" w:after="100" w:afterAutospacing="true"/>
        <w:jc w:val="both"/>
        <w:rPr>
          <w:color w:val="000000"/>
        </w:rPr>
      </w:pPr>
      <w:r>
        <w:rPr>
          <w:color w:val="000000"/>
        </w:rPr>
        <w:t>Risks to public health</w:t>
      </w:r>
    </w:p>
    <w:p w14:paraId="010571BE">
      <w:pPr>
        <w:pStyle w:val="style0"/>
        <w:numPr>
          <w:ilvl w:val="0"/>
          <w:numId w:val="2"/>
        </w:numPr>
        <w:spacing w:before="100" w:beforeAutospacing="true" w:after="100" w:afterAutospacing="true"/>
        <w:jc w:val="both"/>
        <w:rPr>
          <w:color w:val="000000"/>
        </w:rPr>
      </w:pPr>
      <w:r>
        <w:rPr>
          <w:color w:val="000000"/>
        </w:rPr>
        <w:t>Reduced customer trust</w:t>
      </w:r>
    </w:p>
    <w:p w14:paraId="48E939C3">
      <w:pPr>
        <w:pStyle w:val="style0"/>
        <w:spacing w:before="100" w:beforeAutospacing="true" w:after="100" w:afterAutospacing="true"/>
        <w:jc w:val="both"/>
        <w:rPr>
          <w:color w:val="000000"/>
        </w:rPr>
      </w:pPr>
      <w:r>
        <w:rPr>
          <w:color w:val="000000"/>
        </w:rPr>
        <w:t>Current monitoring systems are often reactive rather than proactive. Many rely on data loggers that are reviewed only after delivery, making it impossible to intervene during transit. There is a growing need for an intelligent, real-time monitoring platform that continuously tracks shipment conditions, predicts risks, alerts stakeholders immediately, and automatically generates compliance documentation.</w:t>
      </w:r>
    </w:p>
    <w:p w14:paraId="3659C4B9">
      <w:pPr>
        <w:pStyle w:val="style0"/>
        <w:spacing w:before="100" w:beforeAutospacing="true" w:after="100" w:afterAutospacing="true"/>
        <w:jc w:val="both"/>
        <w:outlineLvl w:val="0"/>
        <w:rPr>
          <w:b/>
          <w:bCs/>
          <w:color w:val="000000"/>
          <w:kern w:val="36"/>
        </w:rPr>
      </w:pPr>
      <w:r>
        <w:rPr>
          <w:b/>
          <w:bCs/>
          <w:color w:val="000000"/>
          <w:kern w:val="36"/>
        </w:rPr>
        <w:t>Problem Statement</w:t>
      </w:r>
    </w:p>
    <w:p w14:paraId="2CDCB07E">
      <w:pPr>
        <w:pStyle w:val="style0"/>
        <w:spacing w:before="100" w:beforeAutospacing="true" w:after="100" w:afterAutospacing="true"/>
        <w:jc w:val="both"/>
        <w:rPr>
          <w:color w:val="000000"/>
        </w:rPr>
      </w:pPr>
      <w:r>
        <w:rPr>
          <w:color w:val="000000"/>
        </w:rPr>
        <w:t>Design and develop a distributed Cold-Chain Logistics Integrity Platform that continuously monitors environmental conditions of refrigerated shipments using IoT sensors.</w:t>
      </w:r>
    </w:p>
    <w:p w14:paraId="296BAFF6">
      <w:pPr>
        <w:pStyle w:val="style0"/>
        <w:spacing w:before="100" w:beforeAutospacing="true" w:after="100" w:afterAutospacing="true"/>
        <w:jc w:val="both"/>
        <w:rPr>
          <w:color w:val="000000"/>
        </w:rPr>
      </w:pPr>
      <w:r>
        <w:rPr>
          <w:color w:val="000000"/>
        </w:rPr>
        <w:t>The platform should ingest real-time telemetry—including temperature, humidity, GPS location, door status, and refrigeration unit health—from refrigerated trucks, containers, warehouses, and storage facilities.</w:t>
      </w:r>
    </w:p>
    <w:p w14:paraId="234A3035">
      <w:pPr>
        <w:pStyle w:val="style0"/>
        <w:spacing w:before="100" w:beforeAutospacing="true" w:after="100" w:afterAutospacing="true"/>
        <w:jc w:val="both"/>
        <w:rPr>
          <w:color w:val="000000"/>
        </w:rPr>
      </w:pPr>
      <w:r>
        <w:rPr>
          <w:color w:val="000000"/>
        </w:rPr>
        <w:t>Using configurable product-specific thresholds, the system should automatically detect environmental excursions, predict potential shipment failures, notify relevant stakeholders in real time, and generate compliance reports required by food safety and pharmaceutical regulations.</w:t>
      </w:r>
    </w:p>
    <w:p w14:paraId="702831CD">
      <w:pPr>
        <w:pStyle w:val="style0"/>
        <w:spacing w:before="100" w:beforeAutospacing="true" w:after="100" w:afterAutospacing="true"/>
        <w:jc w:val="both"/>
        <w:rPr>
          <w:color w:val="000000"/>
        </w:rPr>
      </w:pPr>
      <w:r>
        <w:rPr>
          <w:color w:val="000000"/>
        </w:rPr>
        <w:t>The solution should support thousands of simultaneously connected vehicles while ensuring scalability, fault tolerance, secure data transmission, and high system availability.</w:t>
      </w:r>
    </w:p>
    <w:p w14:paraId="510B696D">
      <w:pPr>
        <w:pStyle w:val="style0"/>
        <w:spacing w:before="100" w:beforeAutospacing="true" w:after="100" w:afterAutospacing="true"/>
        <w:jc w:val="both"/>
        <w:outlineLvl w:val="0"/>
        <w:rPr>
          <w:b/>
          <w:bCs/>
          <w:color w:val="000000"/>
          <w:kern w:val="36"/>
        </w:rPr>
      </w:pPr>
      <w:r>
        <w:rPr>
          <w:b/>
          <w:bCs/>
          <w:color w:val="000000"/>
          <w:kern w:val="36"/>
        </w:rPr>
        <w:t>Objectives</w:t>
      </w:r>
    </w:p>
    <w:p w14:paraId="3DD86047">
      <w:pPr>
        <w:pStyle w:val="style0"/>
        <w:spacing w:before="100" w:beforeAutospacing="true" w:after="100" w:afterAutospacing="true"/>
        <w:jc w:val="both"/>
        <w:rPr>
          <w:color w:val="000000"/>
        </w:rPr>
      </w:pPr>
      <w:r>
        <w:rPr>
          <w:color w:val="000000"/>
        </w:rPr>
        <w:t>The platform should:</w:t>
      </w:r>
    </w:p>
    <w:p w14:paraId="0ECCBA8F">
      <w:pPr>
        <w:pStyle w:val="style0"/>
        <w:numPr>
          <w:ilvl w:val="0"/>
          <w:numId w:val="3"/>
        </w:numPr>
        <w:spacing w:before="100" w:beforeAutospacing="true" w:after="100" w:afterAutospacing="true"/>
        <w:jc w:val="both"/>
        <w:rPr>
          <w:color w:val="000000"/>
        </w:rPr>
      </w:pPr>
      <w:r>
        <w:rPr>
          <w:color w:val="000000"/>
          <w:lang w:val="en-US"/>
        </w:rPr>
        <w:t xml:space="preserve">To </w:t>
      </w:r>
      <w:r>
        <w:rPr>
          <w:color w:val="000000"/>
        </w:rPr>
        <w:t>Continuously collect sensor data from IoT devices</w:t>
      </w:r>
    </w:p>
    <w:p w14:paraId="5A0AE389">
      <w:pPr>
        <w:pStyle w:val="style0"/>
        <w:numPr>
          <w:ilvl w:val="0"/>
          <w:numId w:val="3"/>
        </w:numPr>
        <w:spacing w:before="100" w:beforeAutospacing="true" w:after="100" w:afterAutospacing="true"/>
        <w:jc w:val="both"/>
        <w:rPr>
          <w:color w:val="000000"/>
        </w:rPr>
      </w:pPr>
      <w:r>
        <w:rPr>
          <w:color w:val="000000"/>
          <w:lang w:val="en-US"/>
        </w:rPr>
        <w:t xml:space="preserve">To </w:t>
      </w:r>
      <w:r>
        <w:rPr>
          <w:color w:val="000000"/>
        </w:rPr>
        <w:t>Monitor shipment conditions in real time</w:t>
      </w:r>
    </w:p>
    <w:p w14:paraId="6EC7E1D2">
      <w:pPr>
        <w:pStyle w:val="style0"/>
        <w:numPr>
          <w:ilvl w:val="0"/>
          <w:numId w:val="3"/>
        </w:numPr>
        <w:spacing w:before="100" w:beforeAutospacing="true" w:after="100" w:afterAutospacing="true"/>
        <w:jc w:val="both"/>
        <w:rPr>
          <w:color w:val="000000"/>
        </w:rPr>
      </w:pPr>
      <w:r>
        <w:rPr>
          <w:color w:val="000000"/>
          <w:lang w:val="en-US"/>
        </w:rPr>
        <w:t xml:space="preserve">To </w:t>
      </w:r>
      <w:r>
        <w:rPr>
          <w:color w:val="000000"/>
        </w:rPr>
        <w:t>Detect deviations from acceptable environmental ranges</w:t>
      </w:r>
    </w:p>
    <w:p w14:paraId="052F3A71">
      <w:pPr>
        <w:pStyle w:val="style0"/>
        <w:numPr>
          <w:ilvl w:val="0"/>
          <w:numId w:val="3"/>
        </w:numPr>
        <w:spacing w:before="100" w:beforeAutospacing="true" w:after="100" w:afterAutospacing="true"/>
        <w:jc w:val="both"/>
        <w:rPr>
          <w:color w:val="000000"/>
        </w:rPr>
      </w:pPr>
      <w:r>
        <w:rPr>
          <w:color w:val="000000"/>
          <w:lang w:val="en-US"/>
        </w:rPr>
        <w:t xml:space="preserve">To </w:t>
      </w:r>
      <w:r>
        <w:rPr>
          <w:color w:val="000000"/>
        </w:rPr>
        <w:t>Predict potential cold-chain failures before products become unusable</w:t>
      </w:r>
    </w:p>
    <w:p w14:paraId="7FE1ABFB">
      <w:pPr>
        <w:pStyle w:val="style0"/>
        <w:numPr>
          <w:ilvl w:val="0"/>
          <w:numId w:val="3"/>
        </w:numPr>
        <w:spacing w:before="100" w:beforeAutospacing="true" w:after="100" w:afterAutospacing="true"/>
        <w:jc w:val="both"/>
        <w:rPr>
          <w:color w:val="000000"/>
        </w:rPr>
      </w:pPr>
      <w:r>
        <w:rPr>
          <w:color w:val="000000"/>
          <w:lang w:val="en-US"/>
        </w:rPr>
        <w:t xml:space="preserve">To </w:t>
      </w:r>
      <w:r>
        <w:rPr>
          <w:color w:val="000000"/>
        </w:rPr>
        <w:t>Notify stakeholders immediately</w:t>
      </w:r>
    </w:p>
    <w:p w14:paraId="0F8FBF76">
      <w:pPr>
        <w:pStyle w:val="style0"/>
        <w:numPr>
          <w:ilvl w:val="0"/>
          <w:numId w:val="3"/>
        </w:numPr>
        <w:spacing w:before="100" w:beforeAutospacing="true" w:after="100" w:afterAutospacing="true"/>
        <w:jc w:val="both"/>
        <w:rPr>
          <w:color w:val="000000"/>
        </w:rPr>
      </w:pPr>
      <w:r>
        <w:rPr>
          <w:color w:val="000000"/>
          <w:lang w:val="en-US"/>
        </w:rPr>
        <w:t xml:space="preserve">To </w:t>
      </w:r>
      <w:r>
        <w:rPr>
          <w:color w:val="000000"/>
        </w:rPr>
        <w:t>Generate automated compliance documentation</w:t>
      </w:r>
    </w:p>
    <w:p w14:paraId="18B0CE56">
      <w:pPr>
        <w:pStyle w:val="style0"/>
        <w:numPr>
          <w:ilvl w:val="0"/>
          <w:numId w:val="3"/>
        </w:numPr>
        <w:spacing w:before="100" w:beforeAutospacing="true" w:after="100" w:afterAutospacing="true"/>
        <w:jc w:val="both"/>
        <w:rPr>
          <w:color w:val="000000"/>
        </w:rPr>
      </w:pPr>
      <w:r>
        <w:rPr>
          <w:color w:val="000000"/>
          <w:lang w:val="en-US"/>
        </w:rPr>
        <w:t xml:space="preserve">To </w:t>
      </w:r>
      <w:r>
        <w:rPr>
          <w:color w:val="000000"/>
        </w:rPr>
        <w:t>Provide historical analytics and audit trails</w:t>
      </w:r>
    </w:p>
    <w:p w14:paraId="51E8831F">
      <w:pPr>
        <w:pStyle w:val="style0"/>
        <w:numPr>
          <w:ilvl w:val="0"/>
          <w:numId w:val="3"/>
        </w:numPr>
        <w:spacing w:before="100" w:beforeAutospacing="true" w:after="100" w:afterAutospacing="true"/>
        <w:jc w:val="both"/>
        <w:rPr>
          <w:color w:val="000000"/>
        </w:rPr>
      </w:pPr>
      <w:r>
        <w:rPr>
          <w:color w:val="000000"/>
          <w:lang w:val="en-US"/>
        </w:rPr>
        <w:t xml:space="preserve">To </w:t>
      </w:r>
      <w:r>
        <w:rPr>
          <w:color w:val="000000"/>
        </w:rPr>
        <w:t>Improve operational visibility across the logistics network</w:t>
      </w:r>
    </w:p>
    <w:p w14:paraId="5FFB19D8">
      <w:pPr>
        <w:pStyle w:val="style0"/>
        <w:spacing w:before="100" w:beforeAutospacing="true" w:after="100" w:afterAutospacing="true"/>
        <w:jc w:val="both"/>
        <w:outlineLvl w:val="0"/>
        <w:rPr>
          <w:b/>
          <w:bCs/>
          <w:color w:val="000000"/>
          <w:kern w:val="36"/>
        </w:rPr>
      </w:pPr>
      <w:r>
        <w:rPr>
          <w:b/>
          <w:bCs/>
          <w:color w:val="000000"/>
          <w:kern w:val="36"/>
        </w:rPr>
        <w:t>Expected Outcomes</w:t>
      </w:r>
    </w:p>
    <w:p w14:paraId="3F1B6EA7">
      <w:pPr>
        <w:pStyle w:val="style0"/>
        <w:spacing w:before="100" w:beforeAutospacing="true" w:after="100" w:afterAutospacing="true"/>
        <w:jc w:val="both"/>
        <w:rPr>
          <w:color w:val="000000"/>
        </w:rPr>
      </w:pPr>
      <w:r>
        <w:rPr>
          <w:color w:val="000000"/>
        </w:rPr>
        <w:t>The proposed platform will:</w:t>
      </w:r>
    </w:p>
    <w:p w14:paraId="1A70C7D3">
      <w:pPr>
        <w:pStyle w:val="style0"/>
        <w:numPr>
          <w:ilvl w:val="0"/>
          <w:numId w:val="4"/>
        </w:numPr>
        <w:spacing w:before="100" w:beforeAutospacing="true" w:after="100" w:afterAutospacing="true"/>
        <w:jc w:val="both"/>
        <w:rPr>
          <w:color w:val="000000"/>
        </w:rPr>
      </w:pPr>
      <w:r>
        <w:rPr>
          <w:color w:val="000000"/>
        </w:rPr>
        <w:t>Reduce spoilage and product losses through early detection.</w:t>
      </w:r>
    </w:p>
    <w:p w14:paraId="73AEA43E">
      <w:pPr>
        <w:pStyle w:val="style0"/>
        <w:numPr>
          <w:ilvl w:val="0"/>
          <w:numId w:val="4"/>
        </w:numPr>
        <w:spacing w:before="100" w:beforeAutospacing="true" w:after="100" w:afterAutospacing="true"/>
        <w:jc w:val="both"/>
        <w:rPr>
          <w:color w:val="000000"/>
        </w:rPr>
      </w:pPr>
      <w:r>
        <w:rPr>
          <w:color w:val="000000"/>
        </w:rPr>
        <w:t>Improve regulatory compliance with automated reporting.</w:t>
      </w:r>
    </w:p>
    <w:p w14:paraId="0DDFE061">
      <w:pPr>
        <w:pStyle w:val="style0"/>
        <w:numPr>
          <w:ilvl w:val="0"/>
          <w:numId w:val="4"/>
        </w:numPr>
        <w:spacing w:before="100" w:beforeAutospacing="true" w:after="100" w:afterAutospacing="true"/>
        <w:jc w:val="both"/>
        <w:rPr>
          <w:color w:val="000000"/>
        </w:rPr>
      </w:pPr>
      <w:r>
        <w:rPr>
          <w:color w:val="000000"/>
        </w:rPr>
        <w:t>Enable proactive intervention before shipments become non-compliant.</w:t>
      </w:r>
    </w:p>
    <w:p w14:paraId="60AF9478">
      <w:pPr>
        <w:pStyle w:val="style0"/>
        <w:numPr>
          <w:ilvl w:val="0"/>
          <w:numId w:val="4"/>
        </w:numPr>
        <w:spacing w:before="100" w:beforeAutospacing="true" w:after="100" w:afterAutospacing="true"/>
        <w:jc w:val="both"/>
        <w:rPr>
          <w:color w:val="000000"/>
        </w:rPr>
      </w:pPr>
      <w:r>
        <w:rPr>
          <w:color w:val="000000"/>
        </w:rPr>
        <w:t>Increase supply chain transparency with end-to-end real-time visibility.</w:t>
      </w:r>
    </w:p>
    <w:p w14:paraId="4ADFB861">
      <w:pPr>
        <w:pStyle w:val="style0"/>
        <w:numPr>
          <w:ilvl w:val="0"/>
          <w:numId w:val="4"/>
        </w:numPr>
        <w:spacing w:before="100" w:beforeAutospacing="true" w:after="100" w:afterAutospacing="true"/>
        <w:jc w:val="both"/>
        <w:rPr>
          <w:color w:val="000000"/>
        </w:rPr>
      </w:pPr>
      <w:r>
        <w:rPr>
          <w:color w:val="000000"/>
        </w:rPr>
        <w:t>Lower operational costs by minimizing waste and manual monitoring.</w:t>
      </w:r>
    </w:p>
    <w:p w14:paraId="03B13397">
      <w:pPr>
        <w:pStyle w:val="style0"/>
        <w:numPr>
          <w:ilvl w:val="0"/>
          <w:numId w:val="4"/>
        </w:numPr>
        <w:spacing w:before="100" w:beforeAutospacing="true" w:after="100" w:afterAutospacing="true"/>
        <w:jc w:val="both"/>
        <w:rPr>
          <w:color w:val="000000"/>
        </w:rPr>
      </w:pPr>
      <w:r>
        <w:rPr>
          <w:color w:val="000000"/>
        </w:rPr>
        <w:t>Enhance customer trust through reliable cold-chain assurance.</w:t>
      </w:r>
    </w:p>
    <w:p w14:paraId="4014CCDF">
      <w:pPr>
        <w:pStyle w:val="style0"/>
        <w:numPr>
          <w:ilvl w:val="0"/>
          <w:numId w:val="4"/>
        </w:numPr>
        <w:spacing w:before="100" w:beforeAutospacing="true" w:after="100" w:afterAutospacing="true"/>
        <w:jc w:val="both"/>
        <w:rPr>
          <w:color w:val="000000"/>
        </w:rPr>
      </w:pPr>
      <w:r>
        <w:rPr>
          <w:color w:val="000000"/>
        </w:rPr>
        <w:t>Support scalable deployment across large logistics fleets and multiple organizations.</w:t>
      </w:r>
    </w:p>
    <w:p w14:paraId="76D20B72">
      <w:pPr>
        <w:pStyle w:val="style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Aptos">
    <w:altName w:val="Aptos"/>
    <w:panose1 w:val="020b0004020002020204"/>
    <w:charset w:val="00"/>
    <w:family w:val="swiss"/>
    <w:pitch w:val="variable"/>
    <w:sig w:usb0="20000287" w:usb1="00000003" w:usb2="00000000" w:usb3="00000000" w:csb0="0000019F" w:csb1="00000000"/>
  </w:font>
  <w:font w:name="Aptos Display">
    <w:altName w:val="Aptos Display"/>
    <w:panose1 w:val="020b00040200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8612F4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6570F0B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DB0841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F9C48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pPrDefault>
  </w:docDefaults>
  <w:style w:type="paragraph" w:default="1" w:styleId="style0">
    <w:name w:val="Normal"/>
    <w:next w:val="style0"/>
    <w:qFormat/>
    <w:pPr/>
    <w:rPr>
      <w:rFonts w:ascii="Times New Roman" w:cs="Times New Roman" w:eastAsia="Times New Roman" w:hAnsi="Times New Roman"/>
      <w:kern w:val="0"/>
      <w:lang w:eastAsia="en-GB"/>
      <w14:ligatures xmlns:w14="http://schemas.microsoft.com/office/word/2010/wordml" w14:val="none"/>
    </w:r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outlineLvl w:val="6"/>
    </w:pPr>
    <w:rPr>
      <w:rFonts w:cs="宋体" w:eastAsia="宋体"/>
      <w:color w:val="595959"/>
    </w:rPr>
  </w:style>
  <w:style w:type="paragraph" w:styleId="style8">
    <w:name w:val="heading 8"/>
    <w:basedOn w:val="style0"/>
    <w:next w:val="style0"/>
    <w:link w:val="style4104"/>
    <w:qFormat/>
    <w:uiPriority w:val="9"/>
    <w:pPr>
      <w:keepNext/>
      <w:keepLines/>
      <w:outlineLvl w:val="7"/>
    </w:pPr>
    <w:rPr>
      <w:rFonts w:cs="宋体" w:eastAsia="宋体"/>
      <w:i/>
      <w:iCs/>
      <w:color w:val="272727"/>
    </w:rPr>
  </w:style>
  <w:style w:type="paragraph" w:styleId="style9">
    <w:name w:val="heading 9"/>
    <w:basedOn w:val="style0"/>
    <w:next w:val="style0"/>
    <w:link w:val="style4105"/>
    <w:qFormat/>
    <w:uiPriority w:val="9"/>
    <w:pPr>
      <w:keepNext/>
      <w:keepLines/>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ed730a09-c56f-4153-b224-0c6134349b2f"/>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322689dc-01a8-46e1-b612-f5caefafbdb7"/>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f0095fab-30b9-4fcb-bd9b-e66c5c83f9f3"/>
    <w:basedOn w:val="style65"/>
    <w:next w:val="style4099"/>
    <w:link w:val="style3"/>
    <w:uiPriority w:val="9"/>
    <w:rPr>
      <w:rFonts w:cs="宋体" w:eastAsia="宋体"/>
      <w:color w:val="0f4761"/>
      <w:sz w:val="28"/>
      <w:szCs w:val="28"/>
    </w:rPr>
  </w:style>
  <w:style w:type="character" w:customStyle="1" w:styleId="style4100">
    <w:name w:val="Heading 4 Char_8ae22400-0d15-47ff-bc4a-54dc6b3a2b8e"/>
    <w:basedOn w:val="style65"/>
    <w:next w:val="style4100"/>
    <w:link w:val="style4"/>
    <w:uiPriority w:val="9"/>
    <w:rPr>
      <w:rFonts w:cs="宋体" w:eastAsia="宋体"/>
      <w:i/>
      <w:iCs/>
      <w:color w:val="0f4761"/>
    </w:rPr>
  </w:style>
  <w:style w:type="character" w:customStyle="1" w:styleId="style4101">
    <w:name w:val="Heading 5 Char_b930d3a1-b0ac-42ba-b5d0-c794bccb44fd"/>
    <w:basedOn w:val="style65"/>
    <w:next w:val="style4101"/>
    <w:link w:val="style5"/>
    <w:uiPriority w:val="9"/>
    <w:rPr>
      <w:rFonts w:cs="宋体" w:eastAsia="宋体"/>
      <w:color w:val="0f4761"/>
    </w:rPr>
  </w:style>
  <w:style w:type="character" w:customStyle="1" w:styleId="style4102">
    <w:name w:val="Heading 6 Char_33249acf-d43d-4af4-9b80-7b46be35635c"/>
    <w:basedOn w:val="style65"/>
    <w:next w:val="style4102"/>
    <w:link w:val="style6"/>
    <w:uiPriority w:val="9"/>
    <w:rPr>
      <w:rFonts w:cs="宋体" w:eastAsia="宋体"/>
      <w:i/>
      <w:iCs/>
      <w:color w:val="595959"/>
    </w:rPr>
  </w:style>
  <w:style w:type="character" w:customStyle="1" w:styleId="style4103">
    <w:name w:val="Heading 7 Char_22a42dc1-fb53-4411-892e-545f26fcdc42"/>
    <w:basedOn w:val="style65"/>
    <w:next w:val="style4103"/>
    <w:link w:val="style7"/>
    <w:uiPriority w:val="9"/>
    <w:rPr>
      <w:rFonts w:cs="宋体" w:eastAsia="宋体"/>
      <w:color w:val="595959"/>
    </w:rPr>
  </w:style>
  <w:style w:type="character" w:customStyle="1" w:styleId="style4104">
    <w:name w:val="Heading 8 Char_f3e9ab54-afdf-4b0d-a17a-127ceaa6e9e5"/>
    <w:basedOn w:val="style65"/>
    <w:next w:val="style4104"/>
    <w:link w:val="style8"/>
    <w:uiPriority w:val="9"/>
    <w:rPr>
      <w:rFonts w:cs="宋体" w:eastAsia="宋体"/>
      <w:i/>
      <w:iCs/>
      <w:color w:val="272727"/>
    </w:rPr>
  </w:style>
  <w:style w:type="character" w:customStyle="1" w:styleId="style4105">
    <w:name w:val="Heading 9 Char_5d8c16a4-30dc-4a4e-a6d1-12c54dd0beb3"/>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contextualSpacing/>
    </w:pPr>
    <w:rPr>
      <w:rFonts w:ascii="Aptos Display" w:cs="宋体" w:eastAsia="宋体" w:hAnsi="Aptos Display"/>
      <w:spacing w:val="-10"/>
      <w:kern w:val="28"/>
      <w:sz w:val="56"/>
      <w:szCs w:val="56"/>
    </w:rPr>
  </w:style>
  <w:style w:type="character" w:customStyle="1" w:styleId="style4106">
    <w:name w:val="Title Char_7afb35c6-d4e7-415f-8c55-ace5670eaa3b"/>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spacing w:after="160"/>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after="160"/>
      <w:jc w:val="center"/>
    </w:pPr>
    <w:rPr>
      <w:i/>
      <w:iCs/>
      <w:color w:val="404040"/>
    </w:rPr>
  </w:style>
  <w:style w:type="character" w:customStyle="1" w:styleId="style4108">
    <w:name w:val="Quote Char_ad4cfd43-5c9d-4f0c-aeb0-4018c49b64b3"/>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ee99d1d8-0aba-444d-9612-3d46f230521a"/>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382</Words>
  <Pages>2</Pages>
  <Characters>2727</Characters>
  <Application>WPS Office</Application>
  <DocSecurity>0</DocSecurity>
  <Paragraphs>36</Paragraphs>
  <ScaleCrop>false</ScaleCrop>
  <LinksUpToDate>false</LinksUpToDate>
  <CharactersWithSpaces>3074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2026-10-03T04:37:00Z</dcterms:created>
  <dc:creator>K.Anita Davamani</dc:creator>
  <lastModifiedBy>RMX5106</lastModifiedBy>
  <dcterms:modified xsi:type="dcterms:W3CDTF">2026-10-08T03:39:24Z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ed08bd91a1c549f5b300365256b33506_23</vt:lpwstr>
  </property>
</Properties>
</file>