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06E32" w14:textId="264C80A7" w:rsidR="00FC278B" w:rsidRPr="00E92353" w:rsidRDefault="00F30F70" w:rsidP="007807E5">
      <w:pPr>
        <w:jc w:val="center"/>
        <w:rPr>
          <w:rFonts w:asciiTheme="majorBidi" w:hAnsiTheme="majorBidi" w:cstheme="majorBidi"/>
          <w:sz w:val="28"/>
          <w:szCs w:val="28"/>
        </w:rPr>
      </w:pPr>
      <w:r w:rsidRPr="00E92353">
        <w:rPr>
          <w:rFonts w:asciiTheme="majorBidi" w:hAnsiTheme="majorBidi" w:cstheme="majorBidi"/>
          <w:b/>
          <w:bCs/>
          <w:sz w:val="28"/>
          <w:szCs w:val="28"/>
        </w:rPr>
        <w:t>Title:</w:t>
      </w:r>
      <w:r w:rsidR="007807E5" w:rsidRPr="00E92353">
        <w:rPr>
          <w:rFonts w:asciiTheme="majorBidi" w:hAnsiTheme="majorBidi" w:cstheme="majorBidi"/>
          <w:b/>
          <w:bCs/>
          <w:sz w:val="28"/>
          <w:szCs w:val="28"/>
        </w:rPr>
        <w:t xml:space="preserve"> </w:t>
      </w:r>
      <w:r w:rsidRPr="00E92353">
        <w:rPr>
          <w:rFonts w:asciiTheme="majorBidi" w:hAnsiTheme="majorBidi" w:cstheme="majorBidi"/>
          <w:b/>
          <w:bCs/>
          <w:sz w:val="28"/>
          <w:szCs w:val="28"/>
        </w:rPr>
        <w:t>Predictors of Preventive Health Check-up</w:t>
      </w:r>
      <w:r w:rsidR="00001C46" w:rsidRPr="00E92353">
        <w:rPr>
          <w:rFonts w:asciiTheme="majorBidi" w:hAnsiTheme="majorBidi" w:cstheme="majorBidi"/>
          <w:b/>
          <w:bCs/>
          <w:sz w:val="28"/>
          <w:szCs w:val="28"/>
        </w:rPr>
        <w:t xml:space="preserve"> </w:t>
      </w:r>
      <w:r w:rsidRPr="00E92353">
        <w:rPr>
          <w:rFonts w:asciiTheme="majorBidi" w:hAnsiTheme="majorBidi" w:cstheme="majorBidi"/>
          <w:b/>
          <w:bCs/>
          <w:sz w:val="28"/>
          <w:szCs w:val="28"/>
        </w:rPr>
        <w:t>Utilization and Nutritional Status Among Older Adults in India</w:t>
      </w:r>
    </w:p>
    <w:p w14:paraId="12F06156" w14:textId="752AFC63" w:rsidR="00B83156" w:rsidRPr="00E92353" w:rsidRDefault="00C101DF" w:rsidP="00C101DF">
      <w:pPr>
        <w:rPr>
          <w:rFonts w:asciiTheme="majorBidi" w:hAnsiTheme="majorBidi" w:cstheme="majorBidi"/>
        </w:rPr>
      </w:pPr>
      <w:r w:rsidRPr="00E92353">
        <w:rPr>
          <w:rFonts w:asciiTheme="majorBidi" w:hAnsiTheme="majorBidi" w:cstheme="majorBidi"/>
          <w:b/>
          <w:bCs/>
        </w:rPr>
        <w:t xml:space="preserve">                                                                                             </w:t>
      </w:r>
      <w:r w:rsidR="00DB2800" w:rsidRPr="00E92353">
        <w:rPr>
          <w:rFonts w:asciiTheme="majorBidi" w:hAnsiTheme="majorBidi" w:cstheme="majorBidi"/>
          <w:b/>
          <w:bCs/>
        </w:rPr>
        <w:t xml:space="preserve">    </w:t>
      </w:r>
      <w:r w:rsidR="00B83156" w:rsidRPr="00E92353">
        <w:rPr>
          <w:rFonts w:asciiTheme="majorBidi" w:hAnsiTheme="majorBidi" w:cstheme="majorBidi"/>
          <w:b/>
          <w:bCs/>
        </w:rPr>
        <w:t>Author</w:t>
      </w:r>
      <w:r w:rsidR="00DB2800" w:rsidRPr="00E92353">
        <w:rPr>
          <w:rFonts w:asciiTheme="majorBidi" w:hAnsiTheme="majorBidi" w:cstheme="majorBidi"/>
          <w:b/>
          <w:bCs/>
        </w:rPr>
        <w:t xml:space="preserve">: </w:t>
      </w:r>
      <w:r w:rsidRPr="00E92353">
        <w:rPr>
          <w:rFonts w:asciiTheme="majorBidi" w:hAnsiTheme="majorBidi" w:cstheme="majorBidi"/>
        </w:rPr>
        <w:t>Ragul</w:t>
      </w:r>
      <w:r w:rsidR="00DB2800" w:rsidRPr="00E92353">
        <w:rPr>
          <w:rFonts w:asciiTheme="majorBidi" w:hAnsiTheme="majorBidi" w:cstheme="majorBidi"/>
        </w:rPr>
        <w:t xml:space="preserve">. </w:t>
      </w:r>
      <w:r w:rsidRPr="00E92353">
        <w:rPr>
          <w:rFonts w:asciiTheme="majorBidi" w:hAnsiTheme="majorBidi" w:cstheme="majorBidi"/>
        </w:rPr>
        <w:t>S</w:t>
      </w:r>
    </w:p>
    <w:p w14:paraId="6D7E7AA6" w14:textId="2802F3ED" w:rsidR="00C101DF" w:rsidRPr="00E92353" w:rsidRDefault="00B83156" w:rsidP="00C101DF">
      <w:pPr>
        <w:jc w:val="right"/>
        <w:rPr>
          <w:rFonts w:asciiTheme="majorBidi" w:hAnsiTheme="majorBidi" w:cstheme="majorBidi"/>
        </w:rPr>
      </w:pPr>
      <w:r w:rsidRPr="00E92353">
        <w:rPr>
          <w:rFonts w:asciiTheme="majorBidi" w:hAnsiTheme="majorBidi" w:cstheme="majorBidi"/>
        </w:rPr>
        <w:t xml:space="preserve">                   </w:t>
      </w:r>
      <w:r w:rsidR="00DB2800" w:rsidRPr="00E92353">
        <w:rPr>
          <w:rFonts w:asciiTheme="majorBidi" w:hAnsiTheme="majorBidi" w:cstheme="majorBidi"/>
        </w:rPr>
        <w:t xml:space="preserve">          </w:t>
      </w:r>
      <w:r w:rsidR="00C101DF" w:rsidRPr="00E92353">
        <w:rPr>
          <w:rFonts w:asciiTheme="majorBidi" w:hAnsiTheme="majorBidi" w:cstheme="majorBidi"/>
        </w:rPr>
        <w:t>Sowmya Narayanan</w:t>
      </w:r>
      <w:r w:rsidR="00DB2800" w:rsidRPr="00E92353">
        <w:rPr>
          <w:rFonts w:asciiTheme="majorBidi" w:hAnsiTheme="majorBidi" w:cstheme="majorBidi"/>
        </w:rPr>
        <w:t>.</w:t>
      </w:r>
      <w:r w:rsidR="00C101DF" w:rsidRPr="00E92353">
        <w:rPr>
          <w:rFonts w:asciiTheme="majorBidi" w:hAnsiTheme="majorBidi" w:cstheme="majorBidi"/>
        </w:rPr>
        <w:t xml:space="preserve"> PK</w:t>
      </w:r>
      <w:r w:rsidR="00DB2800" w:rsidRPr="00E92353">
        <w:rPr>
          <w:rFonts w:asciiTheme="majorBidi" w:hAnsiTheme="majorBidi" w:cstheme="majorBidi"/>
        </w:rPr>
        <w:t xml:space="preserve"> </w:t>
      </w:r>
    </w:p>
    <w:p w14:paraId="2AD2ECAC" w14:textId="28341A4F" w:rsidR="00B83156" w:rsidRPr="00E92353" w:rsidRDefault="00B83156" w:rsidP="00C101DF">
      <w:pPr>
        <w:rPr>
          <w:rFonts w:asciiTheme="majorBidi" w:hAnsiTheme="majorBidi" w:cstheme="majorBidi"/>
          <w:sz w:val="28"/>
          <w:szCs w:val="28"/>
        </w:rPr>
      </w:pPr>
    </w:p>
    <w:p w14:paraId="697BCE5E" w14:textId="77777777" w:rsidR="0035269F" w:rsidRPr="00E92353" w:rsidRDefault="0035269F" w:rsidP="0035269F">
      <w:pPr>
        <w:rPr>
          <w:rFonts w:asciiTheme="majorBidi" w:hAnsiTheme="majorBidi" w:cstheme="majorBidi"/>
          <w:b/>
          <w:bCs/>
          <w:sz w:val="28"/>
          <w:szCs w:val="28"/>
          <w:lang w:val="en-US"/>
        </w:rPr>
      </w:pPr>
      <w:r w:rsidRPr="00E92353">
        <w:rPr>
          <w:rFonts w:asciiTheme="majorBidi" w:hAnsiTheme="majorBidi" w:cstheme="majorBidi"/>
          <w:b/>
          <w:bCs/>
          <w:sz w:val="28"/>
          <w:szCs w:val="28"/>
          <w:lang w:val="en-US"/>
        </w:rPr>
        <w:t>Abstract:</w:t>
      </w:r>
    </w:p>
    <w:p w14:paraId="4DA8CB3B" w14:textId="77777777" w:rsidR="0035269F" w:rsidRPr="00E92353" w:rsidRDefault="0035269F" w:rsidP="0035269F">
      <w:pPr>
        <w:rPr>
          <w:rFonts w:asciiTheme="majorBidi" w:hAnsiTheme="majorBidi" w:cstheme="majorBidi"/>
          <w:b/>
          <w:bCs/>
          <w:sz w:val="28"/>
          <w:szCs w:val="28"/>
          <w:lang w:val="en-US"/>
        </w:rPr>
      </w:pPr>
      <w:r w:rsidRPr="00E92353">
        <w:rPr>
          <w:rFonts w:asciiTheme="majorBidi" w:hAnsiTheme="majorBidi" w:cstheme="majorBidi"/>
          <w:b/>
          <w:bCs/>
          <w:sz w:val="28"/>
          <w:szCs w:val="28"/>
          <w:lang w:val="en-US"/>
        </w:rPr>
        <w:t xml:space="preserve">Background: </w:t>
      </w:r>
    </w:p>
    <w:p w14:paraId="5F898387" w14:textId="77777777" w:rsidR="0035269F" w:rsidRPr="00E92353" w:rsidRDefault="0035269F" w:rsidP="0035269F">
      <w:pPr>
        <w:rPr>
          <w:rFonts w:asciiTheme="majorBidi" w:hAnsiTheme="majorBidi" w:cstheme="majorBidi"/>
          <w:lang w:val="en-US"/>
        </w:rPr>
      </w:pPr>
      <w:r w:rsidRPr="00E92353">
        <w:rPr>
          <w:rFonts w:asciiTheme="majorBidi" w:hAnsiTheme="majorBidi" w:cstheme="majorBidi"/>
          <w:lang w:val="en-US"/>
        </w:rPr>
        <w:t xml:space="preserve">The elderly population of India has been growing exponentially over the past few decades, caused by a decline in fertility and an increase in life expectancy. The utility of the services by health </w:t>
      </w:r>
      <w:proofErr w:type="spellStart"/>
      <w:r w:rsidRPr="00E92353">
        <w:rPr>
          <w:rFonts w:asciiTheme="majorBidi" w:hAnsiTheme="majorBidi" w:cstheme="majorBidi"/>
          <w:lang w:val="en-US"/>
        </w:rPr>
        <w:t>programmes</w:t>
      </w:r>
      <w:proofErr w:type="spellEnd"/>
      <w:r w:rsidRPr="00E92353">
        <w:rPr>
          <w:rFonts w:asciiTheme="majorBidi" w:hAnsiTheme="majorBidi" w:cstheme="majorBidi"/>
          <w:lang w:val="en-US"/>
        </w:rPr>
        <w:t xml:space="preserve"> like the NPNCD, NPHCE, and NTCP by the public is always questionable. In a country like India where mandatory health check-ups are missing or due to the absence of a proficient health system like that of Western countries, the public must push themselves to undergo these health check-ups. preventative health care gives people confidence and knowledge about their health and the health of those they care for.</w:t>
      </w:r>
    </w:p>
    <w:p w14:paraId="3987BDDE" w14:textId="77777777" w:rsidR="0035269F" w:rsidRPr="00E92353" w:rsidRDefault="0035269F" w:rsidP="0035269F">
      <w:pPr>
        <w:rPr>
          <w:rFonts w:asciiTheme="majorBidi" w:hAnsiTheme="majorBidi" w:cstheme="majorBidi"/>
          <w:b/>
          <w:bCs/>
          <w:sz w:val="28"/>
          <w:szCs w:val="28"/>
          <w:lang w:val="en-US"/>
        </w:rPr>
      </w:pPr>
      <w:r w:rsidRPr="00E92353">
        <w:rPr>
          <w:rFonts w:asciiTheme="majorBidi" w:hAnsiTheme="majorBidi" w:cstheme="majorBidi"/>
          <w:b/>
          <w:bCs/>
          <w:sz w:val="28"/>
          <w:szCs w:val="28"/>
          <w:lang w:val="en-US"/>
        </w:rPr>
        <w:t>Method</w:t>
      </w:r>
    </w:p>
    <w:p w14:paraId="278BAFBD" w14:textId="77777777" w:rsidR="0035269F" w:rsidRPr="00E92353" w:rsidRDefault="0035269F" w:rsidP="0035269F">
      <w:pPr>
        <w:rPr>
          <w:rFonts w:asciiTheme="majorBidi" w:hAnsiTheme="majorBidi" w:cstheme="majorBidi"/>
          <w:lang w:val="en-US"/>
        </w:rPr>
      </w:pPr>
      <w:r w:rsidRPr="00E92353">
        <w:rPr>
          <w:rFonts w:asciiTheme="majorBidi" w:hAnsiTheme="majorBidi" w:cstheme="majorBidi"/>
          <w:lang w:val="en-US"/>
        </w:rPr>
        <w:t>A cross-sectional analysis was conducted on 31,902 adults aged ≥60 years. Descriptive statistics, chi-square tests, and Multivariate logistic regression were used.</w:t>
      </w:r>
    </w:p>
    <w:p w14:paraId="34E1A114" w14:textId="77777777" w:rsidR="0035269F" w:rsidRPr="00E92353" w:rsidRDefault="0035269F" w:rsidP="0035269F">
      <w:pPr>
        <w:rPr>
          <w:rFonts w:asciiTheme="majorBidi" w:hAnsiTheme="majorBidi" w:cstheme="majorBidi"/>
          <w:b/>
          <w:bCs/>
          <w:sz w:val="28"/>
          <w:szCs w:val="28"/>
          <w:lang w:val="en-US"/>
        </w:rPr>
      </w:pPr>
      <w:r w:rsidRPr="00E92353">
        <w:rPr>
          <w:rFonts w:asciiTheme="majorBidi" w:hAnsiTheme="majorBidi" w:cstheme="majorBidi"/>
          <w:b/>
          <w:bCs/>
          <w:sz w:val="28"/>
          <w:szCs w:val="28"/>
          <w:lang w:val="en-US"/>
        </w:rPr>
        <w:t>Results</w:t>
      </w:r>
    </w:p>
    <w:p w14:paraId="4EED57AD" w14:textId="77777777" w:rsidR="0035269F" w:rsidRPr="00E92353" w:rsidRDefault="0035269F" w:rsidP="0035269F">
      <w:pPr>
        <w:rPr>
          <w:rFonts w:asciiTheme="majorBidi" w:hAnsiTheme="majorBidi" w:cstheme="majorBidi"/>
          <w:lang w:val="en-US"/>
        </w:rPr>
      </w:pPr>
      <w:r w:rsidRPr="00E92353">
        <w:rPr>
          <w:rFonts w:asciiTheme="majorBidi" w:hAnsiTheme="majorBidi" w:cstheme="majorBidi"/>
          <w:lang w:val="en-US"/>
        </w:rPr>
        <w:t>Only 9.49% of the sample utilized preventive check-ups. The use of these services was found to be notably higher among people living in urban areas compared to those in rural regions. It was also more common among individuals with higher levels of education, particularly those who had completed higher secondary schooling, when compared to those with only primary education</w:t>
      </w:r>
    </w:p>
    <w:p w14:paraId="024978C5" w14:textId="77777777" w:rsidR="0035269F" w:rsidRPr="00E92353" w:rsidRDefault="0035269F" w:rsidP="0035269F">
      <w:pPr>
        <w:rPr>
          <w:rFonts w:asciiTheme="majorBidi" w:hAnsiTheme="majorBidi" w:cstheme="majorBidi"/>
          <w:sz w:val="28"/>
          <w:szCs w:val="28"/>
          <w:lang w:val="en-US"/>
        </w:rPr>
      </w:pPr>
      <w:r w:rsidRPr="00E92353">
        <w:rPr>
          <w:rFonts w:asciiTheme="majorBidi" w:hAnsiTheme="majorBidi" w:cstheme="majorBidi"/>
          <w:b/>
          <w:bCs/>
          <w:sz w:val="28"/>
          <w:szCs w:val="28"/>
          <w:lang w:val="en-US"/>
        </w:rPr>
        <w:t>Conclusion</w:t>
      </w:r>
      <w:r w:rsidRPr="00E92353">
        <w:rPr>
          <w:rFonts w:asciiTheme="majorBidi" w:hAnsiTheme="majorBidi" w:cstheme="majorBidi"/>
          <w:sz w:val="28"/>
          <w:szCs w:val="28"/>
          <w:lang w:val="en-US"/>
        </w:rPr>
        <w:t>:</w:t>
      </w:r>
    </w:p>
    <w:p w14:paraId="57AAC6C7" w14:textId="77777777" w:rsidR="0035269F" w:rsidRPr="00E92353" w:rsidRDefault="0035269F" w:rsidP="0035269F">
      <w:pPr>
        <w:rPr>
          <w:rFonts w:asciiTheme="majorBidi" w:hAnsiTheme="majorBidi" w:cstheme="majorBidi"/>
          <w:lang w:val="en-US"/>
        </w:rPr>
      </w:pPr>
      <w:r w:rsidRPr="00E92353">
        <w:rPr>
          <w:rFonts w:asciiTheme="majorBidi" w:hAnsiTheme="majorBidi" w:cstheme="majorBidi"/>
          <w:lang w:val="en-US"/>
        </w:rPr>
        <w:t>Utilization of preventive services remains low, and significant disparities exist across sociodemographic groups. Interventions should focus on awareness, accessibility, and targeting vulnerable populations.</w:t>
      </w:r>
    </w:p>
    <w:p w14:paraId="5D43A9F0" w14:textId="77777777" w:rsidR="006823C1" w:rsidRPr="00E92353" w:rsidRDefault="006823C1" w:rsidP="006823C1">
      <w:pPr>
        <w:rPr>
          <w:rFonts w:asciiTheme="majorBidi" w:hAnsiTheme="majorBidi" w:cstheme="majorBidi"/>
          <w:lang w:val="en-US"/>
        </w:rPr>
      </w:pPr>
    </w:p>
    <w:p w14:paraId="07DB3AFA" w14:textId="77777777" w:rsidR="006823C1" w:rsidRPr="00E92353" w:rsidRDefault="006823C1" w:rsidP="006823C1">
      <w:pPr>
        <w:rPr>
          <w:rFonts w:asciiTheme="majorBidi" w:hAnsiTheme="majorBidi" w:cstheme="majorBidi"/>
          <w:b/>
          <w:bCs/>
          <w:sz w:val="28"/>
          <w:szCs w:val="28"/>
        </w:rPr>
      </w:pPr>
      <w:r w:rsidRPr="00E92353">
        <w:rPr>
          <w:rFonts w:asciiTheme="majorBidi" w:hAnsiTheme="majorBidi" w:cstheme="majorBidi"/>
          <w:b/>
          <w:bCs/>
          <w:sz w:val="28"/>
          <w:szCs w:val="28"/>
        </w:rPr>
        <w:t>Keywords:</w:t>
      </w:r>
    </w:p>
    <w:p w14:paraId="007233AF" w14:textId="2C1BBFC3" w:rsidR="00DD6032" w:rsidRPr="00E92353" w:rsidRDefault="009F0293" w:rsidP="00454A4D">
      <w:pPr>
        <w:rPr>
          <w:rFonts w:asciiTheme="majorBidi" w:hAnsiTheme="majorBidi" w:cstheme="majorBidi"/>
        </w:rPr>
      </w:pPr>
      <w:r w:rsidRPr="00E92353">
        <w:rPr>
          <w:rFonts w:asciiTheme="majorBidi" w:hAnsiTheme="majorBidi" w:cstheme="majorBidi"/>
        </w:rPr>
        <w:t>LASI, Older adults</w:t>
      </w:r>
      <w:r w:rsidR="00BD749F" w:rsidRPr="00E92353">
        <w:rPr>
          <w:rFonts w:asciiTheme="majorBidi" w:hAnsiTheme="majorBidi" w:cstheme="majorBidi"/>
        </w:rPr>
        <w:t xml:space="preserve"> </w:t>
      </w:r>
      <w:r w:rsidRPr="00E92353">
        <w:rPr>
          <w:rFonts w:asciiTheme="majorBidi" w:hAnsiTheme="majorBidi" w:cstheme="majorBidi"/>
        </w:rPr>
        <w:t xml:space="preserve">India, </w:t>
      </w:r>
      <w:r w:rsidR="006823C1" w:rsidRPr="00E92353">
        <w:rPr>
          <w:rFonts w:asciiTheme="majorBidi" w:hAnsiTheme="majorBidi" w:cstheme="majorBidi"/>
        </w:rPr>
        <w:t>Preventive</w:t>
      </w:r>
      <w:r w:rsidR="002E2B22" w:rsidRPr="00E92353">
        <w:rPr>
          <w:rFonts w:asciiTheme="majorBidi" w:hAnsiTheme="majorBidi" w:cstheme="majorBidi"/>
        </w:rPr>
        <w:t xml:space="preserve"> </w:t>
      </w:r>
      <w:r w:rsidR="006823C1" w:rsidRPr="00E92353">
        <w:rPr>
          <w:rFonts w:asciiTheme="majorBidi" w:hAnsiTheme="majorBidi" w:cstheme="majorBidi"/>
        </w:rPr>
        <w:t xml:space="preserve">checkup, </w:t>
      </w:r>
      <w:r w:rsidR="00DB2800" w:rsidRPr="00E92353">
        <w:rPr>
          <w:rFonts w:asciiTheme="majorBidi" w:hAnsiTheme="majorBidi" w:cstheme="majorBidi"/>
        </w:rPr>
        <w:t>M</w:t>
      </w:r>
      <w:r w:rsidR="006823C1" w:rsidRPr="00E92353">
        <w:rPr>
          <w:rFonts w:asciiTheme="majorBidi" w:hAnsiTheme="majorBidi" w:cstheme="majorBidi"/>
        </w:rPr>
        <w:t>alnutrition</w:t>
      </w:r>
      <w:r w:rsidR="00454A4D" w:rsidRPr="00E92353">
        <w:rPr>
          <w:rFonts w:asciiTheme="majorBidi" w:hAnsiTheme="majorBidi" w:cstheme="majorBidi"/>
        </w:rPr>
        <w:t>,</w:t>
      </w:r>
      <w:r w:rsidR="00DB2800" w:rsidRPr="00E92353">
        <w:rPr>
          <w:rFonts w:asciiTheme="majorBidi" w:hAnsiTheme="majorBidi" w:cstheme="majorBidi"/>
        </w:rPr>
        <w:t xml:space="preserve"> Non- communicable disease</w:t>
      </w:r>
      <w:r w:rsidR="00454A4D" w:rsidRPr="00E92353">
        <w:rPr>
          <w:rFonts w:asciiTheme="majorBidi" w:hAnsiTheme="majorBidi" w:cstheme="majorBidi"/>
        </w:rPr>
        <w:t>.</w:t>
      </w:r>
      <w:r w:rsidR="00DD6032" w:rsidRPr="00E92353">
        <w:rPr>
          <w:rFonts w:asciiTheme="majorBidi" w:hAnsiTheme="majorBidi" w:cstheme="majorBidi"/>
        </w:rPr>
        <w:t xml:space="preserve"> </w:t>
      </w:r>
    </w:p>
    <w:p w14:paraId="38357028" w14:textId="77777777" w:rsidR="00DD6032" w:rsidRPr="00E92353" w:rsidRDefault="00DD6032" w:rsidP="006823C1">
      <w:pPr>
        <w:rPr>
          <w:rFonts w:asciiTheme="majorBidi" w:hAnsiTheme="majorBidi" w:cstheme="majorBidi"/>
        </w:rPr>
      </w:pPr>
      <w:r w:rsidRPr="00E92353">
        <w:rPr>
          <w:rFonts w:asciiTheme="majorBidi" w:hAnsiTheme="majorBidi" w:cstheme="majorBidi"/>
        </w:rPr>
        <w:t>Word count</w:t>
      </w:r>
    </w:p>
    <w:p w14:paraId="751C6F1E" w14:textId="77777777" w:rsidR="00DD6032" w:rsidRPr="00E92353" w:rsidRDefault="00DD6032" w:rsidP="006823C1">
      <w:pPr>
        <w:rPr>
          <w:rFonts w:asciiTheme="majorBidi" w:hAnsiTheme="majorBidi" w:cstheme="majorBidi"/>
        </w:rPr>
      </w:pPr>
      <w:r w:rsidRPr="00E92353">
        <w:rPr>
          <w:rFonts w:asciiTheme="majorBidi" w:hAnsiTheme="majorBidi" w:cstheme="majorBidi"/>
        </w:rPr>
        <w:t>Abstract:</w:t>
      </w:r>
      <w:r w:rsidR="00FC32E3" w:rsidRPr="00E92353">
        <w:rPr>
          <w:rFonts w:asciiTheme="majorBidi" w:hAnsiTheme="majorBidi" w:cstheme="majorBidi"/>
        </w:rPr>
        <w:t>188</w:t>
      </w:r>
    </w:p>
    <w:p w14:paraId="5EDFCD3B" w14:textId="77777777" w:rsidR="00DD6032" w:rsidRPr="00E92353" w:rsidRDefault="00DD6032" w:rsidP="006823C1">
      <w:pPr>
        <w:rPr>
          <w:rFonts w:asciiTheme="majorBidi" w:hAnsiTheme="majorBidi" w:cstheme="majorBidi"/>
        </w:rPr>
      </w:pPr>
      <w:r w:rsidRPr="00E92353">
        <w:rPr>
          <w:rFonts w:asciiTheme="majorBidi" w:hAnsiTheme="majorBidi" w:cstheme="majorBidi"/>
        </w:rPr>
        <w:t>Main text:</w:t>
      </w:r>
      <w:r w:rsidR="00A01302" w:rsidRPr="00E92353">
        <w:rPr>
          <w:rFonts w:asciiTheme="majorBidi" w:hAnsiTheme="majorBidi" w:cstheme="majorBidi"/>
        </w:rPr>
        <w:t>2190</w:t>
      </w:r>
    </w:p>
    <w:p w14:paraId="599CB6B6" w14:textId="77777777" w:rsidR="007807E5" w:rsidRPr="00E92353" w:rsidRDefault="007807E5" w:rsidP="006823C1">
      <w:pPr>
        <w:rPr>
          <w:rFonts w:asciiTheme="majorBidi" w:hAnsiTheme="majorBidi" w:cstheme="majorBidi"/>
        </w:rPr>
      </w:pPr>
    </w:p>
    <w:p w14:paraId="4A623CA7" w14:textId="77777777" w:rsidR="007807E5" w:rsidRPr="00E92353" w:rsidRDefault="007807E5" w:rsidP="006823C1">
      <w:pPr>
        <w:rPr>
          <w:rFonts w:asciiTheme="majorBidi" w:hAnsiTheme="majorBidi" w:cstheme="majorBidi"/>
        </w:rPr>
      </w:pPr>
    </w:p>
    <w:p w14:paraId="55389223" w14:textId="6C90A36A" w:rsidR="002E2B22" w:rsidRPr="00E92353" w:rsidRDefault="00DD6032" w:rsidP="006823C1">
      <w:pPr>
        <w:rPr>
          <w:rFonts w:asciiTheme="majorBidi" w:hAnsiTheme="majorBidi" w:cstheme="majorBidi"/>
          <w:sz w:val="28"/>
          <w:szCs w:val="28"/>
        </w:rPr>
      </w:pPr>
      <w:r w:rsidRPr="00E92353">
        <w:rPr>
          <w:rFonts w:asciiTheme="majorBidi" w:hAnsiTheme="majorBidi" w:cstheme="majorBidi"/>
          <w:b/>
          <w:bCs/>
          <w:sz w:val="28"/>
          <w:szCs w:val="28"/>
        </w:rPr>
        <w:t>Introduction</w:t>
      </w:r>
      <w:r w:rsidR="00FC32E3" w:rsidRPr="00E92353">
        <w:rPr>
          <w:rFonts w:asciiTheme="majorBidi" w:hAnsiTheme="majorBidi" w:cstheme="majorBidi"/>
          <w:sz w:val="28"/>
          <w:szCs w:val="28"/>
        </w:rPr>
        <w:t>:</w:t>
      </w:r>
      <w:r w:rsidR="006823C1" w:rsidRPr="00E92353">
        <w:rPr>
          <w:rFonts w:asciiTheme="majorBidi" w:hAnsiTheme="majorBidi" w:cstheme="majorBidi"/>
          <w:sz w:val="28"/>
          <w:szCs w:val="28"/>
        </w:rPr>
        <w:t xml:space="preserve"> </w:t>
      </w:r>
    </w:p>
    <w:p w14:paraId="09BDFBA1" w14:textId="77777777" w:rsidR="0035269F" w:rsidRPr="00E92353" w:rsidRDefault="0035269F" w:rsidP="00DB2800">
      <w:pPr>
        <w:jc w:val="both"/>
        <w:rPr>
          <w:rFonts w:asciiTheme="majorBidi" w:hAnsiTheme="majorBidi" w:cstheme="majorBidi"/>
          <w:lang w:val="en-US"/>
        </w:rPr>
      </w:pPr>
      <w:r w:rsidRPr="00E92353">
        <w:rPr>
          <w:rFonts w:asciiTheme="majorBidi" w:hAnsiTheme="majorBidi" w:cstheme="majorBidi"/>
          <w:lang w:val="en-US"/>
        </w:rPr>
        <w:t xml:space="preserve">The older population in India is growing at a rate three times higher than the rate of growth of the population as a whole. This changing demographic landscape of India is largely attributed to an improvement in longevity, among other factors like falling fertility. Life expectancy at birth in India has increased from 42 years in 1961 to 69 years in 2018 and is projected to increase to 76 years by 2050. Likewise, both life expectancy at age 60 and 80 have improved considerably and stand at 18 and 7 years, respectively, projected to rise to 21 and 8.5 years by 2050. However, the more important question that lingers is whether this increase in longevity has been accompanied by a commensurate improvement in health status and health care </w:t>
      </w:r>
      <w:proofErr w:type="spellStart"/>
      <w:r w:rsidRPr="00E92353">
        <w:rPr>
          <w:rFonts w:asciiTheme="majorBidi" w:hAnsiTheme="majorBidi" w:cstheme="majorBidi"/>
          <w:lang w:val="en-US"/>
        </w:rPr>
        <w:t>utilisation</w:t>
      </w:r>
      <w:proofErr w:type="spellEnd"/>
      <w:r w:rsidRPr="00E92353">
        <w:rPr>
          <w:rFonts w:asciiTheme="majorBidi" w:hAnsiTheme="majorBidi" w:cstheme="majorBidi"/>
          <w:lang w:val="en-US"/>
        </w:rPr>
        <w:t xml:space="preserve"> among the elderly population in </w:t>
      </w:r>
      <w:proofErr w:type="gramStart"/>
      <w:r w:rsidRPr="00E92353">
        <w:rPr>
          <w:rFonts w:asciiTheme="majorBidi" w:hAnsiTheme="majorBidi" w:cstheme="majorBidi"/>
          <w:lang w:val="en-US"/>
        </w:rPr>
        <w:t>India(</w:t>
      </w:r>
      <w:proofErr w:type="gramEnd"/>
      <w:r w:rsidRPr="00E92353">
        <w:rPr>
          <w:rFonts w:asciiTheme="majorBidi" w:hAnsiTheme="majorBidi" w:cstheme="majorBidi"/>
          <w:lang w:val="en-US"/>
        </w:rPr>
        <w:t>1)</w:t>
      </w:r>
    </w:p>
    <w:p w14:paraId="586AFEEB" w14:textId="77777777" w:rsidR="0035269F" w:rsidRPr="00E92353" w:rsidRDefault="0035269F" w:rsidP="00DB2800">
      <w:pPr>
        <w:jc w:val="both"/>
        <w:rPr>
          <w:rFonts w:asciiTheme="majorBidi" w:hAnsiTheme="majorBidi" w:cstheme="majorBidi"/>
          <w:lang w:val="en-US"/>
        </w:rPr>
      </w:pPr>
      <w:r w:rsidRPr="00E92353">
        <w:rPr>
          <w:rFonts w:asciiTheme="majorBidi" w:hAnsiTheme="majorBidi" w:cstheme="majorBidi"/>
          <w:lang w:val="en-US"/>
        </w:rPr>
        <w:t xml:space="preserve">Chronic illness is one of the major causes of mortality and morbidity among the elderly. The prevalence of chronic morbidity increases with an increase in the proportion of the elderly population, including several risk factors such as smoking, alcohol, and </w:t>
      </w:r>
      <w:proofErr w:type="gramStart"/>
      <w:r w:rsidRPr="00E92353">
        <w:rPr>
          <w:rFonts w:asciiTheme="majorBidi" w:hAnsiTheme="majorBidi" w:cstheme="majorBidi"/>
          <w:lang w:val="en-US"/>
        </w:rPr>
        <w:t>malnutrition..</w:t>
      </w:r>
      <w:proofErr w:type="gramEnd"/>
      <w:r w:rsidRPr="00E92353">
        <w:rPr>
          <w:rFonts w:asciiTheme="majorBidi" w:hAnsiTheme="majorBidi" w:cstheme="majorBidi"/>
          <w:lang w:val="en-US"/>
        </w:rPr>
        <w:t xml:space="preserve"> Chronic diseases cause medical, social, and psychological problems among the elderly population, which would ultimately limit their </w:t>
      </w:r>
      <w:proofErr w:type="gramStart"/>
      <w:r w:rsidRPr="00E92353">
        <w:rPr>
          <w:rFonts w:asciiTheme="majorBidi" w:hAnsiTheme="majorBidi" w:cstheme="majorBidi"/>
          <w:lang w:val="en-US"/>
        </w:rPr>
        <w:t>activities.(</w:t>
      </w:r>
      <w:proofErr w:type="gramEnd"/>
      <w:r w:rsidRPr="00E92353">
        <w:rPr>
          <w:rFonts w:asciiTheme="majorBidi" w:hAnsiTheme="majorBidi" w:cstheme="majorBidi"/>
          <w:lang w:val="en-US"/>
        </w:rPr>
        <w:t>2)</w:t>
      </w:r>
    </w:p>
    <w:p w14:paraId="1BC25663" w14:textId="77777777" w:rsidR="0035269F" w:rsidRPr="00E92353" w:rsidRDefault="0035269F" w:rsidP="00DB2800">
      <w:pPr>
        <w:jc w:val="both"/>
        <w:rPr>
          <w:rFonts w:asciiTheme="majorBidi" w:hAnsiTheme="majorBidi" w:cstheme="majorBidi"/>
          <w:lang w:val="en-US"/>
        </w:rPr>
      </w:pPr>
      <w:r w:rsidRPr="00E92353">
        <w:rPr>
          <w:rFonts w:asciiTheme="majorBidi" w:hAnsiTheme="majorBidi" w:cstheme="majorBidi"/>
          <w:lang w:val="en-US"/>
        </w:rPr>
        <w:t xml:space="preserve">Preventive health check-ups deal with the identification and minimization of disease risk factors, existing disease course improvement, and early disease detection through screening. This has become crucial since it allows people to know about their health issues well within </w:t>
      </w:r>
      <w:proofErr w:type="gramStart"/>
      <w:r w:rsidRPr="00E92353">
        <w:rPr>
          <w:rFonts w:asciiTheme="majorBidi" w:hAnsiTheme="majorBidi" w:cstheme="majorBidi"/>
          <w:lang w:val="en-US"/>
        </w:rPr>
        <w:t>time(</w:t>
      </w:r>
      <w:proofErr w:type="gramEnd"/>
      <w:r w:rsidRPr="00E92353">
        <w:rPr>
          <w:rFonts w:asciiTheme="majorBidi" w:hAnsiTheme="majorBidi" w:cstheme="majorBidi"/>
          <w:lang w:val="en-US"/>
        </w:rPr>
        <w:t>3)</w:t>
      </w:r>
    </w:p>
    <w:p w14:paraId="0978E5B7" w14:textId="77777777" w:rsidR="0035269F" w:rsidRPr="00E92353" w:rsidRDefault="0035269F" w:rsidP="00DB2800">
      <w:pPr>
        <w:jc w:val="both"/>
        <w:rPr>
          <w:rFonts w:asciiTheme="majorBidi" w:hAnsiTheme="majorBidi" w:cstheme="majorBidi"/>
          <w:lang w:val="en-US"/>
        </w:rPr>
      </w:pPr>
      <w:r w:rsidRPr="00E92353">
        <w:rPr>
          <w:rFonts w:asciiTheme="majorBidi" w:hAnsiTheme="majorBidi" w:cstheme="majorBidi"/>
          <w:lang w:val="en-US"/>
        </w:rPr>
        <w:t xml:space="preserve">Healthcare services in urban areas in India have been found to usually receive a larger share of public resources, resulting in lower investments in rural health infrastructure that suffers from issues of ill management, absenteeism among health facility staff, and lack of training for capacity building of health </w:t>
      </w:r>
      <w:proofErr w:type="gramStart"/>
      <w:r w:rsidRPr="00E92353">
        <w:rPr>
          <w:rFonts w:asciiTheme="majorBidi" w:hAnsiTheme="majorBidi" w:cstheme="majorBidi"/>
          <w:lang w:val="en-US"/>
        </w:rPr>
        <w:t>personnel.(</w:t>
      </w:r>
      <w:proofErr w:type="gramEnd"/>
      <w:r w:rsidRPr="00E92353">
        <w:rPr>
          <w:rFonts w:asciiTheme="majorBidi" w:hAnsiTheme="majorBidi" w:cstheme="majorBidi"/>
          <w:lang w:val="en-US"/>
        </w:rPr>
        <w:t>4)</w:t>
      </w:r>
    </w:p>
    <w:p w14:paraId="7E115779" w14:textId="77777777" w:rsidR="0035269F" w:rsidRPr="00E92353" w:rsidRDefault="0035269F" w:rsidP="00DB2800">
      <w:pPr>
        <w:jc w:val="both"/>
        <w:rPr>
          <w:rFonts w:asciiTheme="majorBidi" w:hAnsiTheme="majorBidi" w:cstheme="majorBidi"/>
          <w:lang w:val="en-US"/>
        </w:rPr>
      </w:pPr>
      <w:r w:rsidRPr="00E92353">
        <w:rPr>
          <w:rFonts w:asciiTheme="majorBidi" w:hAnsiTheme="majorBidi" w:cstheme="majorBidi"/>
          <w:lang w:val="en-US"/>
        </w:rPr>
        <w:t xml:space="preserve">This increasing older adult population leads to economic, social, and health concerns that require immediate and prompt responses from the government, enterprises, and </w:t>
      </w:r>
      <w:proofErr w:type="gramStart"/>
      <w:r w:rsidRPr="00E92353">
        <w:rPr>
          <w:rFonts w:asciiTheme="majorBidi" w:hAnsiTheme="majorBidi" w:cstheme="majorBidi"/>
          <w:lang w:val="en-US"/>
        </w:rPr>
        <w:t>society(</w:t>
      </w:r>
      <w:proofErr w:type="gramEnd"/>
      <w:r w:rsidRPr="00E92353">
        <w:rPr>
          <w:rFonts w:asciiTheme="majorBidi" w:hAnsiTheme="majorBidi" w:cstheme="majorBidi"/>
          <w:lang w:val="en-US"/>
        </w:rPr>
        <w:t>5)</w:t>
      </w:r>
    </w:p>
    <w:p w14:paraId="7A55AD6C" w14:textId="77777777" w:rsidR="0035269F" w:rsidRPr="00E92353" w:rsidRDefault="0035269F" w:rsidP="00DB2800">
      <w:pPr>
        <w:jc w:val="both"/>
        <w:rPr>
          <w:rFonts w:asciiTheme="majorBidi" w:hAnsiTheme="majorBidi" w:cstheme="majorBidi"/>
          <w:lang w:val="en-US"/>
        </w:rPr>
      </w:pPr>
      <w:r w:rsidRPr="00E92353">
        <w:rPr>
          <w:rFonts w:asciiTheme="majorBidi" w:hAnsiTheme="majorBidi" w:cstheme="majorBidi"/>
          <w:lang w:val="en-US"/>
        </w:rPr>
        <w:t xml:space="preserve">The rising disease burden of the aged raises the need for healthcare facilities and staff, and the paucity of social security provisions for the elderly exacerbates the problem. Lack of adequate health infrastructure and sustainable financial condition, the elderly with varied social and economic factors, and patients suffering from communicable and non-communicable and infectious diseases all constituted significant barriers to healthcare </w:t>
      </w:r>
      <w:proofErr w:type="spellStart"/>
      <w:r w:rsidRPr="00E92353">
        <w:rPr>
          <w:rFonts w:asciiTheme="majorBidi" w:hAnsiTheme="majorBidi" w:cstheme="majorBidi"/>
          <w:lang w:val="en-US"/>
        </w:rPr>
        <w:t>utilisation</w:t>
      </w:r>
      <w:proofErr w:type="spellEnd"/>
      <w:r w:rsidRPr="00E92353">
        <w:rPr>
          <w:rFonts w:asciiTheme="majorBidi" w:hAnsiTheme="majorBidi" w:cstheme="majorBidi"/>
          <w:lang w:val="en-US"/>
        </w:rPr>
        <w:t xml:space="preserve">. In addition, studies have also identified how </w:t>
      </w:r>
      <w:proofErr w:type="spellStart"/>
      <w:r w:rsidRPr="00E92353">
        <w:rPr>
          <w:rFonts w:asciiTheme="majorBidi" w:hAnsiTheme="majorBidi" w:cstheme="majorBidi"/>
          <w:lang w:val="en-US"/>
        </w:rPr>
        <w:t>utilisation</w:t>
      </w:r>
      <w:proofErr w:type="spellEnd"/>
      <w:r w:rsidRPr="00E92353">
        <w:rPr>
          <w:rFonts w:asciiTheme="majorBidi" w:hAnsiTheme="majorBidi" w:cstheme="majorBidi"/>
          <w:lang w:val="en-US"/>
        </w:rPr>
        <w:t xml:space="preserve"> of healthcare services among the elderly mainly depends on the availability, affordability, and quality of healthcare services. (6)</w:t>
      </w:r>
    </w:p>
    <w:p w14:paraId="43EAFACD" w14:textId="77777777" w:rsidR="0035269F" w:rsidRPr="00E92353" w:rsidRDefault="0035269F" w:rsidP="00DB2800">
      <w:pPr>
        <w:jc w:val="both"/>
        <w:rPr>
          <w:rFonts w:asciiTheme="majorBidi" w:hAnsiTheme="majorBidi" w:cstheme="majorBidi"/>
          <w:lang w:val="en-US"/>
        </w:rPr>
      </w:pPr>
      <w:r w:rsidRPr="00E92353">
        <w:rPr>
          <w:rFonts w:asciiTheme="majorBidi" w:hAnsiTheme="majorBidi" w:cstheme="majorBidi"/>
          <w:lang w:val="en-US"/>
        </w:rPr>
        <w:t>Prior studies on the older population and overall healthcare utilization have pointed out that age, sex, educational attainments, wealth status, health insurance, and place of residence are significant determinants of healthcare facilities (7)</w:t>
      </w:r>
    </w:p>
    <w:p w14:paraId="28A459F9" w14:textId="77777777" w:rsidR="0035269F" w:rsidRPr="00E92353" w:rsidRDefault="0035269F" w:rsidP="00DB2800">
      <w:pPr>
        <w:jc w:val="both"/>
        <w:rPr>
          <w:rFonts w:asciiTheme="majorBidi" w:hAnsiTheme="majorBidi" w:cstheme="majorBidi"/>
          <w:lang w:val="en-US"/>
        </w:rPr>
      </w:pPr>
      <w:r w:rsidRPr="00E92353">
        <w:rPr>
          <w:rFonts w:asciiTheme="majorBidi" w:hAnsiTheme="majorBidi" w:cstheme="majorBidi"/>
          <w:lang w:val="en-US"/>
        </w:rPr>
        <w:lastRenderedPageBreak/>
        <w:t>The main gap is considered as a knowledge only few of the older adults know about the preventive health check-up, particularly in relation to nutritional status.</w:t>
      </w:r>
    </w:p>
    <w:p w14:paraId="441C7495" w14:textId="72EA3047" w:rsidR="0035269F" w:rsidRPr="00E92353" w:rsidRDefault="0035269F" w:rsidP="00DB2800">
      <w:pPr>
        <w:jc w:val="both"/>
        <w:rPr>
          <w:rFonts w:asciiTheme="majorBidi" w:hAnsiTheme="majorBidi" w:cstheme="majorBidi"/>
          <w:lang w:val="en-US"/>
        </w:rPr>
      </w:pPr>
      <w:r w:rsidRPr="00E92353">
        <w:rPr>
          <w:rFonts w:asciiTheme="majorBidi" w:hAnsiTheme="majorBidi" w:cstheme="majorBidi"/>
          <w:lang w:val="en-US"/>
        </w:rPr>
        <w:t xml:space="preserve">The present study utilizes LASI </w:t>
      </w:r>
      <w:r w:rsidR="00DB2800" w:rsidRPr="00E92353">
        <w:rPr>
          <w:rFonts w:asciiTheme="majorBidi" w:hAnsiTheme="majorBidi" w:cstheme="majorBidi"/>
          <w:lang w:val="en-US"/>
        </w:rPr>
        <w:t>d</w:t>
      </w:r>
      <w:r w:rsidRPr="00E92353">
        <w:rPr>
          <w:rFonts w:asciiTheme="majorBidi" w:hAnsiTheme="majorBidi" w:cstheme="majorBidi"/>
          <w:lang w:val="en-US"/>
        </w:rPr>
        <w:t>ata to examine the prevalence and predictors of preventive health check-ups among the elderly in India, with a specific focus on sex differences and the association between socioeconomic factors and the utilization of such check-up.</w:t>
      </w:r>
    </w:p>
    <w:p w14:paraId="3F676402" w14:textId="77777777" w:rsidR="007807E5" w:rsidRPr="00E92353" w:rsidRDefault="007807E5" w:rsidP="006823C1">
      <w:pPr>
        <w:rPr>
          <w:rFonts w:asciiTheme="majorBidi" w:hAnsiTheme="majorBidi" w:cstheme="majorBidi"/>
          <w:b/>
          <w:bCs/>
          <w:lang w:val="en-US"/>
        </w:rPr>
      </w:pPr>
    </w:p>
    <w:p w14:paraId="48F4861C" w14:textId="77777777" w:rsidR="00DB2800" w:rsidRPr="00E92353" w:rsidRDefault="00DB2800" w:rsidP="006823C1">
      <w:pPr>
        <w:rPr>
          <w:rFonts w:asciiTheme="majorBidi" w:hAnsiTheme="majorBidi" w:cstheme="majorBidi"/>
          <w:b/>
          <w:bCs/>
        </w:rPr>
      </w:pPr>
    </w:p>
    <w:p w14:paraId="52438EF1" w14:textId="67C9CD0A" w:rsidR="00DD6032" w:rsidRPr="00E92353" w:rsidRDefault="00DD6032" w:rsidP="006823C1">
      <w:pPr>
        <w:rPr>
          <w:rFonts w:asciiTheme="majorBidi" w:hAnsiTheme="majorBidi" w:cstheme="majorBidi"/>
          <w:b/>
          <w:bCs/>
          <w:sz w:val="28"/>
          <w:szCs w:val="28"/>
        </w:rPr>
      </w:pPr>
      <w:r w:rsidRPr="00E92353">
        <w:rPr>
          <w:rFonts w:asciiTheme="majorBidi" w:hAnsiTheme="majorBidi" w:cstheme="majorBidi"/>
          <w:b/>
          <w:bCs/>
          <w:sz w:val="28"/>
          <w:szCs w:val="28"/>
        </w:rPr>
        <w:t>Methods</w:t>
      </w:r>
      <w:r w:rsidR="00DB2800" w:rsidRPr="00E92353">
        <w:rPr>
          <w:rFonts w:asciiTheme="majorBidi" w:hAnsiTheme="majorBidi" w:cstheme="majorBidi"/>
          <w:b/>
          <w:bCs/>
          <w:sz w:val="28"/>
          <w:szCs w:val="28"/>
        </w:rPr>
        <w:t>:</w:t>
      </w:r>
    </w:p>
    <w:p w14:paraId="04CF9BB4" w14:textId="48CA5C7D" w:rsidR="00DD6032" w:rsidRPr="00E92353" w:rsidRDefault="00DD6032" w:rsidP="006823C1">
      <w:pPr>
        <w:rPr>
          <w:rFonts w:asciiTheme="majorBidi" w:hAnsiTheme="majorBidi" w:cstheme="majorBidi"/>
          <w:b/>
          <w:bCs/>
          <w:sz w:val="28"/>
          <w:szCs w:val="28"/>
        </w:rPr>
      </w:pPr>
      <w:r w:rsidRPr="00E92353">
        <w:rPr>
          <w:rFonts w:asciiTheme="majorBidi" w:hAnsiTheme="majorBidi" w:cstheme="majorBidi"/>
          <w:b/>
          <w:bCs/>
          <w:sz w:val="28"/>
          <w:szCs w:val="28"/>
        </w:rPr>
        <w:t>Study design and data sourc</w:t>
      </w:r>
      <w:r w:rsidR="007807E5" w:rsidRPr="00E92353">
        <w:rPr>
          <w:rFonts w:asciiTheme="majorBidi" w:hAnsiTheme="majorBidi" w:cstheme="majorBidi"/>
          <w:b/>
          <w:bCs/>
          <w:sz w:val="28"/>
          <w:szCs w:val="28"/>
        </w:rPr>
        <w:t>e:</w:t>
      </w:r>
    </w:p>
    <w:p w14:paraId="0C4D2A42" w14:textId="0FAB6935" w:rsidR="00C1231F" w:rsidRPr="00E92353" w:rsidRDefault="00DD6032" w:rsidP="00DB2800">
      <w:pPr>
        <w:jc w:val="both"/>
        <w:rPr>
          <w:rFonts w:asciiTheme="majorBidi" w:hAnsiTheme="majorBidi" w:cstheme="majorBidi"/>
          <w:lang w:val="en-US"/>
        </w:rPr>
      </w:pPr>
      <w:r w:rsidRPr="00E92353">
        <w:rPr>
          <w:rFonts w:asciiTheme="majorBidi" w:hAnsiTheme="majorBidi" w:cstheme="majorBidi"/>
        </w:rPr>
        <w:t xml:space="preserve">                        </w:t>
      </w:r>
      <w:r w:rsidR="00C1231F" w:rsidRPr="00E92353">
        <w:rPr>
          <w:rFonts w:asciiTheme="majorBidi" w:hAnsiTheme="majorBidi" w:cstheme="majorBidi"/>
          <w:lang w:val="en-US"/>
        </w:rPr>
        <w:t>The research utilized secondary data from the Longitudinal Ageing research in India (LASI), a nationally representative survey of people aged 45 and over, including 72,250 participants from all Indian states and union territories, except Sikkim. Only respondents aged 60 and older were included in the study</w:t>
      </w:r>
      <w:r w:rsidR="00F70AF6" w:rsidRPr="00E92353">
        <w:rPr>
          <w:rFonts w:asciiTheme="majorBidi" w:hAnsiTheme="majorBidi" w:cstheme="majorBidi"/>
          <w:lang w:val="en-US"/>
        </w:rPr>
        <w:t>. The LASI dataset provided comprehensive data on sociodemographic, health, and behavioral traits of older persons in India.</w:t>
      </w:r>
      <w:r w:rsidR="00C27391" w:rsidRPr="00E92353">
        <w:rPr>
          <w:rFonts w:asciiTheme="majorBidi" w:hAnsiTheme="majorBidi" w:cstheme="majorBidi"/>
          <w:lang w:val="en-US"/>
        </w:rPr>
        <w:t xml:space="preserve"> The study aimed to determine the prevalence of preventive health check-up use among participants. Marital status was classified into two categories: currently married and widowed, separated, divorced, or never married. Obesity was assessed using Body Mass Index (BMI), with participants classified as Underweight, Normal, Overweight, or Obese according to WHO. Factors such as age group, gender, housing location, caste, religion, educational attainment, current tobacco use, and alcohol intake were also considered. The study aimed to provide a comprehensive understanding of health behaviors and factors influencing health.</w:t>
      </w:r>
      <w:r w:rsidR="00C27391" w:rsidRPr="00E92353">
        <w:rPr>
          <w:rFonts w:asciiTheme="majorBidi" w:eastAsia="Times New Roman" w:hAnsiTheme="majorBidi" w:cstheme="majorBidi"/>
          <w:kern w:val="0"/>
          <w:lang w:val="en-US"/>
          <w14:ligatures w14:val="none"/>
        </w:rPr>
        <w:t xml:space="preserve"> </w:t>
      </w:r>
      <w:r w:rsidR="00C27391" w:rsidRPr="00E92353">
        <w:rPr>
          <w:rFonts w:asciiTheme="majorBidi" w:hAnsiTheme="majorBidi" w:cstheme="majorBidi"/>
          <w:lang w:val="en-US"/>
        </w:rPr>
        <w:t>The LASI dataset was used in all analyses to ensure national representativeness and address the complexity of the survey design.</w:t>
      </w:r>
      <w:r w:rsidR="00C1231F" w:rsidRPr="00E92353">
        <w:rPr>
          <w:rFonts w:asciiTheme="majorBidi" w:hAnsiTheme="majorBidi" w:cstheme="majorBidi"/>
          <w:lang w:val="en-US"/>
        </w:rPr>
        <w:t xml:space="preserve"> </w:t>
      </w:r>
    </w:p>
    <w:p w14:paraId="024AA6ED" w14:textId="3DEFC47C" w:rsidR="007132C8" w:rsidRPr="00E92353" w:rsidRDefault="007132C8" w:rsidP="00DD6032">
      <w:pPr>
        <w:rPr>
          <w:rFonts w:asciiTheme="majorBidi" w:hAnsiTheme="majorBidi" w:cstheme="majorBidi"/>
          <w:b/>
          <w:bCs/>
          <w:sz w:val="28"/>
          <w:szCs w:val="28"/>
        </w:rPr>
      </w:pPr>
      <w:r w:rsidRPr="00E92353">
        <w:rPr>
          <w:rFonts w:asciiTheme="majorBidi" w:hAnsiTheme="majorBidi" w:cstheme="majorBidi"/>
          <w:b/>
          <w:bCs/>
          <w:sz w:val="28"/>
          <w:szCs w:val="28"/>
        </w:rPr>
        <w:t>Outcome variable</w:t>
      </w:r>
    </w:p>
    <w:p w14:paraId="04F283B4" w14:textId="0E27236A" w:rsidR="007132C8" w:rsidRPr="00E92353" w:rsidRDefault="007132C8" w:rsidP="00DD6032">
      <w:pPr>
        <w:rPr>
          <w:rFonts w:asciiTheme="majorBidi" w:hAnsiTheme="majorBidi" w:cstheme="majorBidi"/>
          <w:b/>
          <w:bCs/>
          <w:sz w:val="28"/>
          <w:szCs w:val="28"/>
        </w:rPr>
      </w:pPr>
      <w:r w:rsidRPr="00E92353">
        <w:rPr>
          <w:rFonts w:asciiTheme="majorBidi" w:hAnsiTheme="majorBidi" w:cstheme="majorBidi"/>
          <w:b/>
          <w:bCs/>
          <w:sz w:val="28"/>
          <w:szCs w:val="28"/>
        </w:rPr>
        <w:t xml:space="preserve">Preventive health check-up </w:t>
      </w:r>
      <w:proofErr w:type="gramStart"/>
      <w:r w:rsidRPr="00E92353">
        <w:rPr>
          <w:rFonts w:asciiTheme="majorBidi" w:hAnsiTheme="majorBidi" w:cstheme="majorBidi"/>
          <w:b/>
          <w:bCs/>
          <w:sz w:val="28"/>
          <w:szCs w:val="28"/>
        </w:rPr>
        <w:t>utilization</w:t>
      </w:r>
      <w:r w:rsidR="007807E5" w:rsidRPr="00E92353">
        <w:rPr>
          <w:rFonts w:asciiTheme="majorBidi" w:hAnsiTheme="majorBidi" w:cstheme="majorBidi"/>
          <w:b/>
          <w:bCs/>
          <w:sz w:val="28"/>
          <w:szCs w:val="28"/>
        </w:rPr>
        <w:t xml:space="preserve"> :</w:t>
      </w:r>
      <w:proofErr w:type="gramEnd"/>
    </w:p>
    <w:p w14:paraId="66B34D4F" w14:textId="77777777" w:rsidR="007132C8" w:rsidRPr="00E92353" w:rsidRDefault="007132C8" w:rsidP="00DD6032">
      <w:pPr>
        <w:rPr>
          <w:rFonts w:asciiTheme="majorBidi" w:hAnsiTheme="majorBidi" w:cstheme="majorBidi"/>
        </w:rPr>
      </w:pPr>
      <w:r w:rsidRPr="00E92353">
        <w:rPr>
          <w:rFonts w:asciiTheme="majorBidi" w:hAnsiTheme="majorBidi" w:cstheme="majorBidi"/>
        </w:rPr>
        <w:t>Reason for last visit to the health care facility: 1. Preventive checkup</w:t>
      </w:r>
    </w:p>
    <w:p w14:paraId="07A9B406" w14:textId="77777777" w:rsidR="007132C8" w:rsidRPr="00E92353" w:rsidRDefault="007132C8" w:rsidP="00DD6032">
      <w:pPr>
        <w:rPr>
          <w:rFonts w:asciiTheme="majorBidi" w:hAnsiTheme="majorBidi" w:cstheme="majorBidi"/>
        </w:rPr>
      </w:pPr>
      <w:r w:rsidRPr="00E92353">
        <w:rPr>
          <w:rFonts w:asciiTheme="majorBidi" w:hAnsiTheme="majorBidi" w:cstheme="majorBidi"/>
        </w:rPr>
        <w:t>1= Yes</w:t>
      </w:r>
    </w:p>
    <w:p w14:paraId="146BF6B1" w14:textId="77777777" w:rsidR="007132C8" w:rsidRPr="00E92353" w:rsidRDefault="007132C8" w:rsidP="00DD6032">
      <w:pPr>
        <w:rPr>
          <w:rFonts w:asciiTheme="majorBidi" w:hAnsiTheme="majorBidi" w:cstheme="majorBidi"/>
        </w:rPr>
      </w:pPr>
      <w:r w:rsidRPr="00E92353">
        <w:rPr>
          <w:rFonts w:asciiTheme="majorBidi" w:hAnsiTheme="majorBidi" w:cstheme="majorBidi"/>
        </w:rPr>
        <w:t>0= No</w:t>
      </w:r>
    </w:p>
    <w:p w14:paraId="0CE393BC" w14:textId="367DC745" w:rsidR="006477DA" w:rsidRPr="00E92353" w:rsidRDefault="006477DA" w:rsidP="00DD6032">
      <w:pPr>
        <w:rPr>
          <w:rFonts w:asciiTheme="majorBidi" w:hAnsiTheme="majorBidi" w:cstheme="majorBidi"/>
        </w:rPr>
      </w:pPr>
      <w:r w:rsidRPr="00E92353">
        <w:rPr>
          <w:rFonts w:asciiTheme="majorBidi" w:hAnsiTheme="majorBidi" w:cstheme="majorBidi"/>
        </w:rPr>
        <w:t>The response options were dichotomous</w:t>
      </w:r>
      <w:r w:rsidR="008C41D0" w:rsidRPr="00E92353">
        <w:rPr>
          <w:rFonts w:asciiTheme="majorBidi" w:hAnsiTheme="majorBidi" w:cstheme="majorBidi"/>
        </w:rPr>
        <w:t xml:space="preserve"> </w:t>
      </w:r>
      <w:r w:rsidRPr="00E92353">
        <w:rPr>
          <w:rFonts w:asciiTheme="majorBidi" w:hAnsiTheme="majorBidi" w:cstheme="majorBidi"/>
        </w:rPr>
        <w:t>(yes or no). In this analysis, if anyone chooses another option considered not going for a preventive checkup</w:t>
      </w:r>
    </w:p>
    <w:p w14:paraId="63EEF385" w14:textId="77777777" w:rsidR="00DB2800" w:rsidRPr="00E92353" w:rsidRDefault="00DB2800" w:rsidP="00DD6032">
      <w:pPr>
        <w:rPr>
          <w:rFonts w:asciiTheme="majorBidi" w:hAnsiTheme="majorBidi" w:cstheme="majorBidi"/>
          <w:b/>
          <w:bCs/>
        </w:rPr>
      </w:pPr>
    </w:p>
    <w:p w14:paraId="042D3AFD" w14:textId="77777777" w:rsidR="00DB2800" w:rsidRPr="00E92353" w:rsidRDefault="00DB2800" w:rsidP="00DD6032">
      <w:pPr>
        <w:rPr>
          <w:rFonts w:asciiTheme="majorBidi" w:hAnsiTheme="majorBidi" w:cstheme="majorBidi"/>
          <w:b/>
          <w:bCs/>
        </w:rPr>
      </w:pPr>
    </w:p>
    <w:p w14:paraId="6EB73670" w14:textId="77777777" w:rsidR="00DB2800" w:rsidRPr="00E92353" w:rsidRDefault="00DB2800" w:rsidP="00DD6032">
      <w:pPr>
        <w:rPr>
          <w:rFonts w:asciiTheme="majorBidi" w:hAnsiTheme="majorBidi" w:cstheme="majorBidi"/>
          <w:b/>
          <w:bCs/>
        </w:rPr>
      </w:pPr>
    </w:p>
    <w:p w14:paraId="057726E4" w14:textId="77777777" w:rsidR="0024473C" w:rsidRDefault="0024473C" w:rsidP="00DD6032">
      <w:pPr>
        <w:rPr>
          <w:rFonts w:asciiTheme="majorBidi" w:hAnsiTheme="majorBidi" w:cstheme="majorBidi"/>
          <w:b/>
          <w:bCs/>
        </w:rPr>
      </w:pPr>
    </w:p>
    <w:p w14:paraId="11A745F4" w14:textId="38E006F1" w:rsidR="00753A48" w:rsidRPr="00E92353" w:rsidRDefault="007807E5" w:rsidP="00DD6032">
      <w:pPr>
        <w:rPr>
          <w:rFonts w:asciiTheme="majorBidi" w:hAnsiTheme="majorBidi" w:cstheme="majorBidi"/>
          <w:b/>
          <w:bCs/>
          <w:sz w:val="28"/>
          <w:szCs w:val="28"/>
        </w:rPr>
      </w:pPr>
      <w:r w:rsidRPr="00E92353">
        <w:rPr>
          <w:rFonts w:asciiTheme="majorBidi" w:hAnsiTheme="majorBidi" w:cstheme="majorBidi"/>
          <w:b/>
          <w:bCs/>
          <w:sz w:val="28"/>
          <w:szCs w:val="28"/>
        </w:rPr>
        <w:lastRenderedPageBreak/>
        <w:t>Statistical Analysis:</w:t>
      </w:r>
    </w:p>
    <w:p w14:paraId="59334D06" w14:textId="34F0452B" w:rsidR="00753A48" w:rsidRPr="00E92353" w:rsidRDefault="00A256F1" w:rsidP="00DB2800">
      <w:pPr>
        <w:jc w:val="both"/>
        <w:rPr>
          <w:rFonts w:asciiTheme="majorBidi" w:hAnsiTheme="majorBidi" w:cstheme="majorBidi"/>
        </w:rPr>
      </w:pPr>
      <w:r w:rsidRPr="00E92353">
        <w:rPr>
          <w:rFonts w:asciiTheme="majorBidi" w:hAnsiTheme="majorBidi" w:cstheme="majorBidi"/>
        </w:rPr>
        <w:t xml:space="preserve">                           </w:t>
      </w:r>
      <w:r w:rsidR="00753A48" w:rsidRPr="00E92353">
        <w:rPr>
          <w:rFonts w:asciiTheme="majorBidi" w:hAnsiTheme="majorBidi" w:cstheme="majorBidi"/>
        </w:rPr>
        <w:t>Data analysis was done by using STATA version 17 software. A range of sociodemographic, health behavio</w:t>
      </w:r>
      <w:r w:rsidRPr="00E92353">
        <w:rPr>
          <w:rFonts w:asciiTheme="majorBidi" w:hAnsiTheme="majorBidi" w:cstheme="majorBidi"/>
        </w:rPr>
        <w:t>u</w:t>
      </w:r>
      <w:r w:rsidR="00753A48" w:rsidRPr="00E92353">
        <w:rPr>
          <w:rFonts w:asciiTheme="majorBidi" w:hAnsiTheme="majorBidi" w:cstheme="majorBidi"/>
        </w:rPr>
        <w:t xml:space="preserve">r, and </w:t>
      </w:r>
      <w:r w:rsidRPr="00E92353">
        <w:rPr>
          <w:rFonts w:asciiTheme="majorBidi" w:hAnsiTheme="majorBidi" w:cstheme="majorBidi"/>
        </w:rPr>
        <w:t xml:space="preserve">other </w:t>
      </w:r>
      <w:r w:rsidR="00753A48" w:rsidRPr="00E92353">
        <w:rPr>
          <w:rFonts w:asciiTheme="majorBidi" w:hAnsiTheme="majorBidi" w:cstheme="majorBidi"/>
        </w:rPr>
        <w:t>factors were considered as independent variables for the utilization of preventive health check-ups.</w:t>
      </w:r>
      <w:r w:rsidR="0035269F" w:rsidRPr="00E92353">
        <w:rPr>
          <w:rFonts w:asciiTheme="majorBidi" w:hAnsiTheme="majorBidi" w:cstheme="majorBidi"/>
        </w:rPr>
        <w:t xml:space="preserve"> The sociodemographic variables included age group, sex, place of residence, marital status, education level, and working status.</w:t>
      </w:r>
    </w:p>
    <w:p w14:paraId="201EBF8A" w14:textId="77777777" w:rsidR="00753A48" w:rsidRPr="00E92353" w:rsidRDefault="00A256F1" w:rsidP="00DB2800">
      <w:pPr>
        <w:jc w:val="both"/>
        <w:rPr>
          <w:rFonts w:asciiTheme="majorBidi" w:hAnsiTheme="majorBidi" w:cstheme="majorBidi"/>
        </w:rPr>
      </w:pPr>
      <w:r w:rsidRPr="00E92353">
        <w:rPr>
          <w:rFonts w:asciiTheme="majorBidi" w:hAnsiTheme="majorBidi" w:cstheme="majorBidi"/>
        </w:rPr>
        <w:t xml:space="preserve">                          </w:t>
      </w:r>
      <w:r w:rsidR="00753A48" w:rsidRPr="00E92353">
        <w:rPr>
          <w:rFonts w:asciiTheme="majorBidi" w:hAnsiTheme="majorBidi" w:cstheme="majorBidi"/>
        </w:rPr>
        <w:t>Health-related behavio</w:t>
      </w:r>
      <w:r w:rsidRPr="00E92353">
        <w:rPr>
          <w:rFonts w:asciiTheme="majorBidi" w:hAnsiTheme="majorBidi" w:cstheme="majorBidi"/>
        </w:rPr>
        <w:t>u</w:t>
      </w:r>
      <w:r w:rsidR="00753A48" w:rsidRPr="00E92353">
        <w:rPr>
          <w:rFonts w:asciiTheme="majorBidi" w:hAnsiTheme="majorBidi" w:cstheme="majorBidi"/>
        </w:rPr>
        <w:t>rs included current use of tobacco and current alcohol consumption, both recorded as yes or no responses.</w:t>
      </w:r>
    </w:p>
    <w:p w14:paraId="56A6DB3C" w14:textId="77777777" w:rsidR="00753A48" w:rsidRPr="00E92353" w:rsidRDefault="00753A48" w:rsidP="00DB2800">
      <w:pPr>
        <w:jc w:val="both"/>
        <w:rPr>
          <w:rFonts w:asciiTheme="majorBidi" w:hAnsiTheme="majorBidi" w:cstheme="majorBidi"/>
        </w:rPr>
      </w:pPr>
      <w:r w:rsidRPr="00E92353">
        <w:rPr>
          <w:rFonts w:asciiTheme="majorBidi" w:hAnsiTheme="majorBidi" w:cstheme="majorBidi"/>
        </w:rPr>
        <w:t xml:space="preserve">                          Nutritional status was assessed using Body Mass Index (BMI), calculated by dividing weight in kilograms by height in meters squared. Based on World Health Organization classifications, individuals were categorized as underweight (BMI less than 18.5), normal weight (BMI between 18.5 and 24.9), overweight (BMI between 25 and 29.9), or obese (BMI 30 and above).</w:t>
      </w:r>
    </w:p>
    <w:p w14:paraId="5A357F49" w14:textId="69AA82C7" w:rsidR="00753A48" w:rsidRPr="00E92353" w:rsidRDefault="00A256F1" w:rsidP="00DB2800">
      <w:pPr>
        <w:jc w:val="both"/>
        <w:rPr>
          <w:rFonts w:asciiTheme="majorBidi" w:hAnsiTheme="majorBidi" w:cstheme="majorBidi"/>
        </w:rPr>
      </w:pPr>
      <w:r w:rsidRPr="00E92353">
        <w:rPr>
          <w:rFonts w:asciiTheme="majorBidi" w:hAnsiTheme="majorBidi" w:cstheme="majorBidi"/>
        </w:rPr>
        <w:t xml:space="preserve">                         </w:t>
      </w:r>
      <w:r w:rsidR="00753A48" w:rsidRPr="00E92353">
        <w:rPr>
          <w:rFonts w:asciiTheme="majorBidi" w:hAnsiTheme="majorBidi" w:cstheme="majorBidi"/>
        </w:rPr>
        <w:t>Descriptive statistics were used to describe the characteristics of the study population. Chi-square tests were used to examine the association between each variable and the use of preventive health check-ups</w:t>
      </w:r>
      <w:r w:rsidRPr="00E92353">
        <w:rPr>
          <w:rFonts w:asciiTheme="majorBidi" w:hAnsiTheme="majorBidi" w:cstheme="majorBidi"/>
        </w:rPr>
        <w:t xml:space="preserve"> (p-value &lt;0.05)</w:t>
      </w:r>
      <w:r w:rsidR="00753A48" w:rsidRPr="00E92353">
        <w:rPr>
          <w:rFonts w:asciiTheme="majorBidi" w:hAnsiTheme="majorBidi" w:cstheme="majorBidi"/>
        </w:rPr>
        <w:t xml:space="preserve">. Finally, a </w:t>
      </w:r>
      <w:r w:rsidR="00881F1D" w:rsidRPr="00E92353">
        <w:rPr>
          <w:rFonts w:asciiTheme="majorBidi" w:hAnsiTheme="majorBidi" w:cstheme="majorBidi"/>
        </w:rPr>
        <w:t xml:space="preserve">Multivariate </w:t>
      </w:r>
      <w:r w:rsidR="00753A48" w:rsidRPr="00E92353">
        <w:rPr>
          <w:rFonts w:asciiTheme="majorBidi" w:hAnsiTheme="majorBidi" w:cstheme="majorBidi"/>
        </w:rPr>
        <w:t xml:space="preserve">logistic regression model was run to identify which variables </w:t>
      </w:r>
      <w:r w:rsidRPr="00E92353">
        <w:rPr>
          <w:rFonts w:asciiTheme="majorBidi" w:hAnsiTheme="majorBidi" w:cstheme="majorBidi"/>
        </w:rPr>
        <w:t>truly</w:t>
      </w:r>
      <w:r w:rsidR="00753A48" w:rsidRPr="00E92353">
        <w:rPr>
          <w:rFonts w:asciiTheme="majorBidi" w:hAnsiTheme="majorBidi" w:cstheme="majorBidi"/>
        </w:rPr>
        <w:t xml:space="preserve"> predicted the likelihood of utilizing preventive check-ups.</w:t>
      </w:r>
    </w:p>
    <w:p w14:paraId="51610256" w14:textId="77777777" w:rsidR="00A256F1" w:rsidRPr="00E92353" w:rsidRDefault="00A256F1" w:rsidP="00DB2800">
      <w:pPr>
        <w:jc w:val="both"/>
        <w:rPr>
          <w:rFonts w:asciiTheme="majorBidi" w:hAnsiTheme="majorBidi" w:cstheme="majorBidi"/>
        </w:rPr>
      </w:pPr>
    </w:p>
    <w:p w14:paraId="11A38FE3" w14:textId="497B366D" w:rsidR="00A256F1" w:rsidRPr="00E92353" w:rsidRDefault="00A256F1" w:rsidP="00A256F1">
      <w:pPr>
        <w:rPr>
          <w:rFonts w:asciiTheme="majorBidi" w:hAnsiTheme="majorBidi" w:cstheme="majorBidi"/>
          <w:b/>
          <w:bCs/>
          <w:sz w:val="28"/>
          <w:szCs w:val="28"/>
        </w:rPr>
      </w:pPr>
      <w:r w:rsidRPr="00E92353">
        <w:rPr>
          <w:rFonts w:asciiTheme="majorBidi" w:hAnsiTheme="majorBidi" w:cstheme="majorBidi"/>
          <w:b/>
          <w:bCs/>
          <w:sz w:val="28"/>
          <w:szCs w:val="28"/>
        </w:rPr>
        <w:t>Results</w:t>
      </w:r>
      <w:r w:rsidR="007807E5" w:rsidRPr="00E92353">
        <w:rPr>
          <w:rFonts w:asciiTheme="majorBidi" w:hAnsiTheme="majorBidi" w:cstheme="majorBidi"/>
          <w:b/>
          <w:bCs/>
          <w:sz w:val="28"/>
          <w:szCs w:val="28"/>
        </w:rPr>
        <w:t>:</w:t>
      </w:r>
    </w:p>
    <w:p w14:paraId="34CD772C" w14:textId="0830E627" w:rsidR="00285D0D" w:rsidRPr="00E92353" w:rsidRDefault="00285D0D" w:rsidP="00285D0D">
      <w:pPr>
        <w:rPr>
          <w:rFonts w:asciiTheme="majorBidi" w:hAnsiTheme="majorBidi" w:cstheme="majorBidi"/>
          <w:b/>
          <w:bCs/>
          <w:sz w:val="28"/>
          <w:szCs w:val="28"/>
        </w:rPr>
      </w:pPr>
      <w:r w:rsidRPr="00E92353">
        <w:rPr>
          <w:rFonts w:asciiTheme="majorBidi" w:hAnsiTheme="majorBidi" w:cstheme="majorBidi"/>
          <w:b/>
          <w:bCs/>
          <w:sz w:val="28"/>
          <w:szCs w:val="28"/>
        </w:rPr>
        <w:t>T</w:t>
      </w:r>
      <w:r w:rsidR="007807E5" w:rsidRPr="00E92353">
        <w:rPr>
          <w:rFonts w:asciiTheme="majorBidi" w:hAnsiTheme="majorBidi" w:cstheme="majorBidi"/>
          <w:b/>
          <w:bCs/>
          <w:sz w:val="28"/>
          <w:szCs w:val="28"/>
        </w:rPr>
        <w:t>able</w:t>
      </w:r>
      <w:r w:rsidRPr="00E92353">
        <w:rPr>
          <w:rFonts w:asciiTheme="majorBidi" w:hAnsiTheme="majorBidi" w:cstheme="majorBidi"/>
          <w:b/>
          <w:bCs/>
          <w:sz w:val="28"/>
          <w:szCs w:val="28"/>
        </w:rPr>
        <w:t xml:space="preserve"> 1: Sample characteristics of the Study Population </w:t>
      </w:r>
    </w:p>
    <w:p w14:paraId="4E164B1C" w14:textId="77777777" w:rsidR="00644BC9" w:rsidRPr="00E92353" w:rsidRDefault="00644BC9" w:rsidP="00DB2800">
      <w:pPr>
        <w:jc w:val="both"/>
        <w:rPr>
          <w:rFonts w:asciiTheme="majorBidi" w:hAnsiTheme="majorBidi" w:cstheme="majorBidi"/>
          <w:lang w:val="en-US"/>
        </w:rPr>
      </w:pPr>
      <w:r w:rsidRPr="00E92353">
        <w:rPr>
          <w:rFonts w:asciiTheme="majorBidi" w:hAnsiTheme="majorBidi" w:cstheme="majorBidi"/>
          <w:lang w:val="en-US"/>
        </w:rPr>
        <w:t>The study analyzed the sociodemographic data of 31,902 older individuals aged 60-69. The majority lived in rural areas, with 66.1% of respondents being female. The majority of participants had no formal education, with only 7.6% having achieved higher secondary education. The majority were Hindu, with 73.0% being from this group. The caste distribution was divided into the Other Backward Class (OBC), General/Other, Scheduled Caste, and Scheduled Tribe. 16.3% of participants used tobacco, while 17.0% consumed alcohol. BMI classifications showed that 46.7% fell within the normal weight range, while 20.5% were underweight, 16.6% were overweight, and 16.1% were obese. The majority of participants were married, with 42.0% still in employment. The study highlights the importance of education and health behaviors in older individuals.</w:t>
      </w:r>
    </w:p>
    <w:p w14:paraId="42C870FB" w14:textId="3B86A39D" w:rsidR="00285D0D" w:rsidRPr="00E92353" w:rsidRDefault="00285D0D" w:rsidP="00285D0D">
      <w:pPr>
        <w:rPr>
          <w:rFonts w:asciiTheme="majorBidi" w:hAnsiTheme="majorBidi" w:cstheme="majorBidi"/>
          <w:b/>
          <w:bCs/>
          <w:sz w:val="28"/>
          <w:szCs w:val="28"/>
        </w:rPr>
      </w:pPr>
      <w:r w:rsidRPr="00E92353">
        <w:rPr>
          <w:rFonts w:asciiTheme="majorBidi" w:hAnsiTheme="majorBidi" w:cstheme="majorBidi"/>
          <w:b/>
          <w:bCs/>
          <w:sz w:val="28"/>
          <w:szCs w:val="28"/>
        </w:rPr>
        <w:t xml:space="preserve">Table 2: Prevalence of Preventive Health Check-up Utilization </w:t>
      </w:r>
    </w:p>
    <w:p w14:paraId="04C2D719" w14:textId="77777777" w:rsidR="00206562" w:rsidRPr="00E92353" w:rsidRDefault="00285D0D" w:rsidP="00DB2800">
      <w:pPr>
        <w:jc w:val="both"/>
        <w:rPr>
          <w:rFonts w:asciiTheme="majorBidi" w:hAnsiTheme="majorBidi" w:cstheme="majorBidi"/>
          <w:lang w:val="en-US"/>
        </w:rPr>
      </w:pPr>
      <w:r w:rsidRPr="00E92353">
        <w:rPr>
          <w:rFonts w:asciiTheme="majorBidi" w:hAnsiTheme="majorBidi" w:cstheme="majorBidi"/>
        </w:rPr>
        <w:t xml:space="preserve">                  </w:t>
      </w:r>
      <w:r w:rsidR="00206562" w:rsidRPr="00E92353">
        <w:rPr>
          <w:rFonts w:asciiTheme="majorBidi" w:hAnsiTheme="majorBidi" w:cstheme="majorBidi"/>
          <w:lang w:val="en-US"/>
        </w:rPr>
        <w:t>The study found that preventive health check-up utilization among older adults is low, with only 9.5% reporting having undergone one. Urban residents (11.2%) had higher preventive service use than rural residents (8.4%). Individuals with higher secondary education (15.3%) had a higher likelihood of using check-ups compared to those without formal education (6.7%). Married individuals (10.5%) were more likely to undergo check-ups compared to widowed, separated, or divorced individuals (8.1%).</w:t>
      </w:r>
    </w:p>
    <w:p w14:paraId="32DD02AD" w14:textId="41C28D1C" w:rsidR="00285D0D" w:rsidRPr="00E92353" w:rsidRDefault="00AF30AA" w:rsidP="00285D0D">
      <w:pPr>
        <w:rPr>
          <w:rFonts w:asciiTheme="majorBidi" w:hAnsiTheme="majorBidi" w:cstheme="majorBidi"/>
          <w:b/>
          <w:bCs/>
          <w:sz w:val="28"/>
          <w:szCs w:val="28"/>
        </w:rPr>
      </w:pPr>
      <w:r w:rsidRPr="00E92353">
        <w:rPr>
          <w:rFonts w:asciiTheme="majorBidi" w:hAnsiTheme="majorBidi" w:cstheme="majorBidi"/>
          <w:b/>
          <w:bCs/>
          <w:sz w:val="28"/>
          <w:szCs w:val="28"/>
        </w:rPr>
        <w:lastRenderedPageBreak/>
        <w:t xml:space="preserve">Table 3: </w:t>
      </w:r>
      <w:r w:rsidR="00285D0D" w:rsidRPr="00E92353">
        <w:rPr>
          <w:rFonts w:asciiTheme="majorBidi" w:hAnsiTheme="majorBidi" w:cstheme="majorBidi"/>
          <w:b/>
          <w:bCs/>
          <w:sz w:val="28"/>
          <w:szCs w:val="28"/>
        </w:rPr>
        <w:t>Association Between Preventive Health Check-up and Nutritional Status</w:t>
      </w:r>
      <w:r w:rsidRPr="00E92353">
        <w:rPr>
          <w:rFonts w:asciiTheme="majorBidi" w:hAnsiTheme="majorBidi" w:cstheme="majorBidi"/>
          <w:b/>
          <w:bCs/>
          <w:sz w:val="28"/>
          <w:szCs w:val="28"/>
        </w:rPr>
        <w:t xml:space="preserve"> </w:t>
      </w:r>
    </w:p>
    <w:p w14:paraId="63BC7FC9" w14:textId="3E8196B5" w:rsidR="00285D0D" w:rsidRPr="00E92353" w:rsidRDefault="00AF30AA" w:rsidP="00DB2800">
      <w:pPr>
        <w:jc w:val="both"/>
        <w:rPr>
          <w:rFonts w:asciiTheme="majorBidi" w:hAnsiTheme="majorBidi" w:cstheme="majorBidi"/>
          <w:lang w:val="en-US"/>
        </w:rPr>
      </w:pPr>
      <w:r w:rsidRPr="00E92353">
        <w:rPr>
          <w:rFonts w:asciiTheme="majorBidi" w:hAnsiTheme="majorBidi" w:cstheme="majorBidi"/>
        </w:rPr>
        <w:t xml:space="preserve">                 </w:t>
      </w:r>
      <w:r w:rsidR="00206562" w:rsidRPr="00E92353">
        <w:rPr>
          <w:rFonts w:asciiTheme="majorBidi" w:hAnsiTheme="majorBidi" w:cstheme="majorBidi"/>
          <w:lang w:val="en-US"/>
        </w:rPr>
        <w:t>The study investigates the connection between nutritional status and the use of preventive health check-ups among older adults. It found a significant relationship between Body Mass Index (BMI) and the utilization of preventive services. Specifically, underweight older adults were less likely to seek preventive check-ups compared to those with normal weight (17.2% vs. 20.9%), while obese individuals showed a slightly higher likelihood of utilizing these services compared to non-obese individuals (17.4% vs. 16.0%). These results suggest that better nutritional status may be linked with higher health-seeking behavior among older adults.</w:t>
      </w:r>
    </w:p>
    <w:p w14:paraId="6FFFB1AB" w14:textId="4B72CBC5" w:rsidR="00881F1D" w:rsidRPr="00E92353" w:rsidRDefault="00AF30AA" w:rsidP="00881F1D">
      <w:pPr>
        <w:rPr>
          <w:rFonts w:asciiTheme="majorBidi" w:hAnsiTheme="majorBidi" w:cstheme="majorBidi"/>
          <w:sz w:val="28"/>
          <w:szCs w:val="28"/>
        </w:rPr>
      </w:pPr>
      <w:r w:rsidRPr="00E92353">
        <w:rPr>
          <w:rFonts w:asciiTheme="majorBidi" w:hAnsiTheme="majorBidi" w:cstheme="majorBidi"/>
          <w:b/>
          <w:bCs/>
          <w:sz w:val="28"/>
          <w:szCs w:val="28"/>
        </w:rPr>
        <w:t>Table</w:t>
      </w:r>
      <w:r w:rsidR="00DB2800" w:rsidRPr="00E92353">
        <w:rPr>
          <w:rFonts w:asciiTheme="majorBidi" w:hAnsiTheme="majorBidi" w:cstheme="majorBidi"/>
          <w:b/>
          <w:bCs/>
          <w:sz w:val="28"/>
          <w:szCs w:val="28"/>
        </w:rPr>
        <w:t xml:space="preserve"> 4</w:t>
      </w:r>
    </w:p>
    <w:p w14:paraId="46464025" w14:textId="766D709F" w:rsidR="00881F1D" w:rsidRPr="00E92353" w:rsidRDefault="00881F1D" w:rsidP="00DB2800">
      <w:pPr>
        <w:jc w:val="both"/>
        <w:rPr>
          <w:rFonts w:asciiTheme="majorBidi" w:hAnsiTheme="majorBidi" w:cstheme="majorBidi"/>
        </w:rPr>
      </w:pPr>
      <w:r w:rsidRPr="00E92353">
        <w:rPr>
          <w:rFonts w:asciiTheme="majorBidi" w:hAnsiTheme="majorBidi" w:cstheme="majorBidi"/>
        </w:rPr>
        <w:t>The results of the multivariable logistic regression analysis assessing the predictors of preventive health check-up utilization. Educational attainment, marital status, caste, and alcohol consumption were significant predictors. Participants with higher secondary education or above had 1.53 times higher odds of undergoing preventive check-ups (95% CI: 1.25–1.88, p &lt; 0.001) compared to those with no education. Similarly, currently married older adults were more likely to utilize preventive services (OR = 1.15, 95% CI: 1.03–1.28, p = 0.012). Respondents belonging to the General caste had higher odds of check-up utilization (OR = 1.17, p = 0.037) compared with Scheduled Castes or Tribes. In contrast, alcohol users were less likely to attend preventive check-ups (OR = 0.82, 95% CI: 0.72–0.94, p = 0.005). Urban residence showed a borderline association with higher odds of preventive service use (OR = 1.11, 95% CI: 1.00–1.24, p = 0.052). However, age, sex, and tobacco use were not significantly associated with preventive health check-up utilization.</w:t>
      </w:r>
    </w:p>
    <w:p w14:paraId="47C07E32" w14:textId="77777777" w:rsidR="00881F1D" w:rsidRPr="00E92353" w:rsidRDefault="00881F1D" w:rsidP="00DD6032">
      <w:pPr>
        <w:rPr>
          <w:rFonts w:asciiTheme="majorBidi" w:hAnsiTheme="majorBidi" w:cstheme="majorBidi"/>
          <w:b/>
          <w:bCs/>
        </w:rPr>
      </w:pPr>
    </w:p>
    <w:p w14:paraId="575EDA9B" w14:textId="74930839" w:rsidR="005931B0" w:rsidRPr="00E92353" w:rsidRDefault="001809F2" w:rsidP="0035269F">
      <w:pPr>
        <w:rPr>
          <w:rFonts w:asciiTheme="majorBidi" w:hAnsiTheme="majorBidi" w:cstheme="majorBidi"/>
          <w:b/>
          <w:bCs/>
          <w:sz w:val="28"/>
          <w:szCs w:val="28"/>
        </w:rPr>
      </w:pPr>
      <w:r w:rsidRPr="00E92353">
        <w:rPr>
          <w:rFonts w:asciiTheme="majorBidi" w:hAnsiTheme="majorBidi" w:cstheme="majorBidi"/>
          <w:b/>
          <w:bCs/>
          <w:sz w:val="28"/>
          <w:szCs w:val="28"/>
        </w:rPr>
        <w:t>Discussion</w:t>
      </w:r>
      <w:r w:rsidR="007807E5" w:rsidRPr="00E92353">
        <w:rPr>
          <w:rFonts w:asciiTheme="majorBidi" w:hAnsiTheme="majorBidi" w:cstheme="majorBidi"/>
          <w:b/>
          <w:bCs/>
          <w:sz w:val="28"/>
          <w:szCs w:val="28"/>
        </w:rPr>
        <w:t>:</w:t>
      </w:r>
    </w:p>
    <w:p w14:paraId="03F5A7D0" w14:textId="77777777" w:rsidR="0035269F" w:rsidRPr="00E92353" w:rsidRDefault="0035269F" w:rsidP="00DB2800">
      <w:pPr>
        <w:numPr>
          <w:ilvl w:val="0"/>
          <w:numId w:val="2"/>
        </w:numPr>
        <w:jc w:val="both"/>
        <w:rPr>
          <w:rFonts w:asciiTheme="majorBidi" w:hAnsiTheme="majorBidi" w:cstheme="majorBidi"/>
          <w:lang w:val="en-US"/>
        </w:rPr>
      </w:pPr>
      <w:r w:rsidRPr="00E92353">
        <w:rPr>
          <w:rFonts w:asciiTheme="majorBidi" w:hAnsiTheme="majorBidi" w:cstheme="majorBidi"/>
          <w:lang w:val="en-US"/>
        </w:rPr>
        <w:t>This study looked at how many older adults in India use preventive health check-ups and what factors affect their use. Using data from the LASI survey, we found that only 9.49% of adults aged 60 and above had a preventive check-up. This low rate is considered because older adults face many health problems, like chronic diseases and undernutrition. Encouraging early detection through routine check-ups is important for healthy ageing.</w:t>
      </w:r>
    </w:p>
    <w:p w14:paraId="02338E8A" w14:textId="77777777" w:rsidR="0035269F" w:rsidRPr="00E92353" w:rsidRDefault="0035269F" w:rsidP="00DB2800">
      <w:pPr>
        <w:numPr>
          <w:ilvl w:val="0"/>
          <w:numId w:val="2"/>
        </w:numPr>
        <w:jc w:val="both"/>
        <w:rPr>
          <w:rFonts w:asciiTheme="majorBidi" w:hAnsiTheme="majorBidi" w:cstheme="majorBidi"/>
          <w:lang w:val="en-US"/>
        </w:rPr>
      </w:pPr>
      <w:r w:rsidRPr="00E92353">
        <w:rPr>
          <w:rFonts w:asciiTheme="majorBidi" w:hAnsiTheme="majorBidi" w:cstheme="majorBidi"/>
          <w:lang w:val="en-US"/>
        </w:rPr>
        <w:t>One major finding was the difference between rural and urban areas. Urban residents were much more likely to go for check-ups, likely because of better access to hospitals, transport, and health knowledge. Education also played a big role — those with higher education used services more, showing that awareness and understanding are key to preventive care. Those with no schooling were the least likely to use check-ups.</w:t>
      </w:r>
    </w:p>
    <w:p w14:paraId="0EEFEB8C" w14:textId="77777777" w:rsidR="0035269F" w:rsidRPr="00E92353" w:rsidRDefault="0035269F" w:rsidP="00DB2800">
      <w:pPr>
        <w:numPr>
          <w:ilvl w:val="0"/>
          <w:numId w:val="3"/>
        </w:numPr>
        <w:jc w:val="both"/>
        <w:rPr>
          <w:rFonts w:asciiTheme="majorBidi" w:hAnsiTheme="majorBidi" w:cstheme="majorBidi"/>
          <w:lang w:val="en-US"/>
        </w:rPr>
      </w:pPr>
      <w:r w:rsidRPr="00E92353">
        <w:rPr>
          <w:rFonts w:asciiTheme="majorBidi" w:hAnsiTheme="majorBidi" w:cstheme="majorBidi"/>
          <w:lang w:val="en-US"/>
        </w:rPr>
        <w:t xml:space="preserve">Policy and </w:t>
      </w:r>
      <w:proofErr w:type="spellStart"/>
      <w:r w:rsidRPr="00E92353">
        <w:rPr>
          <w:rFonts w:asciiTheme="majorBidi" w:hAnsiTheme="majorBidi" w:cstheme="majorBidi"/>
          <w:lang w:val="en-US"/>
        </w:rPr>
        <w:t>programme</w:t>
      </w:r>
      <w:proofErr w:type="spellEnd"/>
      <w:r w:rsidRPr="00E92353">
        <w:rPr>
          <w:rFonts w:asciiTheme="majorBidi" w:hAnsiTheme="majorBidi" w:cstheme="majorBidi"/>
          <w:lang w:val="en-US"/>
        </w:rPr>
        <w:t xml:space="preserve"> implications:</w:t>
      </w:r>
    </w:p>
    <w:p w14:paraId="252C222B" w14:textId="77777777" w:rsidR="0035269F" w:rsidRPr="00E92353" w:rsidRDefault="0035269F" w:rsidP="00DB2800">
      <w:pPr>
        <w:numPr>
          <w:ilvl w:val="1"/>
          <w:numId w:val="4"/>
        </w:numPr>
        <w:jc w:val="both"/>
        <w:rPr>
          <w:rFonts w:asciiTheme="majorBidi" w:hAnsiTheme="majorBidi" w:cstheme="majorBidi"/>
          <w:lang w:val="en-US"/>
        </w:rPr>
      </w:pPr>
      <w:r w:rsidRPr="00E92353">
        <w:rPr>
          <w:rFonts w:asciiTheme="majorBidi" w:hAnsiTheme="majorBidi" w:cstheme="majorBidi"/>
          <w:lang w:val="en-US"/>
        </w:rPr>
        <w:t>Strengthening outreach through NPHCE</w:t>
      </w:r>
    </w:p>
    <w:p w14:paraId="2927A0F7" w14:textId="77777777" w:rsidR="0035269F" w:rsidRPr="00E92353" w:rsidRDefault="0035269F" w:rsidP="00DB2800">
      <w:pPr>
        <w:numPr>
          <w:ilvl w:val="1"/>
          <w:numId w:val="4"/>
        </w:numPr>
        <w:jc w:val="both"/>
        <w:rPr>
          <w:rFonts w:asciiTheme="majorBidi" w:hAnsiTheme="majorBidi" w:cstheme="majorBidi"/>
          <w:lang w:val="en-US"/>
        </w:rPr>
      </w:pPr>
      <w:r w:rsidRPr="00E92353">
        <w:rPr>
          <w:rFonts w:asciiTheme="majorBidi" w:hAnsiTheme="majorBidi" w:cstheme="majorBidi"/>
          <w:lang w:val="en-US"/>
        </w:rPr>
        <w:lastRenderedPageBreak/>
        <w:t xml:space="preserve">Integrate </w:t>
      </w:r>
      <w:proofErr w:type="gramStart"/>
      <w:r w:rsidRPr="00E92353">
        <w:rPr>
          <w:rFonts w:asciiTheme="majorBidi" w:hAnsiTheme="majorBidi" w:cstheme="majorBidi"/>
          <w:lang w:val="en-US"/>
        </w:rPr>
        <w:t>routine  preventive</w:t>
      </w:r>
      <w:proofErr w:type="gramEnd"/>
      <w:r w:rsidRPr="00E92353">
        <w:rPr>
          <w:rFonts w:asciiTheme="majorBidi" w:hAnsiTheme="majorBidi" w:cstheme="majorBidi"/>
          <w:lang w:val="en-US"/>
        </w:rPr>
        <w:t xml:space="preserve"> assessments for older </w:t>
      </w:r>
      <w:proofErr w:type="spellStart"/>
      <w:r w:rsidRPr="00E92353">
        <w:rPr>
          <w:rFonts w:asciiTheme="majorBidi" w:hAnsiTheme="majorBidi" w:cstheme="majorBidi"/>
          <w:lang w:val="en-US"/>
        </w:rPr>
        <w:t>audlts</w:t>
      </w:r>
      <w:proofErr w:type="spellEnd"/>
      <w:r w:rsidRPr="00E92353">
        <w:rPr>
          <w:rFonts w:asciiTheme="majorBidi" w:hAnsiTheme="majorBidi" w:cstheme="majorBidi"/>
          <w:lang w:val="en-US"/>
        </w:rPr>
        <w:t xml:space="preserve"> into AB-HWCs such as screening for chronic diseases, nutrition, basic </w:t>
      </w:r>
      <w:proofErr w:type="gramStart"/>
      <w:r w:rsidRPr="00E92353">
        <w:rPr>
          <w:rFonts w:asciiTheme="majorBidi" w:hAnsiTheme="majorBidi" w:cstheme="majorBidi"/>
          <w:lang w:val="en-US"/>
        </w:rPr>
        <w:t>diagnostics,  improve</w:t>
      </w:r>
      <w:proofErr w:type="gramEnd"/>
      <w:r w:rsidRPr="00E92353">
        <w:rPr>
          <w:rFonts w:asciiTheme="majorBidi" w:hAnsiTheme="majorBidi" w:cstheme="majorBidi"/>
          <w:lang w:val="en-US"/>
        </w:rPr>
        <w:t xml:space="preserve"> health education and referral </w:t>
      </w:r>
    </w:p>
    <w:p w14:paraId="7056F94C" w14:textId="234C6871" w:rsidR="0035269F" w:rsidRPr="00E92353" w:rsidRDefault="0035269F" w:rsidP="00DB2800">
      <w:pPr>
        <w:numPr>
          <w:ilvl w:val="1"/>
          <w:numId w:val="4"/>
        </w:numPr>
        <w:jc w:val="both"/>
        <w:rPr>
          <w:rFonts w:asciiTheme="majorBidi" w:hAnsiTheme="majorBidi" w:cstheme="majorBidi"/>
          <w:lang w:val="en-US"/>
        </w:rPr>
      </w:pPr>
      <w:r w:rsidRPr="00E92353">
        <w:rPr>
          <w:rFonts w:asciiTheme="majorBidi" w:hAnsiTheme="majorBidi" w:cstheme="majorBidi"/>
          <w:lang w:val="en-US"/>
        </w:rPr>
        <w:t>Need to improve the interventions that reduce the financial hardship so that preventive services become accessible to all older adult without risk of financial hardship</w:t>
      </w:r>
      <w:r w:rsidR="00F30F70" w:rsidRPr="00E92353">
        <w:rPr>
          <w:rFonts w:asciiTheme="majorBidi" w:hAnsiTheme="majorBidi" w:cstheme="majorBidi"/>
          <w:lang w:val="en-US"/>
        </w:rPr>
        <w:t xml:space="preserve"> </w:t>
      </w:r>
      <w:r w:rsidRPr="00E92353">
        <w:rPr>
          <w:rFonts w:asciiTheme="majorBidi" w:hAnsiTheme="majorBidi" w:cstheme="majorBidi"/>
          <w:lang w:val="en-US"/>
        </w:rPr>
        <w:t>(SDG 3.8)</w:t>
      </w:r>
    </w:p>
    <w:p w14:paraId="53A6C315" w14:textId="77777777" w:rsidR="0035269F" w:rsidRPr="00E92353" w:rsidRDefault="0035269F" w:rsidP="00DB2800">
      <w:pPr>
        <w:numPr>
          <w:ilvl w:val="1"/>
          <w:numId w:val="4"/>
        </w:numPr>
        <w:jc w:val="both"/>
        <w:rPr>
          <w:rFonts w:asciiTheme="majorBidi" w:hAnsiTheme="majorBidi" w:cstheme="majorBidi"/>
          <w:lang w:val="en-US"/>
        </w:rPr>
      </w:pPr>
      <w:r w:rsidRPr="00E92353">
        <w:rPr>
          <w:rFonts w:asciiTheme="majorBidi" w:hAnsiTheme="majorBidi" w:cstheme="majorBidi"/>
          <w:lang w:val="en-US"/>
        </w:rPr>
        <w:t>Develop outreach and IEC (information, education, communication) materials in local languages, involve community leaders and family caregivers and follow-up</w:t>
      </w:r>
    </w:p>
    <w:p w14:paraId="3F96DAD0" w14:textId="77777777" w:rsidR="0035269F" w:rsidRPr="00E92353" w:rsidRDefault="0035269F" w:rsidP="00DB2800">
      <w:pPr>
        <w:numPr>
          <w:ilvl w:val="1"/>
          <w:numId w:val="4"/>
        </w:numPr>
        <w:jc w:val="both"/>
        <w:rPr>
          <w:rFonts w:asciiTheme="majorBidi" w:hAnsiTheme="majorBidi" w:cstheme="majorBidi"/>
          <w:lang w:val="en-US"/>
        </w:rPr>
      </w:pPr>
      <w:r w:rsidRPr="00E92353">
        <w:rPr>
          <w:rFonts w:asciiTheme="majorBidi" w:hAnsiTheme="majorBidi" w:cstheme="majorBidi"/>
          <w:lang w:val="en-US"/>
        </w:rPr>
        <w:t>Strengthen referral pathways between HWCs, NPHCE geriatric services, and higher-level facilities so screening leads to timely care</w:t>
      </w:r>
    </w:p>
    <w:p w14:paraId="195543C4" w14:textId="77777777" w:rsidR="0035269F" w:rsidRPr="00E92353" w:rsidRDefault="0035269F" w:rsidP="00DB2800">
      <w:pPr>
        <w:jc w:val="both"/>
        <w:rPr>
          <w:rFonts w:asciiTheme="majorBidi" w:hAnsiTheme="majorBidi" w:cstheme="majorBidi"/>
          <w:lang w:val="en-US"/>
        </w:rPr>
      </w:pPr>
      <w:r w:rsidRPr="00E92353">
        <w:rPr>
          <w:rFonts w:asciiTheme="majorBidi" w:hAnsiTheme="majorBidi" w:cstheme="majorBidi"/>
          <w:lang w:val="en-US"/>
        </w:rPr>
        <w:t xml:space="preserve"> </w:t>
      </w:r>
    </w:p>
    <w:p w14:paraId="771586BF" w14:textId="77777777" w:rsidR="0035269F" w:rsidRPr="00E92353" w:rsidRDefault="0035269F" w:rsidP="00DB2800">
      <w:pPr>
        <w:numPr>
          <w:ilvl w:val="0"/>
          <w:numId w:val="5"/>
        </w:numPr>
        <w:jc w:val="both"/>
        <w:rPr>
          <w:rFonts w:asciiTheme="majorBidi" w:hAnsiTheme="majorBidi" w:cstheme="majorBidi"/>
          <w:lang w:val="en-US"/>
        </w:rPr>
      </w:pPr>
      <w:r w:rsidRPr="00E92353">
        <w:rPr>
          <w:rFonts w:asciiTheme="majorBidi" w:hAnsiTheme="majorBidi" w:cstheme="majorBidi"/>
          <w:lang w:val="en-US"/>
        </w:rPr>
        <w:t>Social and cultural factors also influenced check-up use. People from General caste groups used services more than Scheduled Castes and Tribes. Muslims were less likely to go for check-ups compared to Hindus, which may reflect cultural, financial, or system-level barriers. These differences show that promoting equal access to healthcare across communities is still a challenge.</w:t>
      </w:r>
    </w:p>
    <w:p w14:paraId="0FDF57B5" w14:textId="77777777" w:rsidR="0035269F" w:rsidRPr="00E92353" w:rsidRDefault="0035269F" w:rsidP="00DB2800">
      <w:pPr>
        <w:numPr>
          <w:ilvl w:val="0"/>
          <w:numId w:val="5"/>
        </w:numPr>
        <w:jc w:val="both"/>
        <w:rPr>
          <w:rFonts w:asciiTheme="majorBidi" w:hAnsiTheme="majorBidi" w:cstheme="majorBidi"/>
          <w:lang w:val="en-US"/>
        </w:rPr>
      </w:pPr>
      <w:r w:rsidRPr="00E92353">
        <w:rPr>
          <w:rFonts w:asciiTheme="majorBidi" w:hAnsiTheme="majorBidi" w:cstheme="majorBidi"/>
          <w:lang w:val="en-US"/>
        </w:rPr>
        <w:t>The findings of this study clearly show that very few older adults in India are using preventive health check-ups. It also shows that factors like where people live, their education level, religion, caste, and whether they have family support strongly affect their access to health services. These differences lead to long-standing inequalities in the healthcare system.</w:t>
      </w:r>
    </w:p>
    <w:p w14:paraId="06347A39" w14:textId="77777777" w:rsidR="0035269F" w:rsidRPr="00E92353" w:rsidRDefault="0035269F" w:rsidP="00DB2800">
      <w:pPr>
        <w:numPr>
          <w:ilvl w:val="0"/>
          <w:numId w:val="5"/>
        </w:numPr>
        <w:jc w:val="both"/>
        <w:rPr>
          <w:rFonts w:asciiTheme="majorBidi" w:hAnsiTheme="majorBidi" w:cstheme="majorBidi"/>
          <w:lang w:val="en-US"/>
        </w:rPr>
      </w:pPr>
      <w:r w:rsidRPr="00E92353">
        <w:rPr>
          <w:rFonts w:asciiTheme="majorBidi" w:hAnsiTheme="majorBidi" w:cstheme="majorBidi"/>
          <w:lang w:val="en-US"/>
        </w:rPr>
        <w:t>Also, the study found that people who went for check-ups were less likely to be underweight. This suggests that regular check-ups can help catch and manage problems like poor nutrition or chronic diseases early. Based on these results, there is a strong need to create health programs that are inclusive, community-based—so more older adults in India can benefit from preventive health services.</w:t>
      </w:r>
    </w:p>
    <w:p w14:paraId="6CF55C67" w14:textId="16AFCFCF" w:rsidR="005931B0" w:rsidRPr="00E92353" w:rsidRDefault="0035269F" w:rsidP="00DB2800">
      <w:pPr>
        <w:numPr>
          <w:ilvl w:val="0"/>
          <w:numId w:val="5"/>
        </w:numPr>
        <w:jc w:val="both"/>
        <w:rPr>
          <w:rFonts w:asciiTheme="majorBidi" w:hAnsiTheme="majorBidi" w:cstheme="majorBidi"/>
          <w:lang w:val="en-US"/>
        </w:rPr>
      </w:pPr>
      <w:r w:rsidRPr="00E92353">
        <w:rPr>
          <w:rFonts w:asciiTheme="majorBidi" w:hAnsiTheme="majorBidi" w:cstheme="majorBidi"/>
          <w:lang w:val="en-US"/>
        </w:rPr>
        <w:t>This study has certain limitations such as self-reported responses that may not always be accurate, and has limited information about the preventive health check-ups reported by participants.</w:t>
      </w:r>
    </w:p>
    <w:p w14:paraId="02A5E076" w14:textId="77777777" w:rsidR="00DB2800" w:rsidRPr="00E92353" w:rsidRDefault="00DB2800" w:rsidP="00DB2800">
      <w:pPr>
        <w:jc w:val="both"/>
        <w:rPr>
          <w:rFonts w:asciiTheme="majorBidi" w:hAnsiTheme="majorBidi" w:cstheme="majorBidi"/>
          <w:b/>
          <w:bCs/>
        </w:rPr>
      </w:pPr>
    </w:p>
    <w:p w14:paraId="23520FE0" w14:textId="77777777" w:rsidR="00DB2800" w:rsidRPr="00E92353" w:rsidRDefault="00DB2800" w:rsidP="00DB2800">
      <w:pPr>
        <w:jc w:val="both"/>
        <w:rPr>
          <w:rFonts w:asciiTheme="majorBidi" w:hAnsiTheme="majorBidi" w:cstheme="majorBidi"/>
          <w:b/>
          <w:bCs/>
        </w:rPr>
      </w:pPr>
    </w:p>
    <w:p w14:paraId="5F40C211" w14:textId="77777777" w:rsidR="00DB2800" w:rsidRPr="00E92353" w:rsidRDefault="00DB2800" w:rsidP="00DB2800">
      <w:pPr>
        <w:jc w:val="both"/>
        <w:rPr>
          <w:rFonts w:asciiTheme="majorBidi" w:hAnsiTheme="majorBidi" w:cstheme="majorBidi"/>
          <w:b/>
          <w:bCs/>
        </w:rPr>
      </w:pPr>
    </w:p>
    <w:p w14:paraId="11967736" w14:textId="77777777" w:rsidR="00DB2800" w:rsidRPr="00E92353" w:rsidRDefault="00DB2800" w:rsidP="00DB2800">
      <w:pPr>
        <w:jc w:val="both"/>
        <w:rPr>
          <w:rFonts w:asciiTheme="majorBidi" w:hAnsiTheme="majorBidi" w:cstheme="majorBidi"/>
          <w:b/>
          <w:bCs/>
        </w:rPr>
      </w:pPr>
    </w:p>
    <w:p w14:paraId="384DFAE8" w14:textId="77777777" w:rsidR="00DB2800" w:rsidRPr="00E92353" w:rsidRDefault="00DB2800" w:rsidP="00DB2800">
      <w:pPr>
        <w:jc w:val="both"/>
        <w:rPr>
          <w:rFonts w:asciiTheme="majorBidi" w:hAnsiTheme="majorBidi" w:cstheme="majorBidi"/>
          <w:b/>
          <w:bCs/>
        </w:rPr>
      </w:pPr>
    </w:p>
    <w:p w14:paraId="56B7884C" w14:textId="77777777" w:rsidR="00DB2800" w:rsidRPr="00E92353" w:rsidRDefault="00DB2800" w:rsidP="00DB2800">
      <w:pPr>
        <w:jc w:val="both"/>
        <w:rPr>
          <w:rFonts w:asciiTheme="majorBidi" w:hAnsiTheme="majorBidi" w:cstheme="majorBidi"/>
          <w:b/>
          <w:bCs/>
        </w:rPr>
      </w:pPr>
    </w:p>
    <w:p w14:paraId="53412FEA" w14:textId="77777777" w:rsidR="00DB2800" w:rsidRPr="00E92353" w:rsidRDefault="00DB2800" w:rsidP="00DB2800">
      <w:pPr>
        <w:jc w:val="both"/>
        <w:rPr>
          <w:rFonts w:asciiTheme="majorBidi" w:hAnsiTheme="majorBidi" w:cstheme="majorBidi"/>
          <w:b/>
          <w:bCs/>
        </w:rPr>
      </w:pPr>
    </w:p>
    <w:p w14:paraId="269FA61A" w14:textId="77777777" w:rsidR="00DB2800" w:rsidRPr="00E92353" w:rsidRDefault="00DB2800" w:rsidP="00DB2800">
      <w:pPr>
        <w:jc w:val="both"/>
        <w:rPr>
          <w:rFonts w:asciiTheme="majorBidi" w:hAnsiTheme="majorBidi" w:cstheme="majorBidi"/>
          <w:b/>
          <w:bCs/>
        </w:rPr>
      </w:pPr>
    </w:p>
    <w:p w14:paraId="1BE6C213" w14:textId="06D7FA08" w:rsidR="0099657F" w:rsidRPr="00E92353" w:rsidRDefault="0099657F" w:rsidP="00DB2800">
      <w:pPr>
        <w:jc w:val="both"/>
        <w:rPr>
          <w:rFonts w:asciiTheme="majorBidi" w:hAnsiTheme="majorBidi" w:cstheme="majorBidi"/>
          <w:b/>
          <w:bCs/>
          <w:sz w:val="28"/>
          <w:szCs w:val="28"/>
        </w:rPr>
      </w:pPr>
      <w:r w:rsidRPr="00E92353">
        <w:rPr>
          <w:rFonts w:asciiTheme="majorBidi" w:hAnsiTheme="majorBidi" w:cstheme="majorBidi"/>
          <w:b/>
          <w:bCs/>
          <w:sz w:val="28"/>
          <w:szCs w:val="28"/>
        </w:rPr>
        <w:t>REFERENCES</w:t>
      </w:r>
      <w:r w:rsidR="007807E5" w:rsidRPr="00E92353">
        <w:rPr>
          <w:rFonts w:asciiTheme="majorBidi" w:hAnsiTheme="majorBidi" w:cstheme="majorBidi"/>
          <w:b/>
          <w:bCs/>
          <w:sz w:val="28"/>
          <w:szCs w:val="28"/>
        </w:rPr>
        <w:t>:</w:t>
      </w:r>
    </w:p>
    <w:p w14:paraId="1D43B024" w14:textId="1F32734C" w:rsidR="0035269F" w:rsidRPr="00E92353" w:rsidRDefault="0035269F" w:rsidP="00DB2800">
      <w:pPr>
        <w:pStyle w:val="ListParagraph"/>
        <w:numPr>
          <w:ilvl w:val="0"/>
          <w:numId w:val="6"/>
        </w:numPr>
        <w:jc w:val="both"/>
        <w:rPr>
          <w:rFonts w:asciiTheme="majorBidi" w:hAnsiTheme="majorBidi" w:cstheme="majorBidi"/>
          <w:lang w:val="en-US"/>
        </w:rPr>
      </w:pPr>
      <w:r w:rsidRPr="00E92353">
        <w:rPr>
          <w:rFonts w:asciiTheme="majorBidi" w:hAnsiTheme="majorBidi" w:cstheme="majorBidi"/>
          <w:lang w:val="en-US"/>
        </w:rPr>
        <w:t xml:space="preserve">Banerjee S. Determinants of rural-urban differential in healthcare utilization among the elderly population in India. BMC Public Health. 2021;21(1):1–18. </w:t>
      </w:r>
    </w:p>
    <w:p w14:paraId="48C91E95" w14:textId="31521E54" w:rsidR="0035269F" w:rsidRPr="00E92353" w:rsidRDefault="0035269F" w:rsidP="00DB2800">
      <w:pPr>
        <w:pStyle w:val="ListParagraph"/>
        <w:numPr>
          <w:ilvl w:val="0"/>
          <w:numId w:val="6"/>
        </w:numPr>
        <w:jc w:val="both"/>
        <w:rPr>
          <w:rFonts w:asciiTheme="majorBidi" w:hAnsiTheme="majorBidi" w:cstheme="majorBidi"/>
          <w:lang w:val="en-US"/>
        </w:rPr>
      </w:pPr>
      <w:r w:rsidRPr="00E92353">
        <w:rPr>
          <w:rFonts w:asciiTheme="majorBidi" w:hAnsiTheme="majorBidi" w:cstheme="majorBidi"/>
          <w:lang w:val="en-US"/>
        </w:rPr>
        <w:t xml:space="preserve">Vaishnav LM, Joshi SH, Joshi AU, Mehendale AM. The National </w:t>
      </w:r>
      <w:proofErr w:type="spellStart"/>
      <w:r w:rsidRPr="00E92353">
        <w:rPr>
          <w:rFonts w:asciiTheme="majorBidi" w:hAnsiTheme="majorBidi" w:cstheme="majorBidi"/>
          <w:lang w:val="en-US"/>
        </w:rPr>
        <w:t>Programme</w:t>
      </w:r>
      <w:proofErr w:type="spellEnd"/>
      <w:r w:rsidRPr="00E92353">
        <w:rPr>
          <w:rFonts w:asciiTheme="majorBidi" w:hAnsiTheme="majorBidi" w:cstheme="majorBidi"/>
          <w:lang w:val="en-US"/>
        </w:rPr>
        <w:t xml:space="preserve"> for Health Care of the Elderly: A Review of its Achievements and Challenges in India. Ann Geriatr Med Res. 2022;26(3):183–95. </w:t>
      </w:r>
    </w:p>
    <w:p w14:paraId="66A71B3C" w14:textId="4731DA3F" w:rsidR="0035269F" w:rsidRPr="00E92353" w:rsidRDefault="0035269F" w:rsidP="00DB2800">
      <w:pPr>
        <w:pStyle w:val="ListParagraph"/>
        <w:numPr>
          <w:ilvl w:val="0"/>
          <w:numId w:val="6"/>
        </w:numPr>
        <w:jc w:val="both"/>
        <w:rPr>
          <w:rFonts w:asciiTheme="majorBidi" w:hAnsiTheme="majorBidi" w:cstheme="majorBidi"/>
          <w:lang w:val="en-US"/>
        </w:rPr>
      </w:pPr>
      <w:r w:rsidRPr="00E92353">
        <w:rPr>
          <w:rFonts w:asciiTheme="majorBidi" w:hAnsiTheme="majorBidi" w:cstheme="majorBidi"/>
          <w:lang w:val="en-US"/>
        </w:rPr>
        <w:t xml:space="preserve">Arulselvan G, Chidambaram S, George N, </w:t>
      </w:r>
      <w:proofErr w:type="spellStart"/>
      <w:r w:rsidRPr="00E92353">
        <w:rPr>
          <w:rFonts w:asciiTheme="majorBidi" w:hAnsiTheme="majorBidi" w:cstheme="majorBidi"/>
          <w:lang w:val="en-US"/>
        </w:rPr>
        <w:t>Rizvana</w:t>
      </w:r>
      <w:proofErr w:type="spellEnd"/>
      <w:r w:rsidRPr="00E92353">
        <w:rPr>
          <w:rFonts w:asciiTheme="majorBidi" w:hAnsiTheme="majorBidi" w:cstheme="majorBidi"/>
          <w:lang w:val="en-US"/>
        </w:rPr>
        <w:t xml:space="preserve"> S, Narayan P, Annamalai P, et al. Preventive Health Checkup: Utilization, Motivators, and Barriers Among the General Population in a Rural District in Tamil Nadu, India. Cureus. 2024;16(1):1–12. </w:t>
      </w:r>
    </w:p>
    <w:p w14:paraId="33CCB639" w14:textId="4C9C4D40" w:rsidR="0035269F" w:rsidRPr="00E92353" w:rsidRDefault="0035269F" w:rsidP="00DB2800">
      <w:pPr>
        <w:pStyle w:val="ListParagraph"/>
        <w:numPr>
          <w:ilvl w:val="0"/>
          <w:numId w:val="6"/>
        </w:numPr>
        <w:jc w:val="both"/>
        <w:rPr>
          <w:rFonts w:asciiTheme="majorBidi" w:hAnsiTheme="majorBidi" w:cstheme="majorBidi"/>
          <w:lang w:val="en-US"/>
        </w:rPr>
      </w:pPr>
      <w:proofErr w:type="spellStart"/>
      <w:r w:rsidRPr="00E92353">
        <w:rPr>
          <w:rFonts w:asciiTheme="majorBidi" w:hAnsiTheme="majorBidi" w:cstheme="majorBidi"/>
          <w:lang w:val="en-US"/>
        </w:rPr>
        <w:t>Balarajan</w:t>
      </w:r>
      <w:proofErr w:type="spellEnd"/>
      <w:r w:rsidRPr="00E92353">
        <w:rPr>
          <w:rFonts w:asciiTheme="majorBidi" w:hAnsiTheme="majorBidi" w:cstheme="majorBidi"/>
          <w:lang w:val="en-US"/>
        </w:rPr>
        <w:t xml:space="preserve"> Y, Selvaraj S, Subramanian S. Health care and equity in India. Lancet [Internet]. 2011;377(9764):505–15. Available from: </w:t>
      </w:r>
      <w:hyperlink r:id="rId8" w:history="1">
        <w:r w:rsidR="00F30F70" w:rsidRPr="00E92353">
          <w:rPr>
            <w:rStyle w:val="Hyperlink"/>
            <w:rFonts w:asciiTheme="majorBidi" w:hAnsiTheme="majorBidi" w:cstheme="majorBidi"/>
            <w:lang w:val="en-US"/>
          </w:rPr>
          <w:t>http://dx.doi.org/10.1016/S0140-6736(10)61894-6</w:t>
        </w:r>
      </w:hyperlink>
      <w:r w:rsidR="00F30F70" w:rsidRPr="00E92353">
        <w:rPr>
          <w:rFonts w:asciiTheme="majorBidi" w:hAnsiTheme="majorBidi" w:cstheme="majorBidi"/>
          <w:lang w:val="en-US"/>
        </w:rPr>
        <w:t xml:space="preserve"> </w:t>
      </w:r>
    </w:p>
    <w:p w14:paraId="4F7771FC" w14:textId="7294D2C3" w:rsidR="0035269F" w:rsidRPr="00E92353" w:rsidRDefault="0035269F" w:rsidP="00DB2800">
      <w:pPr>
        <w:pStyle w:val="ListParagraph"/>
        <w:numPr>
          <w:ilvl w:val="0"/>
          <w:numId w:val="6"/>
        </w:numPr>
        <w:jc w:val="both"/>
        <w:rPr>
          <w:rFonts w:asciiTheme="majorBidi" w:hAnsiTheme="majorBidi" w:cstheme="majorBidi"/>
          <w:lang w:val="en-US"/>
        </w:rPr>
      </w:pPr>
      <w:r w:rsidRPr="00E92353">
        <w:rPr>
          <w:rFonts w:asciiTheme="majorBidi" w:hAnsiTheme="majorBidi" w:cstheme="majorBidi"/>
          <w:lang w:val="en-US"/>
        </w:rPr>
        <w:t xml:space="preserve">Kumar P, Sen A, Priyanshu P, Khatib MN, Roopashree R, Kaur M, et al. Factors linked to poor self-rated health in thyroid disorder patients: findings from LASI Wave-I. Thyroid Res. 2025;18(1). </w:t>
      </w:r>
    </w:p>
    <w:p w14:paraId="345CC31D" w14:textId="0058BFEA" w:rsidR="0035269F" w:rsidRPr="00E92353" w:rsidRDefault="0035269F" w:rsidP="00DB2800">
      <w:pPr>
        <w:pStyle w:val="ListParagraph"/>
        <w:numPr>
          <w:ilvl w:val="0"/>
          <w:numId w:val="6"/>
        </w:numPr>
        <w:jc w:val="both"/>
        <w:rPr>
          <w:rFonts w:asciiTheme="majorBidi" w:hAnsiTheme="majorBidi" w:cstheme="majorBidi"/>
          <w:lang w:val="en-US"/>
        </w:rPr>
      </w:pPr>
      <w:r w:rsidRPr="00E92353">
        <w:rPr>
          <w:rFonts w:asciiTheme="majorBidi" w:hAnsiTheme="majorBidi" w:cstheme="majorBidi"/>
          <w:lang w:val="en-US"/>
        </w:rPr>
        <w:t>Nath NJ, Chaudhary A, Kumar S. Socioeconomic drivers of healthcare utilization among the elderly with reference to working and non-working population: Insights from LASI. 2022;1–24. Available from:</w:t>
      </w:r>
      <w:r w:rsidR="00F30F70" w:rsidRPr="00E92353">
        <w:rPr>
          <w:rFonts w:asciiTheme="majorBidi" w:hAnsiTheme="majorBidi" w:cstheme="majorBidi"/>
          <w:lang w:val="en-US"/>
        </w:rPr>
        <w:t xml:space="preserve"> </w:t>
      </w:r>
      <w:hyperlink r:id="rId9" w:history="1">
        <w:r w:rsidR="00F30F70" w:rsidRPr="00E92353">
          <w:rPr>
            <w:rStyle w:val="Hyperlink"/>
            <w:rFonts w:asciiTheme="majorBidi" w:hAnsiTheme="majorBidi" w:cstheme="majorBidi"/>
            <w:lang w:val="en-US"/>
          </w:rPr>
          <w:t>https://doi.org/10.21203/rs.3.rs-1544135/v1</w:t>
        </w:r>
      </w:hyperlink>
      <w:r w:rsidR="00F30F70" w:rsidRPr="00E92353">
        <w:rPr>
          <w:rFonts w:asciiTheme="majorBidi" w:hAnsiTheme="majorBidi" w:cstheme="majorBidi"/>
          <w:lang w:val="en-US"/>
        </w:rPr>
        <w:t xml:space="preserve"> </w:t>
      </w:r>
    </w:p>
    <w:p w14:paraId="65B5FEF5" w14:textId="5A7FA20F" w:rsidR="0035269F" w:rsidRPr="00E92353" w:rsidRDefault="0035269F" w:rsidP="00DB2800">
      <w:pPr>
        <w:pStyle w:val="ListParagraph"/>
        <w:numPr>
          <w:ilvl w:val="0"/>
          <w:numId w:val="6"/>
        </w:numPr>
        <w:jc w:val="both"/>
        <w:rPr>
          <w:rFonts w:asciiTheme="majorBidi" w:hAnsiTheme="majorBidi" w:cstheme="majorBidi"/>
          <w:lang w:val="en-US"/>
        </w:rPr>
      </w:pPr>
      <w:r w:rsidRPr="00E92353">
        <w:rPr>
          <w:rFonts w:asciiTheme="majorBidi" w:hAnsiTheme="majorBidi" w:cstheme="majorBidi"/>
          <w:lang w:val="en-US"/>
        </w:rPr>
        <w:t xml:space="preserve">Rahaman M, Chouhan P, Roy A, Rana MJ, Das KC. Examining the predictors of healthcare facility choice for outpatient care among older adults in India using Andersen’s revised healthcare utilization framework model. BMC </w:t>
      </w:r>
      <w:proofErr w:type="spellStart"/>
      <w:r w:rsidRPr="00E92353">
        <w:rPr>
          <w:rFonts w:asciiTheme="majorBidi" w:hAnsiTheme="majorBidi" w:cstheme="majorBidi"/>
          <w:lang w:val="en-US"/>
        </w:rPr>
        <w:t>Geriatr</w:t>
      </w:r>
      <w:proofErr w:type="spellEnd"/>
      <w:r w:rsidRPr="00E92353">
        <w:rPr>
          <w:rFonts w:asciiTheme="majorBidi" w:hAnsiTheme="majorBidi" w:cstheme="majorBidi"/>
          <w:lang w:val="en-US"/>
        </w:rPr>
        <w:t xml:space="preserve"> [Internet]. 2022;22(1):1–14. Available from: </w:t>
      </w:r>
      <w:hyperlink r:id="rId10" w:history="1">
        <w:r w:rsidRPr="00E92353">
          <w:rPr>
            <w:rStyle w:val="Hyperlink"/>
            <w:rFonts w:asciiTheme="majorBidi" w:hAnsiTheme="majorBidi" w:cstheme="majorBidi"/>
            <w:lang w:val="en-US"/>
          </w:rPr>
          <w:t>https://doi.org/10.1186/s12877-022-03634-y</w:t>
        </w:r>
      </w:hyperlink>
    </w:p>
    <w:p w14:paraId="6040B0D8" w14:textId="24D7CD6D" w:rsidR="0035269F" w:rsidRPr="00E92353" w:rsidRDefault="0035269F" w:rsidP="00DB2800">
      <w:pPr>
        <w:pStyle w:val="ListParagraph"/>
        <w:numPr>
          <w:ilvl w:val="0"/>
          <w:numId w:val="6"/>
        </w:numPr>
        <w:jc w:val="both"/>
        <w:rPr>
          <w:rFonts w:asciiTheme="majorBidi" w:hAnsiTheme="majorBidi" w:cstheme="majorBidi"/>
          <w:lang w:val="en-US"/>
        </w:rPr>
      </w:pPr>
      <w:r w:rsidRPr="00E92353">
        <w:rPr>
          <w:rFonts w:asciiTheme="majorBidi" w:hAnsiTheme="majorBidi" w:cstheme="majorBidi"/>
          <w:lang w:val="en-US"/>
        </w:rPr>
        <w:t xml:space="preserve">International Institute for Population Sciences (IIPS) and NPHCE, </w:t>
      </w:r>
      <w:proofErr w:type="spellStart"/>
      <w:r w:rsidRPr="00E92353">
        <w:rPr>
          <w:rFonts w:asciiTheme="majorBidi" w:hAnsiTheme="majorBidi" w:cstheme="majorBidi"/>
          <w:lang w:val="en-US"/>
        </w:rPr>
        <w:t>MoHFW</w:t>
      </w:r>
      <w:proofErr w:type="spellEnd"/>
      <w:r w:rsidRPr="00E92353">
        <w:rPr>
          <w:rFonts w:asciiTheme="majorBidi" w:hAnsiTheme="majorBidi" w:cstheme="majorBidi"/>
          <w:lang w:val="en-US"/>
        </w:rPr>
        <w:t>. Longitudinal Ageing Study in India (LASI) Wave 1, 2017-18, India Factsheet, International Institute for Population Sciences, Mumbai.</w:t>
      </w:r>
    </w:p>
    <w:p w14:paraId="1DE3E97B" w14:textId="77777777" w:rsidR="0035269F" w:rsidRPr="00E92353" w:rsidRDefault="0035269F" w:rsidP="00DB2800">
      <w:pPr>
        <w:jc w:val="both"/>
        <w:rPr>
          <w:rFonts w:asciiTheme="majorBidi" w:hAnsiTheme="majorBidi" w:cstheme="majorBidi"/>
          <w:lang w:val="en-US"/>
        </w:rPr>
      </w:pPr>
    </w:p>
    <w:p w14:paraId="1D86CFE5" w14:textId="77777777" w:rsidR="00DB2800" w:rsidRPr="00E92353" w:rsidRDefault="00DB2800" w:rsidP="00DD6032">
      <w:pPr>
        <w:rPr>
          <w:rFonts w:asciiTheme="majorBidi" w:hAnsiTheme="majorBidi" w:cstheme="majorBidi"/>
          <w:b/>
          <w:bCs/>
          <w:lang w:val="en-US"/>
        </w:rPr>
      </w:pPr>
    </w:p>
    <w:p w14:paraId="1E5017D8" w14:textId="77777777" w:rsidR="00DB2800" w:rsidRPr="00E92353" w:rsidRDefault="00DB2800" w:rsidP="00DD6032">
      <w:pPr>
        <w:rPr>
          <w:rFonts w:asciiTheme="majorBidi" w:hAnsiTheme="majorBidi" w:cstheme="majorBidi"/>
          <w:b/>
          <w:bCs/>
          <w:lang w:val="en-US"/>
        </w:rPr>
      </w:pPr>
    </w:p>
    <w:p w14:paraId="4551AACA" w14:textId="77777777" w:rsidR="00DB2800" w:rsidRPr="00E92353" w:rsidRDefault="00DB2800" w:rsidP="00DD6032">
      <w:pPr>
        <w:rPr>
          <w:rFonts w:asciiTheme="majorBidi" w:hAnsiTheme="majorBidi" w:cstheme="majorBidi"/>
          <w:b/>
          <w:bCs/>
          <w:lang w:val="en-US"/>
        </w:rPr>
      </w:pPr>
    </w:p>
    <w:p w14:paraId="6C9B8028" w14:textId="77777777" w:rsidR="00DB2800" w:rsidRPr="00E92353" w:rsidRDefault="00DB2800" w:rsidP="00DD6032">
      <w:pPr>
        <w:rPr>
          <w:rFonts w:asciiTheme="majorBidi" w:hAnsiTheme="majorBidi" w:cstheme="majorBidi"/>
          <w:b/>
          <w:bCs/>
          <w:lang w:val="en-US"/>
        </w:rPr>
      </w:pPr>
    </w:p>
    <w:p w14:paraId="5588ED8F" w14:textId="77777777" w:rsidR="00DB2800" w:rsidRPr="00E92353" w:rsidRDefault="00DB2800" w:rsidP="00DD6032">
      <w:pPr>
        <w:rPr>
          <w:rFonts w:asciiTheme="majorBidi" w:hAnsiTheme="majorBidi" w:cstheme="majorBidi"/>
          <w:b/>
          <w:bCs/>
          <w:lang w:val="en-US"/>
        </w:rPr>
      </w:pPr>
    </w:p>
    <w:p w14:paraId="20C08A41" w14:textId="77777777" w:rsidR="00DB2800" w:rsidRPr="00E92353" w:rsidRDefault="00DB2800" w:rsidP="00DD6032">
      <w:pPr>
        <w:rPr>
          <w:rFonts w:asciiTheme="majorBidi" w:hAnsiTheme="majorBidi" w:cstheme="majorBidi"/>
          <w:b/>
          <w:bCs/>
          <w:lang w:val="en-US"/>
        </w:rPr>
      </w:pPr>
    </w:p>
    <w:p w14:paraId="1C13FF20" w14:textId="77777777" w:rsidR="00DB2800" w:rsidRPr="00E92353" w:rsidRDefault="00DB2800" w:rsidP="00DD6032">
      <w:pPr>
        <w:rPr>
          <w:rFonts w:asciiTheme="majorBidi" w:hAnsiTheme="majorBidi" w:cstheme="majorBidi"/>
          <w:b/>
          <w:bCs/>
          <w:lang w:val="en-US"/>
        </w:rPr>
      </w:pPr>
    </w:p>
    <w:p w14:paraId="18D045F8" w14:textId="77777777" w:rsidR="00DB2800" w:rsidRPr="00E92353" w:rsidRDefault="00DB2800" w:rsidP="00DD6032">
      <w:pPr>
        <w:rPr>
          <w:rFonts w:asciiTheme="majorBidi" w:hAnsiTheme="majorBidi" w:cstheme="majorBidi"/>
          <w:b/>
          <w:bCs/>
          <w:lang w:val="en-US"/>
        </w:rPr>
      </w:pPr>
    </w:p>
    <w:p w14:paraId="1F7EE671" w14:textId="77777777" w:rsidR="00DB2800" w:rsidRPr="00E92353" w:rsidRDefault="00DB2800" w:rsidP="00DD6032">
      <w:pPr>
        <w:rPr>
          <w:rFonts w:asciiTheme="majorBidi" w:hAnsiTheme="majorBidi" w:cstheme="majorBidi"/>
          <w:b/>
          <w:bCs/>
          <w:lang w:val="en-US"/>
        </w:rPr>
      </w:pPr>
    </w:p>
    <w:p w14:paraId="516EE71A" w14:textId="625B4488" w:rsidR="007132C8" w:rsidRPr="00E92353" w:rsidRDefault="008C41D0" w:rsidP="00DD6032">
      <w:pPr>
        <w:rPr>
          <w:rFonts w:asciiTheme="majorBidi" w:hAnsiTheme="majorBidi" w:cstheme="majorBidi"/>
          <w:b/>
          <w:bCs/>
        </w:rPr>
      </w:pPr>
      <w:r w:rsidRPr="00E92353">
        <w:rPr>
          <w:rFonts w:asciiTheme="majorBidi" w:hAnsiTheme="majorBidi" w:cstheme="majorBidi"/>
          <w:b/>
          <w:bCs/>
          <w:lang w:val="en-US"/>
        </w:rPr>
        <w:lastRenderedPageBreak/>
        <w:t xml:space="preserve">Table 1: </w:t>
      </w:r>
      <w:r w:rsidR="000F39D0" w:rsidRPr="00E92353">
        <w:rPr>
          <w:rFonts w:asciiTheme="majorBidi" w:hAnsiTheme="majorBidi" w:cstheme="majorBidi"/>
          <w:b/>
          <w:bCs/>
        </w:rPr>
        <w:t>Table 1. Sociodemographic characteristics of older adults in LASI Wave 1 (n = 31,902)</w:t>
      </w:r>
    </w:p>
    <w:p w14:paraId="3EF65E11" w14:textId="77777777" w:rsidR="00DB2800" w:rsidRPr="00E92353" w:rsidRDefault="00DB2800" w:rsidP="00DD6032">
      <w:pPr>
        <w:rPr>
          <w:rFonts w:asciiTheme="majorBidi" w:hAnsiTheme="majorBidi" w:cstheme="majorBidi"/>
          <w:lang w:val="en-US"/>
        </w:rPr>
      </w:pPr>
    </w:p>
    <w:tbl>
      <w:tblPr>
        <w:tblStyle w:val="TableGridLight"/>
        <w:tblW w:w="9355" w:type="dxa"/>
        <w:tblLook w:val="04A0" w:firstRow="1" w:lastRow="0" w:firstColumn="1" w:lastColumn="0" w:noHBand="0" w:noVBand="1"/>
      </w:tblPr>
      <w:tblGrid>
        <w:gridCol w:w="1699"/>
        <w:gridCol w:w="4204"/>
        <w:gridCol w:w="1940"/>
        <w:gridCol w:w="1512"/>
      </w:tblGrid>
      <w:tr w:rsidR="001F2276" w:rsidRPr="00E92353" w14:paraId="6010A3D5" w14:textId="77777777" w:rsidTr="00F30F70">
        <w:trPr>
          <w:trHeight w:val="595"/>
        </w:trPr>
        <w:tc>
          <w:tcPr>
            <w:tcW w:w="1699" w:type="dxa"/>
            <w:shd w:val="clear" w:color="auto" w:fill="8EAADB" w:themeFill="accent1" w:themeFillTint="99"/>
            <w:hideMark/>
          </w:tcPr>
          <w:p w14:paraId="60387026" w14:textId="77777777" w:rsidR="002C34E5" w:rsidRPr="00E92353" w:rsidRDefault="002C34E5" w:rsidP="001F2276">
            <w:pPr>
              <w:spacing w:after="0" w:line="240" w:lineRule="auto"/>
              <w:jc w:val="center"/>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Variable</w:t>
            </w:r>
          </w:p>
        </w:tc>
        <w:tc>
          <w:tcPr>
            <w:tcW w:w="4204" w:type="dxa"/>
            <w:shd w:val="clear" w:color="auto" w:fill="8EAADB" w:themeFill="accent1" w:themeFillTint="99"/>
            <w:hideMark/>
          </w:tcPr>
          <w:p w14:paraId="70334F92" w14:textId="77777777" w:rsidR="002C34E5" w:rsidRPr="00E92353" w:rsidRDefault="002C34E5" w:rsidP="001F2276">
            <w:pPr>
              <w:spacing w:after="0" w:line="240" w:lineRule="auto"/>
              <w:jc w:val="center"/>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Category</w:t>
            </w:r>
          </w:p>
        </w:tc>
        <w:tc>
          <w:tcPr>
            <w:tcW w:w="1940" w:type="dxa"/>
            <w:shd w:val="clear" w:color="auto" w:fill="8EAADB" w:themeFill="accent1" w:themeFillTint="99"/>
            <w:hideMark/>
          </w:tcPr>
          <w:p w14:paraId="7B809836" w14:textId="77777777" w:rsidR="002C34E5" w:rsidRPr="00E92353" w:rsidRDefault="002C34E5" w:rsidP="001F2276">
            <w:pPr>
              <w:spacing w:after="0" w:line="240" w:lineRule="auto"/>
              <w:jc w:val="center"/>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Frequency (n)</w:t>
            </w:r>
          </w:p>
        </w:tc>
        <w:tc>
          <w:tcPr>
            <w:tcW w:w="1512" w:type="dxa"/>
            <w:shd w:val="clear" w:color="auto" w:fill="8EAADB" w:themeFill="accent1" w:themeFillTint="99"/>
            <w:hideMark/>
          </w:tcPr>
          <w:p w14:paraId="0F5C3958" w14:textId="77777777" w:rsidR="002C34E5" w:rsidRPr="00E92353" w:rsidRDefault="002C34E5" w:rsidP="001F2276">
            <w:pPr>
              <w:spacing w:after="0" w:line="240" w:lineRule="auto"/>
              <w:jc w:val="center"/>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Percent (%)</w:t>
            </w:r>
          </w:p>
        </w:tc>
      </w:tr>
      <w:tr w:rsidR="001F2276" w:rsidRPr="00E92353" w14:paraId="7729D215" w14:textId="77777777" w:rsidTr="00F30F70">
        <w:trPr>
          <w:trHeight w:val="297"/>
        </w:trPr>
        <w:tc>
          <w:tcPr>
            <w:tcW w:w="1699" w:type="dxa"/>
            <w:shd w:val="clear" w:color="auto" w:fill="8EAADB" w:themeFill="accent1" w:themeFillTint="99"/>
            <w:hideMark/>
          </w:tcPr>
          <w:p w14:paraId="796A0B6D" w14:textId="77777777" w:rsidR="002C34E5" w:rsidRPr="00E92353" w:rsidRDefault="002C34E5" w:rsidP="002C34E5">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Sex</w:t>
            </w:r>
          </w:p>
        </w:tc>
        <w:tc>
          <w:tcPr>
            <w:tcW w:w="4204" w:type="dxa"/>
            <w:shd w:val="clear" w:color="auto" w:fill="D9E2F3" w:themeFill="accent1" w:themeFillTint="33"/>
            <w:hideMark/>
          </w:tcPr>
          <w:p w14:paraId="744547C2"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Male</w:t>
            </w:r>
          </w:p>
        </w:tc>
        <w:tc>
          <w:tcPr>
            <w:tcW w:w="1940" w:type="dxa"/>
            <w:shd w:val="clear" w:color="auto" w:fill="D9E2F3" w:themeFill="accent1" w:themeFillTint="33"/>
            <w:hideMark/>
          </w:tcPr>
          <w:p w14:paraId="20DEE4B9"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15,340</w:t>
            </w:r>
          </w:p>
        </w:tc>
        <w:tc>
          <w:tcPr>
            <w:tcW w:w="1512" w:type="dxa"/>
            <w:shd w:val="clear" w:color="auto" w:fill="D9E2F3" w:themeFill="accent1" w:themeFillTint="33"/>
            <w:hideMark/>
          </w:tcPr>
          <w:p w14:paraId="21F961CE"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48.08%</w:t>
            </w:r>
          </w:p>
        </w:tc>
      </w:tr>
      <w:tr w:rsidR="001F2276" w:rsidRPr="00E92353" w14:paraId="15C95DA1" w14:textId="77777777" w:rsidTr="00F30F70">
        <w:trPr>
          <w:trHeight w:val="297"/>
        </w:trPr>
        <w:tc>
          <w:tcPr>
            <w:tcW w:w="1699" w:type="dxa"/>
            <w:shd w:val="clear" w:color="auto" w:fill="8EAADB" w:themeFill="accent1" w:themeFillTint="99"/>
            <w:hideMark/>
          </w:tcPr>
          <w:p w14:paraId="1A6D5CF4"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7093B0B7"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Female</w:t>
            </w:r>
          </w:p>
        </w:tc>
        <w:tc>
          <w:tcPr>
            <w:tcW w:w="1940" w:type="dxa"/>
            <w:shd w:val="clear" w:color="auto" w:fill="D9E2F3" w:themeFill="accent1" w:themeFillTint="33"/>
            <w:hideMark/>
          </w:tcPr>
          <w:p w14:paraId="6CEF3F89"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16,562</w:t>
            </w:r>
          </w:p>
        </w:tc>
        <w:tc>
          <w:tcPr>
            <w:tcW w:w="1512" w:type="dxa"/>
            <w:shd w:val="clear" w:color="auto" w:fill="D9E2F3" w:themeFill="accent1" w:themeFillTint="33"/>
            <w:hideMark/>
          </w:tcPr>
          <w:p w14:paraId="316549B4"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51.92%</w:t>
            </w:r>
          </w:p>
        </w:tc>
      </w:tr>
      <w:tr w:rsidR="001F2276" w:rsidRPr="00E92353" w14:paraId="356AC8F7" w14:textId="77777777" w:rsidTr="00F30F70">
        <w:trPr>
          <w:trHeight w:val="595"/>
        </w:trPr>
        <w:tc>
          <w:tcPr>
            <w:tcW w:w="1699" w:type="dxa"/>
            <w:shd w:val="clear" w:color="auto" w:fill="8EAADB" w:themeFill="accent1" w:themeFillTint="99"/>
            <w:hideMark/>
          </w:tcPr>
          <w:p w14:paraId="691997CB" w14:textId="77777777" w:rsidR="002C34E5" w:rsidRPr="00E92353" w:rsidRDefault="002C34E5" w:rsidP="002C34E5">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Age group</w:t>
            </w:r>
          </w:p>
        </w:tc>
        <w:tc>
          <w:tcPr>
            <w:tcW w:w="4204" w:type="dxa"/>
            <w:shd w:val="clear" w:color="auto" w:fill="D9E2F3" w:themeFill="accent1" w:themeFillTint="33"/>
            <w:hideMark/>
          </w:tcPr>
          <w:p w14:paraId="15E12A54"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60–69</w:t>
            </w:r>
          </w:p>
        </w:tc>
        <w:tc>
          <w:tcPr>
            <w:tcW w:w="1940" w:type="dxa"/>
            <w:shd w:val="clear" w:color="auto" w:fill="D9E2F3" w:themeFill="accent1" w:themeFillTint="33"/>
            <w:hideMark/>
          </w:tcPr>
          <w:p w14:paraId="7A219B59"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19,211</w:t>
            </w:r>
          </w:p>
        </w:tc>
        <w:tc>
          <w:tcPr>
            <w:tcW w:w="1512" w:type="dxa"/>
            <w:shd w:val="clear" w:color="auto" w:fill="D9E2F3" w:themeFill="accent1" w:themeFillTint="33"/>
            <w:hideMark/>
          </w:tcPr>
          <w:p w14:paraId="7651A66E"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60.22%</w:t>
            </w:r>
          </w:p>
        </w:tc>
      </w:tr>
      <w:tr w:rsidR="001F2276" w:rsidRPr="00E92353" w14:paraId="50789EC1" w14:textId="77777777" w:rsidTr="00F30F70">
        <w:trPr>
          <w:trHeight w:val="297"/>
        </w:trPr>
        <w:tc>
          <w:tcPr>
            <w:tcW w:w="1699" w:type="dxa"/>
            <w:shd w:val="clear" w:color="auto" w:fill="8EAADB" w:themeFill="accent1" w:themeFillTint="99"/>
            <w:hideMark/>
          </w:tcPr>
          <w:p w14:paraId="5CAC8113"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60E08B78"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70–79</w:t>
            </w:r>
          </w:p>
        </w:tc>
        <w:tc>
          <w:tcPr>
            <w:tcW w:w="1940" w:type="dxa"/>
            <w:shd w:val="clear" w:color="auto" w:fill="D9E2F3" w:themeFill="accent1" w:themeFillTint="33"/>
            <w:hideMark/>
          </w:tcPr>
          <w:p w14:paraId="21536512"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9,250</w:t>
            </w:r>
          </w:p>
        </w:tc>
        <w:tc>
          <w:tcPr>
            <w:tcW w:w="1512" w:type="dxa"/>
            <w:shd w:val="clear" w:color="auto" w:fill="D9E2F3" w:themeFill="accent1" w:themeFillTint="33"/>
            <w:hideMark/>
          </w:tcPr>
          <w:p w14:paraId="17591B4A"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29.00%</w:t>
            </w:r>
          </w:p>
        </w:tc>
      </w:tr>
      <w:tr w:rsidR="001F2276" w:rsidRPr="00E92353" w14:paraId="62EC5070" w14:textId="77777777" w:rsidTr="00F30F70">
        <w:trPr>
          <w:trHeight w:val="297"/>
        </w:trPr>
        <w:tc>
          <w:tcPr>
            <w:tcW w:w="1699" w:type="dxa"/>
            <w:shd w:val="clear" w:color="auto" w:fill="8EAADB" w:themeFill="accent1" w:themeFillTint="99"/>
            <w:hideMark/>
          </w:tcPr>
          <w:p w14:paraId="3E6F26C8"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492FAA3C"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80+</w:t>
            </w:r>
          </w:p>
        </w:tc>
        <w:tc>
          <w:tcPr>
            <w:tcW w:w="1940" w:type="dxa"/>
            <w:shd w:val="clear" w:color="auto" w:fill="D9E2F3" w:themeFill="accent1" w:themeFillTint="33"/>
            <w:hideMark/>
          </w:tcPr>
          <w:p w14:paraId="44A2A8FF"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3,441</w:t>
            </w:r>
          </w:p>
        </w:tc>
        <w:tc>
          <w:tcPr>
            <w:tcW w:w="1512" w:type="dxa"/>
            <w:shd w:val="clear" w:color="auto" w:fill="D9E2F3" w:themeFill="accent1" w:themeFillTint="33"/>
            <w:hideMark/>
          </w:tcPr>
          <w:p w14:paraId="2F3A1960"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10.79%</w:t>
            </w:r>
          </w:p>
        </w:tc>
      </w:tr>
      <w:tr w:rsidR="001F2276" w:rsidRPr="00E92353" w14:paraId="30BD8E04" w14:textId="77777777" w:rsidTr="00F30F70">
        <w:trPr>
          <w:trHeight w:val="894"/>
        </w:trPr>
        <w:tc>
          <w:tcPr>
            <w:tcW w:w="1699" w:type="dxa"/>
            <w:shd w:val="clear" w:color="auto" w:fill="8EAADB" w:themeFill="accent1" w:themeFillTint="99"/>
            <w:hideMark/>
          </w:tcPr>
          <w:p w14:paraId="1ED6CD5A" w14:textId="77777777" w:rsidR="002C34E5" w:rsidRPr="00E92353" w:rsidRDefault="002C34E5" w:rsidP="002C34E5">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Place of residence</w:t>
            </w:r>
          </w:p>
        </w:tc>
        <w:tc>
          <w:tcPr>
            <w:tcW w:w="4204" w:type="dxa"/>
            <w:shd w:val="clear" w:color="auto" w:fill="D9E2F3" w:themeFill="accent1" w:themeFillTint="33"/>
            <w:hideMark/>
          </w:tcPr>
          <w:p w14:paraId="3190C86B"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Rural</w:t>
            </w:r>
          </w:p>
        </w:tc>
        <w:tc>
          <w:tcPr>
            <w:tcW w:w="1940" w:type="dxa"/>
            <w:shd w:val="clear" w:color="auto" w:fill="D9E2F3" w:themeFill="accent1" w:themeFillTint="33"/>
            <w:hideMark/>
          </w:tcPr>
          <w:p w14:paraId="1A6578BB"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21,085</w:t>
            </w:r>
          </w:p>
        </w:tc>
        <w:tc>
          <w:tcPr>
            <w:tcW w:w="1512" w:type="dxa"/>
            <w:shd w:val="clear" w:color="auto" w:fill="D9E2F3" w:themeFill="accent1" w:themeFillTint="33"/>
            <w:hideMark/>
          </w:tcPr>
          <w:p w14:paraId="41D558D4"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66.09%</w:t>
            </w:r>
          </w:p>
        </w:tc>
      </w:tr>
      <w:tr w:rsidR="001F2276" w:rsidRPr="00E92353" w14:paraId="6AA704D4" w14:textId="77777777" w:rsidTr="00F30F70">
        <w:trPr>
          <w:trHeight w:val="297"/>
        </w:trPr>
        <w:tc>
          <w:tcPr>
            <w:tcW w:w="1699" w:type="dxa"/>
            <w:shd w:val="clear" w:color="auto" w:fill="8EAADB" w:themeFill="accent1" w:themeFillTint="99"/>
            <w:hideMark/>
          </w:tcPr>
          <w:p w14:paraId="72FDF07D"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12FFDEBA"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Urban</w:t>
            </w:r>
          </w:p>
        </w:tc>
        <w:tc>
          <w:tcPr>
            <w:tcW w:w="1940" w:type="dxa"/>
            <w:shd w:val="clear" w:color="auto" w:fill="D9E2F3" w:themeFill="accent1" w:themeFillTint="33"/>
            <w:hideMark/>
          </w:tcPr>
          <w:p w14:paraId="7D104E06"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10,817</w:t>
            </w:r>
          </w:p>
        </w:tc>
        <w:tc>
          <w:tcPr>
            <w:tcW w:w="1512" w:type="dxa"/>
            <w:shd w:val="clear" w:color="auto" w:fill="D9E2F3" w:themeFill="accent1" w:themeFillTint="33"/>
            <w:hideMark/>
          </w:tcPr>
          <w:p w14:paraId="758E2ED1"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33.91%</w:t>
            </w:r>
          </w:p>
        </w:tc>
      </w:tr>
      <w:tr w:rsidR="001F2276" w:rsidRPr="00E92353" w14:paraId="40720F0B" w14:textId="77777777" w:rsidTr="00F30F70">
        <w:trPr>
          <w:trHeight w:val="833"/>
        </w:trPr>
        <w:tc>
          <w:tcPr>
            <w:tcW w:w="1699" w:type="dxa"/>
            <w:shd w:val="clear" w:color="auto" w:fill="8EAADB" w:themeFill="accent1" w:themeFillTint="99"/>
            <w:hideMark/>
          </w:tcPr>
          <w:p w14:paraId="2471316D" w14:textId="77777777" w:rsidR="002C34E5" w:rsidRPr="00E92353" w:rsidRDefault="002C34E5" w:rsidP="002C34E5">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Education level</w:t>
            </w:r>
          </w:p>
        </w:tc>
        <w:tc>
          <w:tcPr>
            <w:tcW w:w="4204" w:type="dxa"/>
            <w:shd w:val="clear" w:color="auto" w:fill="D9E2F3" w:themeFill="accent1" w:themeFillTint="33"/>
            <w:hideMark/>
          </w:tcPr>
          <w:p w14:paraId="2581F878"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No education / Less than Primary (0)</w:t>
            </w:r>
          </w:p>
        </w:tc>
        <w:tc>
          <w:tcPr>
            <w:tcW w:w="1940" w:type="dxa"/>
            <w:shd w:val="clear" w:color="auto" w:fill="D9E2F3" w:themeFill="accent1" w:themeFillTint="33"/>
            <w:hideMark/>
          </w:tcPr>
          <w:p w14:paraId="0625CD38"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17,191</w:t>
            </w:r>
          </w:p>
        </w:tc>
        <w:tc>
          <w:tcPr>
            <w:tcW w:w="1512" w:type="dxa"/>
            <w:shd w:val="clear" w:color="auto" w:fill="D9E2F3" w:themeFill="accent1" w:themeFillTint="33"/>
            <w:hideMark/>
          </w:tcPr>
          <w:p w14:paraId="733E849A"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53.89%</w:t>
            </w:r>
          </w:p>
        </w:tc>
      </w:tr>
      <w:tr w:rsidR="001F2276" w:rsidRPr="00E92353" w14:paraId="5CAB1EBA" w14:textId="77777777" w:rsidTr="00F30F70">
        <w:trPr>
          <w:trHeight w:val="894"/>
        </w:trPr>
        <w:tc>
          <w:tcPr>
            <w:tcW w:w="1699" w:type="dxa"/>
            <w:shd w:val="clear" w:color="auto" w:fill="8EAADB" w:themeFill="accent1" w:themeFillTint="99"/>
            <w:hideMark/>
          </w:tcPr>
          <w:p w14:paraId="72B7DFA7"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130BEE86"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Primary / Middle school</w:t>
            </w:r>
          </w:p>
        </w:tc>
        <w:tc>
          <w:tcPr>
            <w:tcW w:w="1940" w:type="dxa"/>
            <w:shd w:val="clear" w:color="auto" w:fill="D9E2F3" w:themeFill="accent1" w:themeFillTint="33"/>
            <w:hideMark/>
          </w:tcPr>
          <w:p w14:paraId="4BCA5109"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2,252</w:t>
            </w:r>
          </w:p>
        </w:tc>
        <w:tc>
          <w:tcPr>
            <w:tcW w:w="1512" w:type="dxa"/>
            <w:shd w:val="clear" w:color="auto" w:fill="D9E2F3" w:themeFill="accent1" w:themeFillTint="33"/>
            <w:hideMark/>
          </w:tcPr>
          <w:p w14:paraId="2B93B59D"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7.06%</w:t>
            </w:r>
          </w:p>
        </w:tc>
      </w:tr>
      <w:tr w:rsidR="001F2276" w:rsidRPr="00E92353" w14:paraId="5A29970D" w14:textId="77777777" w:rsidTr="00F30F70">
        <w:trPr>
          <w:trHeight w:val="894"/>
        </w:trPr>
        <w:tc>
          <w:tcPr>
            <w:tcW w:w="1699" w:type="dxa"/>
            <w:shd w:val="clear" w:color="auto" w:fill="8EAADB" w:themeFill="accent1" w:themeFillTint="99"/>
            <w:hideMark/>
          </w:tcPr>
          <w:p w14:paraId="2BC6A57B"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7EC72656"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Matric / Secondary</w:t>
            </w:r>
          </w:p>
        </w:tc>
        <w:tc>
          <w:tcPr>
            <w:tcW w:w="1940" w:type="dxa"/>
            <w:shd w:val="clear" w:color="auto" w:fill="D9E2F3" w:themeFill="accent1" w:themeFillTint="33"/>
            <w:hideMark/>
          </w:tcPr>
          <w:p w14:paraId="3916BC76"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2,388</w:t>
            </w:r>
          </w:p>
        </w:tc>
        <w:tc>
          <w:tcPr>
            <w:tcW w:w="1512" w:type="dxa"/>
            <w:shd w:val="clear" w:color="auto" w:fill="D9E2F3" w:themeFill="accent1" w:themeFillTint="33"/>
            <w:hideMark/>
          </w:tcPr>
          <w:p w14:paraId="3848C13A"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7.49%</w:t>
            </w:r>
          </w:p>
        </w:tc>
      </w:tr>
      <w:tr w:rsidR="001F2276" w:rsidRPr="00E92353" w14:paraId="14B8B5C4" w14:textId="77777777" w:rsidTr="00F30F70">
        <w:trPr>
          <w:trHeight w:val="1193"/>
        </w:trPr>
        <w:tc>
          <w:tcPr>
            <w:tcW w:w="1699" w:type="dxa"/>
            <w:shd w:val="clear" w:color="auto" w:fill="8EAADB" w:themeFill="accent1" w:themeFillTint="99"/>
            <w:hideMark/>
          </w:tcPr>
          <w:p w14:paraId="0894A46B"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4974566A"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Higher Secondary and above</w:t>
            </w:r>
          </w:p>
        </w:tc>
        <w:tc>
          <w:tcPr>
            <w:tcW w:w="1940" w:type="dxa"/>
            <w:shd w:val="clear" w:color="auto" w:fill="D9E2F3" w:themeFill="accent1" w:themeFillTint="33"/>
            <w:hideMark/>
          </w:tcPr>
          <w:p w14:paraId="0F240D88"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2,423</w:t>
            </w:r>
          </w:p>
        </w:tc>
        <w:tc>
          <w:tcPr>
            <w:tcW w:w="1512" w:type="dxa"/>
            <w:shd w:val="clear" w:color="auto" w:fill="D9E2F3" w:themeFill="accent1" w:themeFillTint="33"/>
            <w:hideMark/>
          </w:tcPr>
          <w:p w14:paraId="7527D8E5"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7.60%</w:t>
            </w:r>
          </w:p>
        </w:tc>
      </w:tr>
      <w:tr w:rsidR="001F2276" w:rsidRPr="00E92353" w14:paraId="35F2F164" w14:textId="77777777" w:rsidTr="00F30F70">
        <w:trPr>
          <w:trHeight w:val="1193"/>
        </w:trPr>
        <w:tc>
          <w:tcPr>
            <w:tcW w:w="1699" w:type="dxa"/>
            <w:shd w:val="clear" w:color="auto" w:fill="8EAADB" w:themeFill="accent1" w:themeFillTint="99"/>
            <w:hideMark/>
          </w:tcPr>
          <w:p w14:paraId="0D21DB53"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66E7BEB1"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Missing / Unspecified</w:t>
            </w:r>
          </w:p>
        </w:tc>
        <w:tc>
          <w:tcPr>
            <w:tcW w:w="1940" w:type="dxa"/>
            <w:shd w:val="clear" w:color="auto" w:fill="D9E2F3" w:themeFill="accent1" w:themeFillTint="33"/>
            <w:hideMark/>
          </w:tcPr>
          <w:p w14:paraId="638B6756"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7,648</w:t>
            </w:r>
          </w:p>
        </w:tc>
        <w:tc>
          <w:tcPr>
            <w:tcW w:w="1512" w:type="dxa"/>
            <w:shd w:val="clear" w:color="auto" w:fill="D9E2F3" w:themeFill="accent1" w:themeFillTint="33"/>
            <w:hideMark/>
          </w:tcPr>
          <w:p w14:paraId="760842AE"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23.97%</w:t>
            </w:r>
          </w:p>
        </w:tc>
      </w:tr>
      <w:tr w:rsidR="001F2276" w:rsidRPr="00E92353" w14:paraId="16805080" w14:textId="77777777" w:rsidTr="00F30F70">
        <w:trPr>
          <w:trHeight w:val="550"/>
        </w:trPr>
        <w:tc>
          <w:tcPr>
            <w:tcW w:w="1699" w:type="dxa"/>
            <w:shd w:val="clear" w:color="auto" w:fill="8EAADB" w:themeFill="accent1" w:themeFillTint="99"/>
            <w:noWrap/>
            <w:hideMark/>
          </w:tcPr>
          <w:p w14:paraId="44235D9F" w14:textId="77777777" w:rsidR="002C34E5" w:rsidRPr="00E92353" w:rsidRDefault="002C34E5" w:rsidP="002C34E5">
            <w:pPr>
              <w:spacing w:after="0" w:line="240" w:lineRule="auto"/>
              <w:rPr>
                <w:rFonts w:asciiTheme="majorBidi" w:eastAsia="Times New Roman" w:hAnsiTheme="majorBidi" w:cstheme="majorBidi"/>
                <w:b/>
                <w:bCs/>
                <w:color w:val="000000"/>
                <w:kern w:val="0"/>
                <w:sz w:val="22"/>
                <w:szCs w:val="22"/>
                <w:lang w:val="en-US"/>
                <w14:ligatures w14:val="none"/>
              </w:rPr>
            </w:pPr>
            <w:r w:rsidRPr="00E92353">
              <w:rPr>
                <w:rFonts w:asciiTheme="majorBidi" w:eastAsia="Times New Roman" w:hAnsiTheme="majorBidi" w:cstheme="majorBidi"/>
                <w:b/>
                <w:bCs/>
                <w:color w:val="000000"/>
                <w:kern w:val="0"/>
                <w:sz w:val="22"/>
                <w:szCs w:val="22"/>
                <w:lang w:val="en-US"/>
                <w14:ligatures w14:val="none"/>
              </w:rPr>
              <w:t>Marital Status</w:t>
            </w:r>
          </w:p>
        </w:tc>
        <w:tc>
          <w:tcPr>
            <w:tcW w:w="4204" w:type="dxa"/>
            <w:shd w:val="clear" w:color="auto" w:fill="D9E2F3" w:themeFill="accent1" w:themeFillTint="33"/>
            <w:hideMark/>
          </w:tcPr>
          <w:p w14:paraId="1BCB83DE" w14:textId="77777777" w:rsidR="002C34E5" w:rsidRPr="00E92353" w:rsidRDefault="002C34E5" w:rsidP="002C34E5">
            <w:pPr>
              <w:spacing w:after="0" w:line="240" w:lineRule="auto"/>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Currently married</w:t>
            </w:r>
          </w:p>
        </w:tc>
        <w:tc>
          <w:tcPr>
            <w:tcW w:w="1940" w:type="dxa"/>
            <w:shd w:val="clear" w:color="auto" w:fill="D9E2F3" w:themeFill="accent1" w:themeFillTint="33"/>
            <w:hideMark/>
          </w:tcPr>
          <w:p w14:paraId="698E8CB9" w14:textId="77777777" w:rsidR="002C34E5" w:rsidRPr="00E92353" w:rsidRDefault="002C34E5" w:rsidP="002C34E5">
            <w:pPr>
              <w:spacing w:after="0" w:line="240" w:lineRule="auto"/>
              <w:jc w:val="right"/>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20,212</w:t>
            </w:r>
          </w:p>
        </w:tc>
        <w:tc>
          <w:tcPr>
            <w:tcW w:w="1512" w:type="dxa"/>
            <w:shd w:val="clear" w:color="auto" w:fill="D9E2F3" w:themeFill="accent1" w:themeFillTint="33"/>
            <w:hideMark/>
          </w:tcPr>
          <w:p w14:paraId="1CB99470" w14:textId="77777777" w:rsidR="002C34E5" w:rsidRPr="00E92353" w:rsidRDefault="002C34E5" w:rsidP="002C34E5">
            <w:pPr>
              <w:spacing w:after="0" w:line="240" w:lineRule="auto"/>
              <w:jc w:val="right"/>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63.36</w:t>
            </w:r>
          </w:p>
        </w:tc>
      </w:tr>
      <w:tr w:rsidR="001F2276" w:rsidRPr="00E92353" w14:paraId="4ED72D7E" w14:textId="77777777" w:rsidTr="00F30F70">
        <w:trPr>
          <w:trHeight w:val="626"/>
        </w:trPr>
        <w:tc>
          <w:tcPr>
            <w:tcW w:w="1699" w:type="dxa"/>
            <w:shd w:val="clear" w:color="auto" w:fill="8EAADB" w:themeFill="accent1" w:themeFillTint="99"/>
            <w:noWrap/>
            <w:hideMark/>
          </w:tcPr>
          <w:p w14:paraId="539D00BC" w14:textId="77777777" w:rsidR="002C34E5" w:rsidRPr="00E92353" w:rsidRDefault="002C34E5" w:rsidP="002C34E5">
            <w:pPr>
              <w:spacing w:after="0" w:line="240" w:lineRule="auto"/>
              <w:jc w:val="right"/>
              <w:rPr>
                <w:rFonts w:asciiTheme="majorBidi" w:eastAsia="Times New Roman" w:hAnsiTheme="majorBidi" w:cstheme="majorBidi"/>
                <w:color w:val="000000"/>
                <w:kern w:val="0"/>
                <w:sz w:val="22"/>
                <w:szCs w:val="22"/>
                <w:lang w:val="en-US"/>
                <w14:ligatures w14:val="none"/>
              </w:rPr>
            </w:pPr>
          </w:p>
        </w:tc>
        <w:tc>
          <w:tcPr>
            <w:tcW w:w="4204" w:type="dxa"/>
            <w:shd w:val="clear" w:color="auto" w:fill="D9E2F3" w:themeFill="accent1" w:themeFillTint="33"/>
            <w:hideMark/>
          </w:tcPr>
          <w:p w14:paraId="49321C04" w14:textId="77777777" w:rsidR="002C34E5" w:rsidRPr="00E92353" w:rsidRDefault="002C34E5" w:rsidP="002C34E5">
            <w:pPr>
              <w:spacing w:after="0" w:line="240" w:lineRule="auto"/>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Widowed/Separated/Divorced/Others</w:t>
            </w:r>
          </w:p>
        </w:tc>
        <w:tc>
          <w:tcPr>
            <w:tcW w:w="1940" w:type="dxa"/>
            <w:shd w:val="clear" w:color="auto" w:fill="D9E2F3" w:themeFill="accent1" w:themeFillTint="33"/>
            <w:hideMark/>
          </w:tcPr>
          <w:p w14:paraId="226998A0" w14:textId="77777777" w:rsidR="002C34E5" w:rsidRPr="00E92353" w:rsidRDefault="002C34E5" w:rsidP="002C34E5">
            <w:pPr>
              <w:spacing w:after="0" w:line="240" w:lineRule="auto"/>
              <w:jc w:val="right"/>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11,690</w:t>
            </w:r>
          </w:p>
        </w:tc>
        <w:tc>
          <w:tcPr>
            <w:tcW w:w="1512" w:type="dxa"/>
            <w:shd w:val="clear" w:color="auto" w:fill="D9E2F3" w:themeFill="accent1" w:themeFillTint="33"/>
            <w:hideMark/>
          </w:tcPr>
          <w:p w14:paraId="4810FD6E" w14:textId="77777777" w:rsidR="002C34E5" w:rsidRPr="00E92353" w:rsidRDefault="002C34E5" w:rsidP="002C34E5">
            <w:pPr>
              <w:spacing w:after="0" w:line="240" w:lineRule="auto"/>
              <w:jc w:val="right"/>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36.64</w:t>
            </w:r>
          </w:p>
        </w:tc>
      </w:tr>
      <w:tr w:rsidR="001F2276" w:rsidRPr="00E92353" w14:paraId="54CF50F1" w14:textId="77777777" w:rsidTr="00F30F70">
        <w:trPr>
          <w:trHeight w:val="297"/>
        </w:trPr>
        <w:tc>
          <w:tcPr>
            <w:tcW w:w="1699" w:type="dxa"/>
            <w:shd w:val="clear" w:color="auto" w:fill="8EAADB" w:themeFill="accent1" w:themeFillTint="99"/>
            <w:hideMark/>
          </w:tcPr>
          <w:p w14:paraId="2FF90E05" w14:textId="77777777" w:rsidR="002C34E5" w:rsidRPr="00E92353" w:rsidRDefault="002C34E5" w:rsidP="002C34E5">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Religion</w:t>
            </w:r>
          </w:p>
        </w:tc>
        <w:tc>
          <w:tcPr>
            <w:tcW w:w="4204" w:type="dxa"/>
            <w:shd w:val="clear" w:color="auto" w:fill="D9E2F3" w:themeFill="accent1" w:themeFillTint="33"/>
            <w:hideMark/>
          </w:tcPr>
          <w:p w14:paraId="009BA818"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Hindu</w:t>
            </w:r>
          </w:p>
        </w:tc>
        <w:tc>
          <w:tcPr>
            <w:tcW w:w="1940" w:type="dxa"/>
            <w:shd w:val="clear" w:color="auto" w:fill="D9E2F3" w:themeFill="accent1" w:themeFillTint="33"/>
            <w:hideMark/>
          </w:tcPr>
          <w:p w14:paraId="6E8C3EC3"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23,292</w:t>
            </w:r>
          </w:p>
        </w:tc>
        <w:tc>
          <w:tcPr>
            <w:tcW w:w="1512" w:type="dxa"/>
            <w:shd w:val="clear" w:color="auto" w:fill="D9E2F3" w:themeFill="accent1" w:themeFillTint="33"/>
            <w:hideMark/>
          </w:tcPr>
          <w:p w14:paraId="1550B8D4"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73.01%</w:t>
            </w:r>
          </w:p>
        </w:tc>
      </w:tr>
      <w:tr w:rsidR="001F2276" w:rsidRPr="00E92353" w14:paraId="066F9318" w14:textId="77777777" w:rsidTr="00F30F70">
        <w:trPr>
          <w:trHeight w:val="297"/>
        </w:trPr>
        <w:tc>
          <w:tcPr>
            <w:tcW w:w="1699" w:type="dxa"/>
            <w:shd w:val="clear" w:color="auto" w:fill="8EAADB" w:themeFill="accent1" w:themeFillTint="99"/>
            <w:hideMark/>
          </w:tcPr>
          <w:p w14:paraId="306102AC"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14B04127"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Muslim</w:t>
            </w:r>
          </w:p>
        </w:tc>
        <w:tc>
          <w:tcPr>
            <w:tcW w:w="1940" w:type="dxa"/>
            <w:shd w:val="clear" w:color="auto" w:fill="D9E2F3" w:themeFill="accent1" w:themeFillTint="33"/>
            <w:hideMark/>
          </w:tcPr>
          <w:p w14:paraId="48C01F47"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3,731</w:t>
            </w:r>
          </w:p>
        </w:tc>
        <w:tc>
          <w:tcPr>
            <w:tcW w:w="1512" w:type="dxa"/>
            <w:shd w:val="clear" w:color="auto" w:fill="D9E2F3" w:themeFill="accent1" w:themeFillTint="33"/>
            <w:hideMark/>
          </w:tcPr>
          <w:p w14:paraId="0D7CC3C8"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11.70%</w:t>
            </w:r>
          </w:p>
        </w:tc>
      </w:tr>
      <w:tr w:rsidR="001F2276" w:rsidRPr="00E92353" w14:paraId="38D48A83" w14:textId="77777777" w:rsidTr="00F30F70">
        <w:trPr>
          <w:trHeight w:val="595"/>
        </w:trPr>
        <w:tc>
          <w:tcPr>
            <w:tcW w:w="1699" w:type="dxa"/>
            <w:shd w:val="clear" w:color="auto" w:fill="8EAADB" w:themeFill="accent1" w:themeFillTint="99"/>
            <w:hideMark/>
          </w:tcPr>
          <w:p w14:paraId="016AC57B"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7826B747"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Christian</w:t>
            </w:r>
          </w:p>
        </w:tc>
        <w:tc>
          <w:tcPr>
            <w:tcW w:w="1940" w:type="dxa"/>
            <w:shd w:val="clear" w:color="auto" w:fill="D9E2F3" w:themeFill="accent1" w:themeFillTint="33"/>
            <w:hideMark/>
          </w:tcPr>
          <w:p w14:paraId="00521675"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3,194</w:t>
            </w:r>
          </w:p>
        </w:tc>
        <w:tc>
          <w:tcPr>
            <w:tcW w:w="1512" w:type="dxa"/>
            <w:shd w:val="clear" w:color="auto" w:fill="D9E2F3" w:themeFill="accent1" w:themeFillTint="33"/>
            <w:hideMark/>
          </w:tcPr>
          <w:p w14:paraId="683448AA"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10.01%</w:t>
            </w:r>
          </w:p>
        </w:tc>
      </w:tr>
      <w:tr w:rsidR="001F2276" w:rsidRPr="00E92353" w14:paraId="1FF446E1" w14:textId="77777777" w:rsidTr="00F30F70">
        <w:trPr>
          <w:trHeight w:val="297"/>
        </w:trPr>
        <w:tc>
          <w:tcPr>
            <w:tcW w:w="1699" w:type="dxa"/>
            <w:shd w:val="clear" w:color="auto" w:fill="8EAADB" w:themeFill="accent1" w:themeFillTint="99"/>
            <w:hideMark/>
          </w:tcPr>
          <w:p w14:paraId="4CD282E7"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42F4C46A"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Others</w:t>
            </w:r>
          </w:p>
        </w:tc>
        <w:tc>
          <w:tcPr>
            <w:tcW w:w="1940" w:type="dxa"/>
            <w:shd w:val="clear" w:color="auto" w:fill="D9E2F3" w:themeFill="accent1" w:themeFillTint="33"/>
            <w:hideMark/>
          </w:tcPr>
          <w:p w14:paraId="431FF0F2"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1,685</w:t>
            </w:r>
          </w:p>
        </w:tc>
        <w:tc>
          <w:tcPr>
            <w:tcW w:w="1512" w:type="dxa"/>
            <w:shd w:val="clear" w:color="auto" w:fill="D9E2F3" w:themeFill="accent1" w:themeFillTint="33"/>
            <w:hideMark/>
          </w:tcPr>
          <w:p w14:paraId="3B6B56F8"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5.28%</w:t>
            </w:r>
          </w:p>
        </w:tc>
      </w:tr>
      <w:tr w:rsidR="001F2276" w:rsidRPr="00E92353" w14:paraId="6AFE2CFB" w14:textId="77777777" w:rsidTr="00F30F70">
        <w:trPr>
          <w:trHeight w:val="894"/>
        </w:trPr>
        <w:tc>
          <w:tcPr>
            <w:tcW w:w="1699" w:type="dxa"/>
            <w:shd w:val="clear" w:color="auto" w:fill="8EAADB" w:themeFill="accent1" w:themeFillTint="99"/>
            <w:hideMark/>
          </w:tcPr>
          <w:p w14:paraId="794FF6F5" w14:textId="77777777" w:rsidR="002C34E5" w:rsidRPr="00E92353" w:rsidRDefault="002C34E5" w:rsidP="002C34E5">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Caste category</w:t>
            </w:r>
          </w:p>
        </w:tc>
        <w:tc>
          <w:tcPr>
            <w:tcW w:w="4204" w:type="dxa"/>
            <w:shd w:val="clear" w:color="auto" w:fill="D9E2F3" w:themeFill="accent1" w:themeFillTint="33"/>
            <w:hideMark/>
          </w:tcPr>
          <w:p w14:paraId="0BC21150"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Scheduled Caste (SC)</w:t>
            </w:r>
          </w:p>
        </w:tc>
        <w:tc>
          <w:tcPr>
            <w:tcW w:w="1940" w:type="dxa"/>
            <w:shd w:val="clear" w:color="auto" w:fill="D9E2F3" w:themeFill="accent1" w:themeFillTint="33"/>
            <w:hideMark/>
          </w:tcPr>
          <w:p w14:paraId="2F1EEABA"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5,157</w:t>
            </w:r>
          </w:p>
        </w:tc>
        <w:tc>
          <w:tcPr>
            <w:tcW w:w="1512" w:type="dxa"/>
            <w:shd w:val="clear" w:color="auto" w:fill="D9E2F3" w:themeFill="accent1" w:themeFillTint="33"/>
            <w:hideMark/>
          </w:tcPr>
          <w:p w14:paraId="501FB20B"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16.17%</w:t>
            </w:r>
          </w:p>
        </w:tc>
      </w:tr>
      <w:tr w:rsidR="001F2276" w:rsidRPr="00E92353" w14:paraId="37A291EF" w14:textId="77777777" w:rsidTr="00F30F70">
        <w:trPr>
          <w:trHeight w:val="894"/>
        </w:trPr>
        <w:tc>
          <w:tcPr>
            <w:tcW w:w="1699" w:type="dxa"/>
            <w:shd w:val="clear" w:color="auto" w:fill="8EAADB" w:themeFill="accent1" w:themeFillTint="99"/>
            <w:hideMark/>
          </w:tcPr>
          <w:p w14:paraId="341082FC"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lastRenderedPageBreak/>
              <w:t> </w:t>
            </w:r>
          </w:p>
        </w:tc>
        <w:tc>
          <w:tcPr>
            <w:tcW w:w="4204" w:type="dxa"/>
            <w:shd w:val="clear" w:color="auto" w:fill="D9E2F3" w:themeFill="accent1" w:themeFillTint="33"/>
            <w:hideMark/>
          </w:tcPr>
          <w:p w14:paraId="787DC34D"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Scheduled Tribe (ST)</w:t>
            </w:r>
          </w:p>
        </w:tc>
        <w:tc>
          <w:tcPr>
            <w:tcW w:w="1940" w:type="dxa"/>
            <w:shd w:val="clear" w:color="auto" w:fill="D9E2F3" w:themeFill="accent1" w:themeFillTint="33"/>
            <w:hideMark/>
          </w:tcPr>
          <w:p w14:paraId="0BBA654D"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5,334</w:t>
            </w:r>
          </w:p>
        </w:tc>
        <w:tc>
          <w:tcPr>
            <w:tcW w:w="1512" w:type="dxa"/>
            <w:shd w:val="clear" w:color="auto" w:fill="D9E2F3" w:themeFill="accent1" w:themeFillTint="33"/>
            <w:hideMark/>
          </w:tcPr>
          <w:p w14:paraId="08CCE60F"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16.72%</w:t>
            </w:r>
          </w:p>
        </w:tc>
      </w:tr>
      <w:tr w:rsidR="001F2276" w:rsidRPr="00E92353" w14:paraId="363EB02E" w14:textId="77777777" w:rsidTr="00F30F70">
        <w:trPr>
          <w:trHeight w:val="1193"/>
        </w:trPr>
        <w:tc>
          <w:tcPr>
            <w:tcW w:w="1699" w:type="dxa"/>
            <w:shd w:val="clear" w:color="auto" w:fill="8EAADB" w:themeFill="accent1" w:themeFillTint="99"/>
            <w:hideMark/>
          </w:tcPr>
          <w:p w14:paraId="72C55869"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17DDA524"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Other Backward Class (OBC)</w:t>
            </w:r>
          </w:p>
        </w:tc>
        <w:tc>
          <w:tcPr>
            <w:tcW w:w="1940" w:type="dxa"/>
            <w:shd w:val="clear" w:color="auto" w:fill="D9E2F3" w:themeFill="accent1" w:themeFillTint="33"/>
            <w:hideMark/>
          </w:tcPr>
          <w:p w14:paraId="2D150642"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12,137</w:t>
            </w:r>
          </w:p>
        </w:tc>
        <w:tc>
          <w:tcPr>
            <w:tcW w:w="1512" w:type="dxa"/>
            <w:shd w:val="clear" w:color="auto" w:fill="D9E2F3" w:themeFill="accent1" w:themeFillTint="33"/>
            <w:hideMark/>
          </w:tcPr>
          <w:p w14:paraId="1A9DE3F3"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38.04%</w:t>
            </w:r>
          </w:p>
        </w:tc>
      </w:tr>
      <w:tr w:rsidR="001F2276" w:rsidRPr="00E92353" w14:paraId="28EB0F71" w14:textId="77777777" w:rsidTr="00F30F70">
        <w:trPr>
          <w:trHeight w:val="595"/>
        </w:trPr>
        <w:tc>
          <w:tcPr>
            <w:tcW w:w="1699" w:type="dxa"/>
            <w:shd w:val="clear" w:color="auto" w:fill="8EAADB" w:themeFill="accent1" w:themeFillTint="99"/>
            <w:hideMark/>
          </w:tcPr>
          <w:p w14:paraId="1DF99274"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0A743965"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General/Other</w:t>
            </w:r>
          </w:p>
        </w:tc>
        <w:tc>
          <w:tcPr>
            <w:tcW w:w="1940" w:type="dxa"/>
            <w:shd w:val="clear" w:color="auto" w:fill="D9E2F3" w:themeFill="accent1" w:themeFillTint="33"/>
            <w:hideMark/>
          </w:tcPr>
          <w:p w14:paraId="27CA9595"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9,274</w:t>
            </w:r>
          </w:p>
        </w:tc>
        <w:tc>
          <w:tcPr>
            <w:tcW w:w="1512" w:type="dxa"/>
            <w:shd w:val="clear" w:color="auto" w:fill="D9E2F3" w:themeFill="accent1" w:themeFillTint="33"/>
            <w:hideMark/>
          </w:tcPr>
          <w:p w14:paraId="21D95052"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29.07%</w:t>
            </w:r>
          </w:p>
        </w:tc>
      </w:tr>
      <w:tr w:rsidR="001F2276" w:rsidRPr="00E92353" w14:paraId="5882C13E" w14:textId="77777777" w:rsidTr="00F30F70">
        <w:trPr>
          <w:trHeight w:val="894"/>
        </w:trPr>
        <w:tc>
          <w:tcPr>
            <w:tcW w:w="1699" w:type="dxa"/>
            <w:shd w:val="clear" w:color="auto" w:fill="8EAADB" w:themeFill="accent1" w:themeFillTint="99"/>
            <w:hideMark/>
          </w:tcPr>
          <w:p w14:paraId="5CBC17A0" w14:textId="77777777" w:rsidR="002C34E5" w:rsidRPr="00E92353" w:rsidRDefault="002C34E5" w:rsidP="002C34E5">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BMI category</w:t>
            </w:r>
          </w:p>
        </w:tc>
        <w:tc>
          <w:tcPr>
            <w:tcW w:w="4204" w:type="dxa"/>
            <w:shd w:val="clear" w:color="auto" w:fill="D9E2F3" w:themeFill="accent1" w:themeFillTint="33"/>
            <w:hideMark/>
          </w:tcPr>
          <w:p w14:paraId="36E32A18"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Underweight</w:t>
            </w:r>
          </w:p>
        </w:tc>
        <w:tc>
          <w:tcPr>
            <w:tcW w:w="1940" w:type="dxa"/>
            <w:shd w:val="clear" w:color="auto" w:fill="D9E2F3" w:themeFill="accent1" w:themeFillTint="33"/>
            <w:hideMark/>
          </w:tcPr>
          <w:p w14:paraId="43D2B3CF"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6,552</w:t>
            </w:r>
          </w:p>
        </w:tc>
        <w:tc>
          <w:tcPr>
            <w:tcW w:w="1512" w:type="dxa"/>
            <w:shd w:val="clear" w:color="auto" w:fill="D9E2F3" w:themeFill="accent1" w:themeFillTint="33"/>
            <w:hideMark/>
          </w:tcPr>
          <w:p w14:paraId="0548E4EB"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20.54%</w:t>
            </w:r>
          </w:p>
        </w:tc>
      </w:tr>
      <w:tr w:rsidR="001F2276" w:rsidRPr="00E92353" w14:paraId="2FD45CE8" w14:textId="77777777" w:rsidTr="00F30F70">
        <w:trPr>
          <w:trHeight w:val="297"/>
        </w:trPr>
        <w:tc>
          <w:tcPr>
            <w:tcW w:w="1699" w:type="dxa"/>
            <w:shd w:val="clear" w:color="auto" w:fill="8EAADB" w:themeFill="accent1" w:themeFillTint="99"/>
            <w:hideMark/>
          </w:tcPr>
          <w:p w14:paraId="2B3C585E"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4516D6C1"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Normal</w:t>
            </w:r>
          </w:p>
        </w:tc>
        <w:tc>
          <w:tcPr>
            <w:tcW w:w="1940" w:type="dxa"/>
            <w:shd w:val="clear" w:color="auto" w:fill="D9E2F3" w:themeFill="accent1" w:themeFillTint="33"/>
            <w:hideMark/>
          </w:tcPr>
          <w:p w14:paraId="18398454"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14,907</w:t>
            </w:r>
          </w:p>
        </w:tc>
        <w:tc>
          <w:tcPr>
            <w:tcW w:w="1512" w:type="dxa"/>
            <w:shd w:val="clear" w:color="auto" w:fill="D9E2F3" w:themeFill="accent1" w:themeFillTint="33"/>
            <w:hideMark/>
          </w:tcPr>
          <w:p w14:paraId="719658AA"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46.73%</w:t>
            </w:r>
          </w:p>
        </w:tc>
      </w:tr>
      <w:tr w:rsidR="001F2276" w:rsidRPr="00E92353" w14:paraId="2AA969F5" w14:textId="77777777" w:rsidTr="00F30F70">
        <w:trPr>
          <w:trHeight w:val="595"/>
        </w:trPr>
        <w:tc>
          <w:tcPr>
            <w:tcW w:w="1699" w:type="dxa"/>
            <w:shd w:val="clear" w:color="auto" w:fill="8EAADB" w:themeFill="accent1" w:themeFillTint="99"/>
            <w:hideMark/>
          </w:tcPr>
          <w:p w14:paraId="00FD0089"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050A297E"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Overweight</w:t>
            </w:r>
          </w:p>
        </w:tc>
        <w:tc>
          <w:tcPr>
            <w:tcW w:w="1940" w:type="dxa"/>
            <w:shd w:val="clear" w:color="auto" w:fill="D9E2F3" w:themeFill="accent1" w:themeFillTint="33"/>
            <w:hideMark/>
          </w:tcPr>
          <w:p w14:paraId="71E67035"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5,296</w:t>
            </w:r>
          </w:p>
        </w:tc>
        <w:tc>
          <w:tcPr>
            <w:tcW w:w="1512" w:type="dxa"/>
            <w:shd w:val="clear" w:color="auto" w:fill="D9E2F3" w:themeFill="accent1" w:themeFillTint="33"/>
            <w:hideMark/>
          </w:tcPr>
          <w:p w14:paraId="306B97C0"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16.60%</w:t>
            </w:r>
          </w:p>
        </w:tc>
      </w:tr>
      <w:tr w:rsidR="001F2276" w:rsidRPr="00E92353" w14:paraId="333D5192" w14:textId="77777777" w:rsidTr="00F30F70">
        <w:trPr>
          <w:trHeight w:val="297"/>
        </w:trPr>
        <w:tc>
          <w:tcPr>
            <w:tcW w:w="1699" w:type="dxa"/>
            <w:shd w:val="clear" w:color="auto" w:fill="8EAADB" w:themeFill="accent1" w:themeFillTint="99"/>
            <w:hideMark/>
          </w:tcPr>
          <w:p w14:paraId="4052A13D"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3D0074B5"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Obese</w:t>
            </w:r>
          </w:p>
        </w:tc>
        <w:tc>
          <w:tcPr>
            <w:tcW w:w="1940" w:type="dxa"/>
            <w:shd w:val="clear" w:color="auto" w:fill="D9E2F3" w:themeFill="accent1" w:themeFillTint="33"/>
            <w:hideMark/>
          </w:tcPr>
          <w:p w14:paraId="558A0B89"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5,147</w:t>
            </w:r>
          </w:p>
        </w:tc>
        <w:tc>
          <w:tcPr>
            <w:tcW w:w="1512" w:type="dxa"/>
            <w:shd w:val="clear" w:color="auto" w:fill="D9E2F3" w:themeFill="accent1" w:themeFillTint="33"/>
            <w:hideMark/>
          </w:tcPr>
          <w:p w14:paraId="2BE9610F"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16.13%</w:t>
            </w:r>
          </w:p>
        </w:tc>
      </w:tr>
      <w:tr w:rsidR="001F2276" w:rsidRPr="00E92353" w14:paraId="77A4B867" w14:textId="77777777" w:rsidTr="00F30F70">
        <w:trPr>
          <w:trHeight w:val="595"/>
        </w:trPr>
        <w:tc>
          <w:tcPr>
            <w:tcW w:w="1699" w:type="dxa"/>
            <w:shd w:val="clear" w:color="auto" w:fill="8EAADB" w:themeFill="accent1" w:themeFillTint="99"/>
            <w:hideMark/>
          </w:tcPr>
          <w:p w14:paraId="526F0EB4" w14:textId="77777777" w:rsidR="002C34E5" w:rsidRPr="00E92353" w:rsidRDefault="002C34E5" w:rsidP="002C34E5">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Working status</w:t>
            </w:r>
          </w:p>
        </w:tc>
        <w:tc>
          <w:tcPr>
            <w:tcW w:w="4204" w:type="dxa"/>
            <w:shd w:val="clear" w:color="auto" w:fill="D9E2F3" w:themeFill="accent1" w:themeFillTint="33"/>
            <w:hideMark/>
          </w:tcPr>
          <w:p w14:paraId="0993DFDE"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Not Working</w:t>
            </w:r>
          </w:p>
        </w:tc>
        <w:tc>
          <w:tcPr>
            <w:tcW w:w="1940" w:type="dxa"/>
            <w:shd w:val="clear" w:color="auto" w:fill="D9E2F3" w:themeFill="accent1" w:themeFillTint="33"/>
            <w:hideMark/>
          </w:tcPr>
          <w:p w14:paraId="08FFFE46"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18,488</w:t>
            </w:r>
          </w:p>
        </w:tc>
        <w:tc>
          <w:tcPr>
            <w:tcW w:w="1512" w:type="dxa"/>
            <w:shd w:val="clear" w:color="auto" w:fill="D9E2F3" w:themeFill="accent1" w:themeFillTint="33"/>
            <w:hideMark/>
          </w:tcPr>
          <w:p w14:paraId="5FCA86DD"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57.95%</w:t>
            </w:r>
          </w:p>
        </w:tc>
      </w:tr>
      <w:tr w:rsidR="001F2276" w:rsidRPr="00E92353" w14:paraId="1C99BD36" w14:textId="77777777" w:rsidTr="00F30F70">
        <w:trPr>
          <w:trHeight w:val="297"/>
        </w:trPr>
        <w:tc>
          <w:tcPr>
            <w:tcW w:w="1699" w:type="dxa"/>
            <w:shd w:val="clear" w:color="auto" w:fill="8EAADB" w:themeFill="accent1" w:themeFillTint="99"/>
            <w:hideMark/>
          </w:tcPr>
          <w:p w14:paraId="05434BBF"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01BD897A"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Working</w:t>
            </w:r>
          </w:p>
        </w:tc>
        <w:tc>
          <w:tcPr>
            <w:tcW w:w="1940" w:type="dxa"/>
            <w:shd w:val="clear" w:color="auto" w:fill="D9E2F3" w:themeFill="accent1" w:themeFillTint="33"/>
            <w:hideMark/>
          </w:tcPr>
          <w:p w14:paraId="5F4FAB71"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13,414</w:t>
            </w:r>
          </w:p>
        </w:tc>
        <w:tc>
          <w:tcPr>
            <w:tcW w:w="1512" w:type="dxa"/>
            <w:shd w:val="clear" w:color="auto" w:fill="D9E2F3" w:themeFill="accent1" w:themeFillTint="33"/>
            <w:hideMark/>
          </w:tcPr>
          <w:p w14:paraId="0E70E8A5"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42.05%</w:t>
            </w:r>
          </w:p>
        </w:tc>
      </w:tr>
      <w:tr w:rsidR="001F2276" w:rsidRPr="00E92353" w14:paraId="1C28AB56" w14:textId="77777777" w:rsidTr="00F30F70">
        <w:trPr>
          <w:trHeight w:val="894"/>
        </w:trPr>
        <w:tc>
          <w:tcPr>
            <w:tcW w:w="1699" w:type="dxa"/>
            <w:shd w:val="clear" w:color="auto" w:fill="8EAADB" w:themeFill="accent1" w:themeFillTint="99"/>
            <w:hideMark/>
          </w:tcPr>
          <w:p w14:paraId="50FC8E18" w14:textId="77777777" w:rsidR="002C34E5" w:rsidRPr="00E92353" w:rsidRDefault="002C34E5" w:rsidP="002C34E5">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Current tobacco use</w:t>
            </w:r>
          </w:p>
        </w:tc>
        <w:tc>
          <w:tcPr>
            <w:tcW w:w="4204" w:type="dxa"/>
            <w:shd w:val="clear" w:color="auto" w:fill="D9E2F3" w:themeFill="accent1" w:themeFillTint="33"/>
            <w:hideMark/>
          </w:tcPr>
          <w:p w14:paraId="03E40185"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No</w:t>
            </w:r>
          </w:p>
        </w:tc>
        <w:tc>
          <w:tcPr>
            <w:tcW w:w="1940" w:type="dxa"/>
            <w:shd w:val="clear" w:color="auto" w:fill="D9E2F3" w:themeFill="accent1" w:themeFillTint="33"/>
            <w:hideMark/>
          </w:tcPr>
          <w:p w14:paraId="5D1AF3C7"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26,689</w:t>
            </w:r>
          </w:p>
        </w:tc>
        <w:tc>
          <w:tcPr>
            <w:tcW w:w="1512" w:type="dxa"/>
            <w:shd w:val="clear" w:color="auto" w:fill="D9E2F3" w:themeFill="accent1" w:themeFillTint="33"/>
            <w:hideMark/>
          </w:tcPr>
          <w:p w14:paraId="6E06F66D"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83.66%</w:t>
            </w:r>
          </w:p>
        </w:tc>
      </w:tr>
      <w:tr w:rsidR="001F2276" w:rsidRPr="00E92353" w14:paraId="2D8BFBF9" w14:textId="77777777" w:rsidTr="00F30F70">
        <w:trPr>
          <w:trHeight w:val="297"/>
        </w:trPr>
        <w:tc>
          <w:tcPr>
            <w:tcW w:w="1699" w:type="dxa"/>
            <w:shd w:val="clear" w:color="auto" w:fill="8EAADB" w:themeFill="accent1" w:themeFillTint="99"/>
            <w:hideMark/>
          </w:tcPr>
          <w:p w14:paraId="5F41BFE8"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786C13ED"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Yes</w:t>
            </w:r>
          </w:p>
        </w:tc>
        <w:tc>
          <w:tcPr>
            <w:tcW w:w="1940" w:type="dxa"/>
            <w:shd w:val="clear" w:color="auto" w:fill="D9E2F3" w:themeFill="accent1" w:themeFillTint="33"/>
            <w:hideMark/>
          </w:tcPr>
          <w:p w14:paraId="65455379"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5,213</w:t>
            </w:r>
          </w:p>
        </w:tc>
        <w:tc>
          <w:tcPr>
            <w:tcW w:w="1512" w:type="dxa"/>
            <w:shd w:val="clear" w:color="auto" w:fill="D9E2F3" w:themeFill="accent1" w:themeFillTint="33"/>
            <w:hideMark/>
          </w:tcPr>
          <w:p w14:paraId="2FA023D9"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16.34%</w:t>
            </w:r>
          </w:p>
        </w:tc>
      </w:tr>
      <w:tr w:rsidR="001F2276" w:rsidRPr="00E92353" w14:paraId="2A67841D" w14:textId="77777777" w:rsidTr="00F30F70">
        <w:trPr>
          <w:trHeight w:val="595"/>
        </w:trPr>
        <w:tc>
          <w:tcPr>
            <w:tcW w:w="1699" w:type="dxa"/>
            <w:shd w:val="clear" w:color="auto" w:fill="8EAADB" w:themeFill="accent1" w:themeFillTint="99"/>
            <w:hideMark/>
          </w:tcPr>
          <w:p w14:paraId="6E4E4583" w14:textId="77777777" w:rsidR="002C34E5" w:rsidRPr="00E92353" w:rsidRDefault="002C34E5" w:rsidP="002C34E5">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Alcohol use</w:t>
            </w:r>
          </w:p>
        </w:tc>
        <w:tc>
          <w:tcPr>
            <w:tcW w:w="4204" w:type="dxa"/>
            <w:shd w:val="clear" w:color="auto" w:fill="D9E2F3" w:themeFill="accent1" w:themeFillTint="33"/>
            <w:hideMark/>
          </w:tcPr>
          <w:p w14:paraId="4BCDAC6C"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No</w:t>
            </w:r>
          </w:p>
        </w:tc>
        <w:tc>
          <w:tcPr>
            <w:tcW w:w="1940" w:type="dxa"/>
            <w:shd w:val="clear" w:color="auto" w:fill="D9E2F3" w:themeFill="accent1" w:themeFillTint="33"/>
            <w:hideMark/>
          </w:tcPr>
          <w:p w14:paraId="2C5C9290"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26,475</w:t>
            </w:r>
          </w:p>
        </w:tc>
        <w:tc>
          <w:tcPr>
            <w:tcW w:w="1512" w:type="dxa"/>
            <w:shd w:val="clear" w:color="auto" w:fill="D9E2F3" w:themeFill="accent1" w:themeFillTint="33"/>
            <w:hideMark/>
          </w:tcPr>
          <w:p w14:paraId="766F644B"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82.99%</w:t>
            </w:r>
          </w:p>
        </w:tc>
      </w:tr>
      <w:tr w:rsidR="001F2276" w:rsidRPr="00E92353" w14:paraId="6CBE62A4" w14:textId="77777777" w:rsidTr="00F30F70">
        <w:trPr>
          <w:trHeight w:val="297"/>
        </w:trPr>
        <w:tc>
          <w:tcPr>
            <w:tcW w:w="1699" w:type="dxa"/>
            <w:shd w:val="clear" w:color="auto" w:fill="8EAADB" w:themeFill="accent1" w:themeFillTint="99"/>
            <w:hideMark/>
          </w:tcPr>
          <w:p w14:paraId="6044118B"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2E61E680"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Yes</w:t>
            </w:r>
          </w:p>
        </w:tc>
        <w:tc>
          <w:tcPr>
            <w:tcW w:w="1940" w:type="dxa"/>
            <w:shd w:val="clear" w:color="auto" w:fill="D9E2F3" w:themeFill="accent1" w:themeFillTint="33"/>
            <w:hideMark/>
          </w:tcPr>
          <w:p w14:paraId="7CD490A4"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5,427</w:t>
            </w:r>
          </w:p>
        </w:tc>
        <w:tc>
          <w:tcPr>
            <w:tcW w:w="1512" w:type="dxa"/>
            <w:shd w:val="clear" w:color="auto" w:fill="D9E2F3" w:themeFill="accent1" w:themeFillTint="33"/>
            <w:hideMark/>
          </w:tcPr>
          <w:p w14:paraId="01BDE31C"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17.01%</w:t>
            </w:r>
          </w:p>
        </w:tc>
      </w:tr>
      <w:tr w:rsidR="001F2276" w:rsidRPr="00E92353" w14:paraId="0C3B09A8" w14:textId="77777777" w:rsidTr="00F30F70">
        <w:trPr>
          <w:trHeight w:val="894"/>
        </w:trPr>
        <w:tc>
          <w:tcPr>
            <w:tcW w:w="1699" w:type="dxa"/>
            <w:shd w:val="clear" w:color="auto" w:fill="8EAADB" w:themeFill="accent1" w:themeFillTint="99"/>
            <w:hideMark/>
          </w:tcPr>
          <w:p w14:paraId="5EDB13A2" w14:textId="77777777" w:rsidR="002C34E5" w:rsidRPr="00E92353" w:rsidRDefault="002C34E5" w:rsidP="002C34E5">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BMI category</w:t>
            </w:r>
          </w:p>
        </w:tc>
        <w:tc>
          <w:tcPr>
            <w:tcW w:w="4204" w:type="dxa"/>
            <w:shd w:val="clear" w:color="auto" w:fill="D9E2F3" w:themeFill="accent1" w:themeFillTint="33"/>
            <w:hideMark/>
          </w:tcPr>
          <w:p w14:paraId="158D078B"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Underweight</w:t>
            </w:r>
          </w:p>
        </w:tc>
        <w:tc>
          <w:tcPr>
            <w:tcW w:w="1940" w:type="dxa"/>
            <w:shd w:val="clear" w:color="auto" w:fill="D9E2F3" w:themeFill="accent1" w:themeFillTint="33"/>
            <w:hideMark/>
          </w:tcPr>
          <w:p w14:paraId="5E67233B"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6,552</w:t>
            </w:r>
          </w:p>
        </w:tc>
        <w:tc>
          <w:tcPr>
            <w:tcW w:w="1512" w:type="dxa"/>
            <w:shd w:val="clear" w:color="auto" w:fill="D9E2F3" w:themeFill="accent1" w:themeFillTint="33"/>
            <w:hideMark/>
          </w:tcPr>
          <w:p w14:paraId="35BF7011"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20.54%</w:t>
            </w:r>
          </w:p>
        </w:tc>
      </w:tr>
      <w:tr w:rsidR="001F2276" w:rsidRPr="00E92353" w14:paraId="650C0717" w14:textId="77777777" w:rsidTr="00F30F70">
        <w:trPr>
          <w:trHeight w:val="297"/>
        </w:trPr>
        <w:tc>
          <w:tcPr>
            <w:tcW w:w="1699" w:type="dxa"/>
            <w:shd w:val="clear" w:color="auto" w:fill="8EAADB" w:themeFill="accent1" w:themeFillTint="99"/>
            <w:hideMark/>
          </w:tcPr>
          <w:p w14:paraId="4FEE1E77"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7D138A0D"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Normal</w:t>
            </w:r>
          </w:p>
        </w:tc>
        <w:tc>
          <w:tcPr>
            <w:tcW w:w="1940" w:type="dxa"/>
            <w:shd w:val="clear" w:color="auto" w:fill="D9E2F3" w:themeFill="accent1" w:themeFillTint="33"/>
            <w:hideMark/>
          </w:tcPr>
          <w:p w14:paraId="71A41838"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14,907</w:t>
            </w:r>
          </w:p>
        </w:tc>
        <w:tc>
          <w:tcPr>
            <w:tcW w:w="1512" w:type="dxa"/>
            <w:shd w:val="clear" w:color="auto" w:fill="D9E2F3" w:themeFill="accent1" w:themeFillTint="33"/>
            <w:hideMark/>
          </w:tcPr>
          <w:p w14:paraId="3F421428"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46.73%</w:t>
            </w:r>
          </w:p>
        </w:tc>
      </w:tr>
      <w:tr w:rsidR="001F2276" w:rsidRPr="00E92353" w14:paraId="6487C399" w14:textId="77777777" w:rsidTr="00F30F70">
        <w:trPr>
          <w:trHeight w:val="595"/>
        </w:trPr>
        <w:tc>
          <w:tcPr>
            <w:tcW w:w="1699" w:type="dxa"/>
            <w:shd w:val="clear" w:color="auto" w:fill="8EAADB" w:themeFill="accent1" w:themeFillTint="99"/>
            <w:hideMark/>
          </w:tcPr>
          <w:p w14:paraId="1978DEEA"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4D0C7D84"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Overweight</w:t>
            </w:r>
          </w:p>
        </w:tc>
        <w:tc>
          <w:tcPr>
            <w:tcW w:w="1940" w:type="dxa"/>
            <w:shd w:val="clear" w:color="auto" w:fill="D9E2F3" w:themeFill="accent1" w:themeFillTint="33"/>
            <w:hideMark/>
          </w:tcPr>
          <w:p w14:paraId="733807DE"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5,296</w:t>
            </w:r>
          </w:p>
        </w:tc>
        <w:tc>
          <w:tcPr>
            <w:tcW w:w="1512" w:type="dxa"/>
            <w:shd w:val="clear" w:color="auto" w:fill="D9E2F3" w:themeFill="accent1" w:themeFillTint="33"/>
            <w:hideMark/>
          </w:tcPr>
          <w:p w14:paraId="4792C476"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16.60%</w:t>
            </w:r>
          </w:p>
        </w:tc>
      </w:tr>
      <w:tr w:rsidR="001F2276" w:rsidRPr="00E92353" w14:paraId="5A609FF6" w14:textId="77777777" w:rsidTr="00F30F70">
        <w:trPr>
          <w:trHeight w:val="297"/>
        </w:trPr>
        <w:tc>
          <w:tcPr>
            <w:tcW w:w="1699" w:type="dxa"/>
            <w:shd w:val="clear" w:color="auto" w:fill="8EAADB" w:themeFill="accent1" w:themeFillTint="99"/>
            <w:hideMark/>
          </w:tcPr>
          <w:p w14:paraId="4767B187" w14:textId="77777777" w:rsidR="002C34E5" w:rsidRPr="00E92353" w:rsidRDefault="002C34E5" w:rsidP="002C34E5">
            <w:pPr>
              <w:spacing w:after="0" w:line="240" w:lineRule="auto"/>
              <w:rPr>
                <w:rFonts w:asciiTheme="majorBidi" w:eastAsia="Times New Roman" w:hAnsiTheme="majorBidi" w:cstheme="majorBidi"/>
                <w:i/>
                <w:iCs/>
                <w:color w:val="000000"/>
                <w:kern w:val="0"/>
                <w:lang w:val="en-US"/>
                <w14:ligatures w14:val="none"/>
              </w:rPr>
            </w:pPr>
            <w:r w:rsidRPr="00E92353">
              <w:rPr>
                <w:rFonts w:asciiTheme="majorBidi" w:eastAsia="Times New Roman" w:hAnsiTheme="majorBidi" w:cstheme="majorBidi"/>
                <w:i/>
                <w:iCs/>
                <w:color w:val="000000"/>
                <w:kern w:val="0"/>
                <w:lang w:val="en-US"/>
                <w14:ligatures w14:val="none"/>
              </w:rPr>
              <w:t> </w:t>
            </w:r>
          </w:p>
        </w:tc>
        <w:tc>
          <w:tcPr>
            <w:tcW w:w="4204" w:type="dxa"/>
            <w:shd w:val="clear" w:color="auto" w:fill="D9E2F3" w:themeFill="accent1" w:themeFillTint="33"/>
            <w:hideMark/>
          </w:tcPr>
          <w:p w14:paraId="701265ED" w14:textId="77777777" w:rsidR="002C34E5" w:rsidRPr="00E92353" w:rsidRDefault="002C34E5" w:rsidP="002C34E5">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Obese</w:t>
            </w:r>
          </w:p>
        </w:tc>
        <w:tc>
          <w:tcPr>
            <w:tcW w:w="1940" w:type="dxa"/>
            <w:shd w:val="clear" w:color="auto" w:fill="D9E2F3" w:themeFill="accent1" w:themeFillTint="33"/>
            <w:hideMark/>
          </w:tcPr>
          <w:p w14:paraId="0CDD25CB"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5,147</w:t>
            </w:r>
          </w:p>
        </w:tc>
        <w:tc>
          <w:tcPr>
            <w:tcW w:w="1512" w:type="dxa"/>
            <w:shd w:val="clear" w:color="auto" w:fill="D9E2F3" w:themeFill="accent1" w:themeFillTint="33"/>
            <w:hideMark/>
          </w:tcPr>
          <w:p w14:paraId="1AFF976B" w14:textId="77777777" w:rsidR="002C34E5" w:rsidRPr="00E92353" w:rsidRDefault="002C34E5" w:rsidP="002C34E5">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16.13%</w:t>
            </w:r>
          </w:p>
        </w:tc>
      </w:tr>
    </w:tbl>
    <w:p w14:paraId="014D3136" w14:textId="77777777" w:rsidR="008C41D0" w:rsidRPr="00E92353" w:rsidRDefault="008C41D0" w:rsidP="00DD6032">
      <w:pPr>
        <w:rPr>
          <w:rFonts w:asciiTheme="majorBidi" w:hAnsiTheme="majorBidi" w:cstheme="majorBidi"/>
          <w:lang w:val="en-US"/>
        </w:rPr>
      </w:pPr>
    </w:p>
    <w:p w14:paraId="2B728FF9" w14:textId="77777777" w:rsidR="008C41D0" w:rsidRPr="00E92353" w:rsidRDefault="008C41D0" w:rsidP="00DD6032">
      <w:pPr>
        <w:rPr>
          <w:rFonts w:asciiTheme="majorBidi" w:hAnsiTheme="majorBidi" w:cstheme="majorBidi"/>
          <w:lang w:val="en-US"/>
        </w:rPr>
      </w:pPr>
    </w:p>
    <w:p w14:paraId="43BB4C60" w14:textId="77777777" w:rsidR="00DB2800" w:rsidRPr="00E92353" w:rsidRDefault="00DB2800" w:rsidP="008C41D0">
      <w:pPr>
        <w:rPr>
          <w:rFonts w:asciiTheme="majorBidi" w:hAnsiTheme="majorBidi" w:cstheme="majorBidi"/>
          <w:b/>
          <w:bCs/>
        </w:rPr>
      </w:pPr>
    </w:p>
    <w:p w14:paraId="28D4CE02" w14:textId="77777777" w:rsidR="00DB2800" w:rsidRPr="00E92353" w:rsidRDefault="00DB2800" w:rsidP="008C41D0">
      <w:pPr>
        <w:rPr>
          <w:rFonts w:asciiTheme="majorBidi" w:hAnsiTheme="majorBidi" w:cstheme="majorBidi"/>
          <w:b/>
          <w:bCs/>
        </w:rPr>
      </w:pPr>
    </w:p>
    <w:p w14:paraId="3B3E2BF3" w14:textId="77777777" w:rsidR="00DB2800" w:rsidRPr="00E92353" w:rsidRDefault="00DB2800" w:rsidP="008C41D0">
      <w:pPr>
        <w:rPr>
          <w:rFonts w:asciiTheme="majorBidi" w:hAnsiTheme="majorBidi" w:cstheme="majorBidi"/>
          <w:b/>
          <w:bCs/>
        </w:rPr>
      </w:pPr>
    </w:p>
    <w:p w14:paraId="49C07187" w14:textId="77777777" w:rsidR="00DB2800" w:rsidRPr="00E92353" w:rsidRDefault="00DB2800" w:rsidP="008C41D0">
      <w:pPr>
        <w:rPr>
          <w:rFonts w:asciiTheme="majorBidi" w:hAnsiTheme="majorBidi" w:cstheme="majorBidi"/>
          <w:b/>
          <w:bCs/>
        </w:rPr>
      </w:pPr>
    </w:p>
    <w:p w14:paraId="2B2EFB93" w14:textId="77777777" w:rsidR="00DB2800" w:rsidRPr="00E92353" w:rsidRDefault="00DB2800" w:rsidP="008C41D0">
      <w:pPr>
        <w:rPr>
          <w:rFonts w:asciiTheme="majorBidi" w:hAnsiTheme="majorBidi" w:cstheme="majorBidi"/>
          <w:b/>
          <w:bCs/>
        </w:rPr>
      </w:pPr>
    </w:p>
    <w:p w14:paraId="7EA4FFD9" w14:textId="77777777" w:rsidR="00DB2800" w:rsidRPr="00E92353" w:rsidRDefault="00DB2800" w:rsidP="008C41D0">
      <w:pPr>
        <w:rPr>
          <w:rFonts w:asciiTheme="majorBidi" w:hAnsiTheme="majorBidi" w:cstheme="majorBidi"/>
          <w:b/>
          <w:bCs/>
        </w:rPr>
      </w:pPr>
    </w:p>
    <w:p w14:paraId="65E4EE14" w14:textId="447604DA" w:rsidR="008C41D0" w:rsidRPr="00E92353" w:rsidRDefault="00E822BE" w:rsidP="008C41D0">
      <w:pPr>
        <w:rPr>
          <w:rFonts w:asciiTheme="majorBidi" w:hAnsiTheme="majorBidi" w:cstheme="majorBidi"/>
          <w:b/>
          <w:bCs/>
        </w:rPr>
      </w:pPr>
      <w:r w:rsidRPr="00E92353">
        <w:rPr>
          <w:rFonts w:asciiTheme="majorBidi" w:hAnsiTheme="majorBidi" w:cstheme="majorBidi"/>
          <w:b/>
          <w:bCs/>
        </w:rPr>
        <w:lastRenderedPageBreak/>
        <w:t>Table 2. Distribution of preventive health check-up utilization among older adults (n = 31,902)</w:t>
      </w:r>
    </w:p>
    <w:p w14:paraId="3A8D44AD" w14:textId="77777777" w:rsidR="00E473B3" w:rsidRPr="00E92353" w:rsidRDefault="00E473B3" w:rsidP="008C41D0">
      <w:pPr>
        <w:rPr>
          <w:rFonts w:asciiTheme="majorBidi" w:hAnsiTheme="majorBidi" w:cstheme="majorBidi"/>
          <w:b/>
          <w:bCs/>
          <w:lang w:val="en-US"/>
        </w:rPr>
      </w:pPr>
    </w:p>
    <w:tbl>
      <w:tblPr>
        <w:tblW w:w="7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2628"/>
        <w:gridCol w:w="2234"/>
      </w:tblGrid>
      <w:tr w:rsidR="008C41D0" w:rsidRPr="00E92353" w14:paraId="30CD81E4" w14:textId="77777777" w:rsidTr="00E473B3">
        <w:trPr>
          <w:trHeight w:val="978"/>
        </w:trPr>
        <w:tc>
          <w:tcPr>
            <w:tcW w:w="2702" w:type="dxa"/>
            <w:shd w:val="clear" w:color="auto" w:fill="8EAADB" w:themeFill="accent1" w:themeFillTint="99"/>
            <w:hideMark/>
          </w:tcPr>
          <w:p w14:paraId="1CA0CFFA" w14:textId="77777777" w:rsidR="008C41D0" w:rsidRPr="00E92353" w:rsidRDefault="008C41D0" w:rsidP="008C41D0">
            <w:pPr>
              <w:rPr>
                <w:rFonts w:asciiTheme="majorBidi" w:hAnsiTheme="majorBidi" w:cstheme="majorBidi"/>
                <w:b/>
                <w:bCs/>
                <w:lang w:val="en-US"/>
              </w:rPr>
            </w:pPr>
            <w:r w:rsidRPr="00E92353">
              <w:rPr>
                <w:rFonts w:asciiTheme="majorBidi" w:hAnsiTheme="majorBidi" w:cstheme="majorBidi"/>
                <w:b/>
                <w:bCs/>
                <w:lang w:val="en-US"/>
              </w:rPr>
              <w:t>Preventive Check-up</w:t>
            </w:r>
          </w:p>
        </w:tc>
        <w:tc>
          <w:tcPr>
            <w:tcW w:w="2628" w:type="dxa"/>
            <w:shd w:val="clear" w:color="auto" w:fill="8EAADB" w:themeFill="accent1" w:themeFillTint="99"/>
            <w:hideMark/>
          </w:tcPr>
          <w:p w14:paraId="605779D8" w14:textId="77777777" w:rsidR="008C41D0" w:rsidRPr="00E92353" w:rsidRDefault="008C41D0" w:rsidP="008C41D0">
            <w:pPr>
              <w:rPr>
                <w:rFonts w:asciiTheme="majorBidi" w:hAnsiTheme="majorBidi" w:cstheme="majorBidi"/>
                <w:b/>
                <w:bCs/>
                <w:lang w:val="en-US"/>
              </w:rPr>
            </w:pPr>
            <w:r w:rsidRPr="00E92353">
              <w:rPr>
                <w:rFonts w:asciiTheme="majorBidi" w:hAnsiTheme="majorBidi" w:cstheme="majorBidi"/>
                <w:b/>
                <w:bCs/>
                <w:lang w:val="en-US"/>
              </w:rPr>
              <w:t>Frequency</w:t>
            </w:r>
          </w:p>
        </w:tc>
        <w:tc>
          <w:tcPr>
            <w:tcW w:w="2234" w:type="dxa"/>
            <w:shd w:val="clear" w:color="auto" w:fill="8EAADB" w:themeFill="accent1" w:themeFillTint="99"/>
            <w:hideMark/>
          </w:tcPr>
          <w:p w14:paraId="16EA2D03" w14:textId="77777777" w:rsidR="008C41D0" w:rsidRPr="00E92353" w:rsidRDefault="008C41D0" w:rsidP="008C41D0">
            <w:pPr>
              <w:rPr>
                <w:rFonts w:asciiTheme="majorBidi" w:hAnsiTheme="majorBidi" w:cstheme="majorBidi"/>
                <w:b/>
                <w:bCs/>
                <w:lang w:val="en-US"/>
              </w:rPr>
            </w:pPr>
            <w:r w:rsidRPr="00E92353">
              <w:rPr>
                <w:rFonts w:asciiTheme="majorBidi" w:hAnsiTheme="majorBidi" w:cstheme="majorBidi"/>
                <w:b/>
                <w:bCs/>
                <w:lang w:val="en-US"/>
              </w:rPr>
              <w:t>Percent</w:t>
            </w:r>
          </w:p>
        </w:tc>
      </w:tr>
      <w:tr w:rsidR="008C41D0" w:rsidRPr="00E92353" w14:paraId="4686DF84" w14:textId="77777777" w:rsidTr="00E473B3">
        <w:trPr>
          <w:trHeight w:val="326"/>
        </w:trPr>
        <w:tc>
          <w:tcPr>
            <w:tcW w:w="2702" w:type="dxa"/>
            <w:shd w:val="clear" w:color="auto" w:fill="8EAADB" w:themeFill="accent1" w:themeFillTint="99"/>
            <w:hideMark/>
          </w:tcPr>
          <w:p w14:paraId="56FCCB56" w14:textId="77777777" w:rsidR="008C41D0" w:rsidRPr="00E92353" w:rsidRDefault="008C41D0" w:rsidP="008C41D0">
            <w:pPr>
              <w:rPr>
                <w:rFonts w:asciiTheme="majorBidi" w:hAnsiTheme="majorBidi" w:cstheme="majorBidi"/>
                <w:lang w:val="en-US"/>
              </w:rPr>
            </w:pPr>
            <w:r w:rsidRPr="00E92353">
              <w:rPr>
                <w:rFonts w:asciiTheme="majorBidi" w:hAnsiTheme="majorBidi" w:cstheme="majorBidi"/>
                <w:lang w:val="en-US"/>
              </w:rPr>
              <w:t>No</w:t>
            </w:r>
          </w:p>
        </w:tc>
        <w:tc>
          <w:tcPr>
            <w:tcW w:w="2628" w:type="dxa"/>
            <w:shd w:val="clear" w:color="auto" w:fill="D9E2F3" w:themeFill="accent1" w:themeFillTint="33"/>
            <w:hideMark/>
          </w:tcPr>
          <w:p w14:paraId="3B119555" w14:textId="77777777" w:rsidR="008C41D0" w:rsidRPr="00E92353" w:rsidRDefault="008C41D0" w:rsidP="008C41D0">
            <w:pPr>
              <w:rPr>
                <w:rFonts w:asciiTheme="majorBidi" w:hAnsiTheme="majorBidi" w:cstheme="majorBidi"/>
                <w:lang w:val="en-US"/>
              </w:rPr>
            </w:pPr>
            <w:r w:rsidRPr="00E92353">
              <w:rPr>
                <w:rFonts w:asciiTheme="majorBidi" w:hAnsiTheme="majorBidi" w:cstheme="majorBidi"/>
                <w:lang w:val="en-US"/>
              </w:rPr>
              <w:t>28,875</w:t>
            </w:r>
          </w:p>
        </w:tc>
        <w:tc>
          <w:tcPr>
            <w:tcW w:w="2234" w:type="dxa"/>
            <w:shd w:val="clear" w:color="auto" w:fill="D9E2F3" w:themeFill="accent1" w:themeFillTint="33"/>
            <w:hideMark/>
          </w:tcPr>
          <w:p w14:paraId="2C9AB7B8" w14:textId="77777777" w:rsidR="008C41D0" w:rsidRPr="00E92353" w:rsidRDefault="008C41D0" w:rsidP="008C41D0">
            <w:pPr>
              <w:rPr>
                <w:rFonts w:asciiTheme="majorBidi" w:hAnsiTheme="majorBidi" w:cstheme="majorBidi"/>
                <w:lang w:val="en-US"/>
              </w:rPr>
            </w:pPr>
            <w:r w:rsidRPr="00E92353">
              <w:rPr>
                <w:rFonts w:asciiTheme="majorBidi" w:hAnsiTheme="majorBidi" w:cstheme="majorBidi"/>
                <w:lang w:val="en-US"/>
              </w:rPr>
              <w:t>90.51%</w:t>
            </w:r>
          </w:p>
        </w:tc>
      </w:tr>
      <w:tr w:rsidR="008C41D0" w:rsidRPr="00E92353" w14:paraId="5E932A59" w14:textId="77777777" w:rsidTr="00E473B3">
        <w:trPr>
          <w:trHeight w:val="326"/>
        </w:trPr>
        <w:tc>
          <w:tcPr>
            <w:tcW w:w="2702" w:type="dxa"/>
            <w:shd w:val="clear" w:color="auto" w:fill="8EAADB" w:themeFill="accent1" w:themeFillTint="99"/>
            <w:hideMark/>
          </w:tcPr>
          <w:p w14:paraId="3F39A458" w14:textId="77777777" w:rsidR="008C41D0" w:rsidRPr="00E92353" w:rsidRDefault="008C41D0" w:rsidP="008C41D0">
            <w:pPr>
              <w:rPr>
                <w:rFonts w:asciiTheme="majorBidi" w:hAnsiTheme="majorBidi" w:cstheme="majorBidi"/>
                <w:lang w:val="en-US"/>
              </w:rPr>
            </w:pPr>
            <w:r w:rsidRPr="00E92353">
              <w:rPr>
                <w:rFonts w:asciiTheme="majorBidi" w:hAnsiTheme="majorBidi" w:cstheme="majorBidi"/>
                <w:lang w:val="en-US"/>
              </w:rPr>
              <w:t>Yes</w:t>
            </w:r>
          </w:p>
        </w:tc>
        <w:tc>
          <w:tcPr>
            <w:tcW w:w="2628" w:type="dxa"/>
            <w:shd w:val="clear" w:color="auto" w:fill="D9E2F3" w:themeFill="accent1" w:themeFillTint="33"/>
            <w:hideMark/>
          </w:tcPr>
          <w:p w14:paraId="21629232" w14:textId="77777777" w:rsidR="008C41D0" w:rsidRPr="00E92353" w:rsidRDefault="008C41D0" w:rsidP="008C41D0">
            <w:pPr>
              <w:rPr>
                <w:rFonts w:asciiTheme="majorBidi" w:hAnsiTheme="majorBidi" w:cstheme="majorBidi"/>
                <w:lang w:val="en-US"/>
              </w:rPr>
            </w:pPr>
            <w:r w:rsidRPr="00E92353">
              <w:rPr>
                <w:rFonts w:asciiTheme="majorBidi" w:hAnsiTheme="majorBidi" w:cstheme="majorBidi"/>
                <w:lang w:val="en-US"/>
              </w:rPr>
              <w:t>3,027</w:t>
            </w:r>
          </w:p>
        </w:tc>
        <w:tc>
          <w:tcPr>
            <w:tcW w:w="2234" w:type="dxa"/>
            <w:shd w:val="clear" w:color="auto" w:fill="D9E2F3" w:themeFill="accent1" w:themeFillTint="33"/>
            <w:hideMark/>
          </w:tcPr>
          <w:p w14:paraId="5D8F53EA" w14:textId="77777777" w:rsidR="008C41D0" w:rsidRPr="00E92353" w:rsidRDefault="008C41D0" w:rsidP="008C41D0">
            <w:pPr>
              <w:rPr>
                <w:rFonts w:asciiTheme="majorBidi" w:hAnsiTheme="majorBidi" w:cstheme="majorBidi"/>
                <w:lang w:val="en-US"/>
              </w:rPr>
            </w:pPr>
            <w:r w:rsidRPr="00E92353">
              <w:rPr>
                <w:rFonts w:asciiTheme="majorBidi" w:hAnsiTheme="majorBidi" w:cstheme="majorBidi"/>
                <w:lang w:val="en-US"/>
              </w:rPr>
              <w:t>9.49%</w:t>
            </w:r>
          </w:p>
        </w:tc>
      </w:tr>
      <w:tr w:rsidR="008C41D0" w:rsidRPr="00E92353" w14:paraId="79A74984" w14:textId="77777777" w:rsidTr="00E473B3">
        <w:trPr>
          <w:trHeight w:val="326"/>
        </w:trPr>
        <w:tc>
          <w:tcPr>
            <w:tcW w:w="2702" w:type="dxa"/>
            <w:shd w:val="clear" w:color="auto" w:fill="8EAADB" w:themeFill="accent1" w:themeFillTint="99"/>
            <w:hideMark/>
          </w:tcPr>
          <w:p w14:paraId="4ECC7937" w14:textId="77777777" w:rsidR="008C41D0" w:rsidRPr="00E92353" w:rsidRDefault="008C41D0" w:rsidP="008C41D0">
            <w:pPr>
              <w:rPr>
                <w:rFonts w:asciiTheme="majorBidi" w:hAnsiTheme="majorBidi" w:cstheme="majorBidi"/>
                <w:lang w:val="en-US"/>
              </w:rPr>
            </w:pPr>
            <w:r w:rsidRPr="00E92353">
              <w:rPr>
                <w:rFonts w:asciiTheme="majorBidi" w:hAnsiTheme="majorBidi" w:cstheme="majorBidi"/>
                <w:lang w:val="en-US"/>
              </w:rPr>
              <w:t>Total</w:t>
            </w:r>
          </w:p>
        </w:tc>
        <w:tc>
          <w:tcPr>
            <w:tcW w:w="2628" w:type="dxa"/>
            <w:shd w:val="clear" w:color="auto" w:fill="D9E2F3" w:themeFill="accent1" w:themeFillTint="33"/>
            <w:hideMark/>
          </w:tcPr>
          <w:p w14:paraId="15530781" w14:textId="77777777" w:rsidR="008C41D0" w:rsidRPr="00E92353" w:rsidRDefault="008C41D0" w:rsidP="008C41D0">
            <w:pPr>
              <w:rPr>
                <w:rFonts w:asciiTheme="majorBidi" w:hAnsiTheme="majorBidi" w:cstheme="majorBidi"/>
                <w:lang w:val="en-US"/>
              </w:rPr>
            </w:pPr>
            <w:r w:rsidRPr="00E92353">
              <w:rPr>
                <w:rFonts w:asciiTheme="majorBidi" w:hAnsiTheme="majorBidi" w:cstheme="majorBidi"/>
                <w:lang w:val="en-US"/>
              </w:rPr>
              <w:t>31,902</w:t>
            </w:r>
          </w:p>
        </w:tc>
        <w:tc>
          <w:tcPr>
            <w:tcW w:w="2234" w:type="dxa"/>
            <w:shd w:val="clear" w:color="auto" w:fill="D9E2F3" w:themeFill="accent1" w:themeFillTint="33"/>
            <w:hideMark/>
          </w:tcPr>
          <w:p w14:paraId="2D538F25" w14:textId="77777777" w:rsidR="008C41D0" w:rsidRPr="00E92353" w:rsidRDefault="008C41D0" w:rsidP="008C41D0">
            <w:pPr>
              <w:rPr>
                <w:rFonts w:asciiTheme="majorBidi" w:hAnsiTheme="majorBidi" w:cstheme="majorBidi"/>
                <w:lang w:val="en-US"/>
              </w:rPr>
            </w:pPr>
            <w:r w:rsidRPr="00E92353">
              <w:rPr>
                <w:rFonts w:asciiTheme="majorBidi" w:hAnsiTheme="majorBidi" w:cstheme="majorBidi"/>
                <w:lang w:val="en-US"/>
              </w:rPr>
              <w:t>100.00%</w:t>
            </w:r>
          </w:p>
        </w:tc>
      </w:tr>
    </w:tbl>
    <w:p w14:paraId="2A1DEA4C" w14:textId="77777777" w:rsidR="008C41D0" w:rsidRPr="00E92353" w:rsidRDefault="008C41D0" w:rsidP="00DD6032">
      <w:pPr>
        <w:rPr>
          <w:rFonts w:asciiTheme="majorBidi" w:hAnsiTheme="majorBidi" w:cstheme="majorBidi"/>
          <w:lang w:val="en-US"/>
        </w:rPr>
      </w:pPr>
    </w:p>
    <w:p w14:paraId="7D0CF0ED" w14:textId="77777777" w:rsidR="008C41D0" w:rsidRPr="00E92353" w:rsidRDefault="008C41D0" w:rsidP="008C41D0">
      <w:pPr>
        <w:rPr>
          <w:rFonts w:asciiTheme="majorBidi" w:hAnsiTheme="majorBidi" w:cstheme="majorBidi"/>
          <w:b/>
          <w:bCs/>
          <w:lang w:val="en-US"/>
        </w:rPr>
      </w:pPr>
    </w:p>
    <w:p w14:paraId="7AC889CE" w14:textId="77777777" w:rsidR="008C41D0" w:rsidRPr="00E92353" w:rsidRDefault="008C41D0" w:rsidP="008C41D0">
      <w:pPr>
        <w:rPr>
          <w:rFonts w:asciiTheme="majorBidi" w:hAnsiTheme="majorBidi" w:cstheme="majorBidi"/>
          <w:b/>
          <w:bCs/>
          <w:lang w:val="en-US"/>
        </w:rPr>
      </w:pPr>
    </w:p>
    <w:p w14:paraId="26A4AFC2" w14:textId="0C80EF38" w:rsidR="007132C8" w:rsidRPr="00E92353" w:rsidRDefault="00E822BE" w:rsidP="00DD6032">
      <w:pPr>
        <w:rPr>
          <w:rFonts w:asciiTheme="majorBidi" w:hAnsiTheme="majorBidi" w:cstheme="majorBidi"/>
          <w:b/>
          <w:bCs/>
        </w:rPr>
      </w:pPr>
      <w:r w:rsidRPr="00E92353">
        <w:rPr>
          <w:rFonts w:asciiTheme="majorBidi" w:hAnsiTheme="majorBidi" w:cstheme="majorBidi"/>
          <w:b/>
          <w:bCs/>
        </w:rPr>
        <w:t>Table 3. Distribution of preventive health check-up utilization by nutritional status (BMI category) among older adults (n = 31,902)</w:t>
      </w:r>
    </w:p>
    <w:p w14:paraId="70FD9EE8" w14:textId="77777777" w:rsidR="00F30F70" w:rsidRPr="00E92353" w:rsidRDefault="00F30F70" w:rsidP="00DD6032">
      <w:pPr>
        <w:rPr>
          <w:rFonts w:asciiTheme="majorBidi" w:hAnsiTheme="majorBidi" w:cstheme="majorBidi"/>
          <w:lang w:val="en-US"/>
        </w:rPr>
      </w:pPr>
    </w:p>
    <w:tbl>
      <w:tblPr>
        <w:tblW w:w="8870" w:type="dxa"/>
        <w:tblLook w:val="04A0" w:firstRow="1" w:lastRow="0" w:firstColumn="1" w:lastColumn="0" w:noHBand="0" w:noVBand="1"/>
      </w:tblPr>
      <w:tblGrid>
        <w:gridCol w:w="2092"/>
        <w:gridCol w:w="1983"/>
        <w:gridCol w:w="1181"/>
        <w:gridCol w:w="1182"/>
        <w:gridCol w:w="1228"/>
        <w:gridCol w:w="1204"/>
      </w:tblGrid>
      <w:tr w:rsidR="00E30364" w:rsidRPr="00E92353" w14:paraId="56D9F021" w14:textId="77777777" w:rsidTr="00E30364">
        <w:trPr>
          <w:trHeight w:val="959"/>
        </w:trPr>
        <w:tc>
          <w:tcPr>
            <w:tcW w:w="2092" w:type="dxa"/>
            <w:tcBorders>
              <w:top w:val="single" w:sz="4" w:space="0" w:color="auto"/>
              <w:left w:val="single" w:sz="4" w:space="0" w:color="auto"/>
              <w:bottom w:val="nil"/>
              <w:right w:val="single" w:sz="4" w:space="0" w:color="auto"/>
            </w:tcBorders>
            <w:shd w:val="clear" w:color="auto" w:fill="8EAADB" w:themeFill="accent1" w:themeFillTint="99"/>
            <w:vAlign w:val="center"/>
            <w:hideMark/>
          </w:tcPr>
          <w:p w14:paraId="43916A54" w14:textId="77777777" w:rsidR="00F10828" w:rsidRPr="00E92353" w:rsidRDefault="00F10828" w:rsidP="00F10828">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Variable</w:t>
            </w:r>
          </w:p>
        </w:tc>
        <w:tc>
          <w:tcPr>
            <w:tcW w:w="1983" w:type="dxa"/>
            <w:tcBorders>
              <w:top w:val="single" w:sz="4" w:space="0" w:color="auto"/>
              <w:left w:val="single" w:sz="4" w:space="0" w:color="auto"/>
              <w:bottom w:val="nil"/>
              <w:right w:val="single" w:sz="4" w:space="0" w:color="auto"/>
            </w:tcBorders>
            <w:shd w:val="clear" w:color="auto" w:fill="8EAADB" w:themeFill="accent1" w:themeFillTint="99"/>
            <w:vAlign w:val="center"/>
            <w:hideMark/>
          </w:tcPr>
          <w:p w14:paraId="3CA8E8D7" w14:textId="77777777" w:rsidR="00F10828" w:rsidRPr="00E92353" w:rsidRDefault="00F10828" w:rsidP="00F10828">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Categories</w:t>
            </w:r>
          </w:p>
        </w:tc>
        <w:tc>
          <w:tcPr>
            <w:tcW w:w="2363" w:type="dxa"/>
            <w:gridSpan w:val="2"/>
            <w:tcBorders>
              <w:top w:val="single" w:sz="4" w:space="0" w:color="auto"/>
              <w:left w:val="single" w:sz="4" w:space="0" w:color="auto"/>
              <w:bottom w:val="nil"/>
              <w:right w:val="single" w:sz="4" w:space="0" w:color="auto"/>
            </w:tcBorders>
            <w:shd w:val="clear" w:color="auto" w:fill="8EAADB" w:themeFill="accent1" w:themeFillTint="99"/>
            <w:vAlign w:val="center"/>
            <w:hideMark/>
          </w:tcPr>
          <w:p w14:paraId="36F94F28" w14:textId="10617125" w:rsidR="00F10828" w:rsidRPr="00E92353" w:rsidRDefault="00E30364" w:rsidP="00F10828">
            <w:pPr>
              <w:spacing w:after="0" w:line="240" w:lineRule="auto"/>
              <w:jc w:val="center"/>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Preventive health check-up (%)</w:t>
            </w:r>
          </w:p>
        </w:tc>
        <w:tc>
          <w:tcPr>
            <w:tcW w:w="1228" w:type="dxa"/>
            <w:tcBorders>
              <w:top w:val="single" w:sz="4" w:space="0" w:color="auto"/>
              <w:left w:val="single" w:sz="4" w:space="0" w:color="auto"/>
              <w:bottom w:val="nil"/>
              <w:right w:val="single" w:sz="4" w:space="0" w:color="auto"/>
            </w:tcBorders>
            <w:shd w:val="clear" w:color="auto" w:fill="8EAADB" w:themeFill="accent1" w:themeFillTint="99"/>
            <w:vAlign w:val="center"/>
            <w:hideMark/>
          </w:tcPr>
          <w:p w14:paraId="155E7D36" w14:textId="77777777" w:rsidR="00F10828" w:rsidRPr="00E92353" w:rsidRDefault="00F10828" w:rsidP="00F10828">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Chi-square</w:t>
            </w:r>
          </w:p>
        </w:tc>
        <w:tc>
          <w:tcPr>
            <w:tcW w:w="1204" w:type="dxa"/>
            <w:tcBorders>
              <w:top w:val="single" w:sz="4" w:space="0" w:color="auto"/>
              <w:left w:val="single" w:sz="4" w:space="0" w:color="auto"/>
              <w:bottom w:val="nil"/>
              <w:right w:val="single" w:sz="4" w:space="0" w:color="auto"/>
            </w:tcBorders>
            <w:shd w:val="clear" w:color="auto" w:fill="8EAADB" w:themeFill="accent1" w:themeFillTint="99"/>
            <w:vAlign w:val="center"/>
            <w:hideMark/>
          </w:tcPr>
          <w:p w14:paraId="64F645A0" w14:textId="77777777" w:rsidR="00F10828" w:rsidRPr="00E92353" w:rsidRDefault="00F10828" w:rsidP="00F10828">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p-value</w:t>
            </w:r>
          </w:p>
        </w:tc>
      </w:tr>
      <w:tr w:rsidR="00F10828" w:rsidRPr="00E92353" w14:paraId="54E26C59" w14:textId="77777777" w:rsidTr="00E30364">
        <w:trPr>
          <w:trHeight w:val="291"/>
        </w:trPr>
        <w:tc>
          <w:tcPr>
            <w:tcW w:w="2092"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01DDF623" w14:textId="77777777" w:rsidR="00F10828" w:rsidRPr="00E92353" w:rsidRDefault="00F10828" w:rsidP="00F10828">
            <w:pPr>
              <w:spacing w:after="0" w:line="240" w:lineRule="auto"/>
              <w:rPr>
                <w:rFonts w:asciiTheme="majorBidi" w:eastAsia="Times New Roman" w:hAnsiTheme="majorBidi" w:cstheme="majorBidi"/>
                <w:b/>
                <w:bCs/>
                <w:color w:val="000000"/>
                <w:kern w:val="0"/>
                <w:lang w:val="en-US"/>
                <w14:ligatures w14:val="none"/>
              </w:rPr>
            </w:pPr>
          </w:p>
        </w:tc>
        <w:tc>
          <w:tcPr>
            <w:tcW w:w="1983"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3B384F84" w14:textId="77777777" w:rsidR="00F10828" w:rsidRPr="00E92353" w:rsidRDefault="00F10828" w:rsidP="00F10828">
            <w:pPr>
              <w:spacing w:after="0" w:line="240" w:lineRule="auto"/>
              <w:rPr>
                <w:rFonts w:asciiTheme="majorBidi" w:eastAsia="Times New Roman" w:hAnsiTheme="majorBidi" w:cstheme="majorBidi"/>
                <w:kern w:val="0"/>
                <w:sz w:val="20"/>
                <w:szCs w:val="20"/>
                <w:lang w:val="en-US"/>
                <w14:ligatures w14:val="none"/>
              </w:rPr>
            </w:pPr>
          </w:p>
        </w:tc>
        <w:tc>
          <w:tcPr>
            <w:tcW w:w="1181"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14:paraId="7A4F5AA3" w14:textId="77777777" w:rsidR="00F10828" w:rsidRPr="00E92353" w:rsidRDefault="00F10828" w:rsidP="00F10828">
            <w:pPr>
              <w:spacing w:after="0" w:line="240" w:lineRule="auto"/>
              <w:rPr>
                <w:rFonts w:asciiTheme="majorBidi" w:eastAsia="Times New Roman" w:hAnsiTheme="majorBidi" w:cstheme="majorBidi"/>
                <w:b/>
                <w:bCs/>
                <w:color w:val="000000"/>
                <w:kern w:val="0"/>
                <w:sz w:val="22"/>
                <w:szCs w:val="22"/>
                <w:lang w:val="en-US"/>
                <w14:ligatures w14:val="none"/>
              </w:rPr>
            </w:pPr>
            <w:r w:rsidRPr="00E92353">
              <w:rPr>
                <w:rFonts w:asciiTheme="majorBidi" w:eastAsia="Times New Roman" w:hAnsiTheme="majorBidi" w:cstheme="majorBidi"/>
                <w:b/>
                <w:bCs/>
                <w:color w:val="000000"/>
                <w:kern w:val="0"/>
                <w:sz w:val="22"/>
                <w:szCs w:val="22"/>
                <w:lang w:val="en-US"/>
                <w14:ligatures w14:val="none"/>
              </w:rPr>
              <w:t>Yes</w:t>
            </w:r>
          </w:p>
        </w:tc>
        <w:tc>
          <w:tcPr>
            <w:tcW w:w="1181"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14:paraId="51550E55" w14:textId="77777777" w:rsidR="00F10828" w:rsidRPr="00E92353" w:rsidRDefault="00F10828" w:rsidP="00F10828">
            <w:pPr>
              <w:spacing w:after="0" w:line="240" w:lineRule="auto"/>
              <w:rPr>
                <w:rFonts w:asciiTheme="majorBidi" w:eastAsia="Times New Roman" w:hAnsiTheme="majorBidi" w:cstheme="majorBidi"/>
                <w:b/>
                <w:bCs/>
                <w:color w:val="000000"/>
                <w:kern w:val="0"/>
                <w:sz w:val="22"/>
                <w:szCs w:val="22"/>
                <w:lang w:val="en-US"/>
                <w14:ligatures w14:val="none"/>
              </w:rPr>
            </w:pPr>
            <w:r w:rsidRPr="00E92353">
              <w:rPr>
                <w:rFonts w:asciiTheme="majorBidi" w:eastAsia="Times New Roman" w:hAnsiTheme="majorBidi" w:cstheme="majorBidi"/>
                <w:b/>
                <w:bCs/>
                <w:color w:val="000000"/>
                <w:kern w:val="0"/>
                <w:sz w:val="22"/>
                <w:szCs w:val="22"/>
                <w:lang w:val="en-US"/>
                <w14:ligatures w14:val="none"/>
              </w:rPr>
              <w:t>No</w:t>
            </w:r>
          </w:p>
        </w:tc>
        <w:tc>
          <w:tcPr>
            <w:tcW w:w="1228"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4713BB1B" w14:textId="77777777" w:rsidR="00F10828" w:rsidRPr="00E92353" w:rsidRDefault="00F10828" w:rsidP="00F10828">
            <w:pPr>
              <w:spacing w:after="0" w:line="240" w:lineRule="auto"/>
              <w:rPr>
                <w:rFonts w:asciiTheme="majorBidi" w:eastAsia="Times New Roman" w:hAnsiTheme="majorBidi" w:cstheme="majorBidi"/>
                <w:color w:val="000000"/>
                <w:kern w:val="0"/>
                <w:sz w:val="22"/>
                <w:szCs w:val="22"/>
                <w:lang w:val="en-US"/>
                <w14:ligatures w14:val="none"/>
              </w:rPr>
            </w:pPr>
          </w:p>
        </w:tc>
        <w:tc>
          <w:tcPr>
            <w:tcW w:w="1204"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5AFDC7AF" w14:textId="77777777" w:rsidR="00F10828" w:rsidRPr="00E92353" w:rsidRDefault="00F10828" w:rsidP="00F10828">
            <w:pPr>
              <w:spacing w:after="0" w:line="240" w:lineRule="auto"/>
              <w:rPr>
                <w:rFonts w:asciiTheme="majorBidi" w:eastAsia="Times New Roman" w:hAnsiTheme="majorBidi" w:cstheme="majorBidi"/>
                <w:kern w:val="0"/>
                <w:sz w:val="20"/>
                <w:szCs w:val="20"/>
                <w:lang w:val="en-US"/>
                <w14:ligatures w14:val="none"/>
              </w:rPr>
            </w:pPr>
          </w:p>
        </w:tc>
      </w:tr>
      <w:tr w:rsidR="00E30364" w:rsidRPr="00E92353" w14:paraId="640845CC" w14:textId="77777777" w:rsidTr="00E30364">
        <w:trPr>
          <w:trHeight w:val="959"/>
        </w:trPr>
        <w:tc>
          <w:tcPr>
            <w:tcW w:w="2092" w:type="dxa"/>
            <w:tcBorders>
              <w:top w:val="single" w:sz="4" w:space="0" w:color="auto"/>
              <w:left w:val="single" w:sz="4" w:space="0" w:color="auto"/>
              <w:bottom w:val="single" w:sz="8" w:space="0" w:color="FFFFFF"/>
              <w:right w:val="single" w:sz="4" w:space="0" w:color="auto"/>
            </w:tcBorders>
            <w:shd w:val="clear" w:color="auto" w:fill="8EAADB" w:themeFill="accent1" w:themeFillTint="99"/>
            <w:hideMark/>
          </w:tcPr>
          <w:p w14:paraId="0D638221" w14:textId="7A2D055A" w:rsidR="00F10828" w:rsidRPr="00E92353" w:rsidRDefault="00F10828" w:rsidP="00E30364">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Malnutrition</w:t>
            </w:r>
          </w:p>
        </w:tc>
        <w:tc>
          <w:tcPr>
            <w:tcW w:w="198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D83DFC4" w14:textId="77777777" w:rsidR="00F10828" w:rsidRPr="00E92353" w:rsidRDefault="00F10828" w:rsidP="00F10828">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Not Underweight</w:t>
            </w:r>
          </w:p>
        </w:tc>
        <w:tc>
          <w:tcPr>
            <w:tcW w:w="118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072C2964" w14:textId="77777777" w:rsidR="00F10828" w:rsidRPr="00E92353" w:rsidRDefault="00F10828" w:rsidP="00F10828">
            <w:pPr>
              <w:spacing w:after="0" w:line="240" w:lineRule="auto"/>
              <w:jc w:val="right"/>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82.76%</w:t>
            </w:r>
          </w:p>
        </w:tc>
        <w:tc>
          <w:tcPr>
            <w:tcW w:w="118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443C83DF" w14:textId="77777777" w:rsidR="00F10828" w:rsidRPr="00E92353" w:rsidRDefault="00F10828" w:rsidP="00F10828">
            <w:pPr>
              <w:spacing w:after="0" w:line="240" w:lineRule="auto"/>
              <w:jc w:val="right"/>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79.12%</w:t>
            </w:r>
          </w:p>
        </w:tc>
        <w:tc>
          <w:tcPr>
            <w:tcW w:w="122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9BD1BC" w14:textId="77777777" w:rsidR="00F10828" w:rsidRPr="00E92353" w:rsidRDefault="00F10828" w:rsidP="00F10828">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22.22</w:t>
            </w:r>
          </w:p>
        </w:tc>
        <w:tc>
          <w:tcPr>
            <w:tcW w:w="120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4C9FD53" w14:textId="77777777" w:rsidR="00F10828" w:rsidRPr="00E92353" w:rsidRDefault="00F10828" w:rsidP="00F10828">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&lt;0.001</w:t>
            </w:r>
          </w:p>
        </w:tc>
      </w:tr>
      <w:tr w:rsidR="00E30364" w:rsidRPr="00E92353" w14:paraId="5BB749F0" w14:textId="77777777" w:rsidTr="00E30364">
        <w:trPr>
          <w:trHeight w:val="643"/>
        </w:trPr>
        <w:tc>
          <w:tcPr>
            <w:tcW w:w="2092" w:type="dxa"/>
            <w:tcBorders>
              <w:top w:val="nil"/>
              <w:left w:val="single" w:sz="4" w:space="0" w:color="auto"/>
              <w:bottom w:val="single" w:sz="4" w:space="0" w:color="auto"/>
              <w:right w:val="single" w:sz="4" w:space="0" w:color="auto"/>
            </w:tcBorders>
            <w:shd w:val="clear" w:color="auto" w:fill="8EAADB" w:themeFill="accent1" w:themeFillTint="99"/>
            <w:hideMark/>
          </w:tcPr>
          <w:p w14:paraId="2C6A8B7C" w14:textId="77777777" w:rsidR="00F10828" w:rsidRPr="00E92353" w:rsidRDefault="00F10828" w:rsidP="00F10828">
            <w:pPr>
              <w:spacing w:after="0" w:line="240" w:lineRule="auto"/>
              <w:rPr>
                <w:rFonts w:asciiTheme="majorBidi" w:eastAsia="Times New Roman" w:hAnsiTheme="majorBidi" w:cstheme="majorBidi"/>
                <w:b/>
                <w:bCs/>
                <w:i/>
                <w:iCs/>
                <w:color w:val="000000"/>
                <w:kern w:val="0"/>
                <w:lang w:val="en-US"/>
                <w14:ligatures w14:val="none"/>
              </w:rPr>
            </w:pPr>
            <w:r w:rsidRPr="00E92353">
              <w:rPr>
                <w:rFonts w:asciiTheme="majorBidi" w:eastAsia="Times New Roman" w:hAnsiTheme="majorBidi" w:cstheme="majorBidi"/>
                <w:b/>
                <w:bCs/>
                <w:i/>
                <w:iCs/>
                <w:color w:val="000000"/>
                <w:kern w:val="0"/>
                <w:lang w:val="en-US"/>
                <w14:ligatures w14:val="none"/>
              </w:rPr>
              <w:t> </w:t>
            </w:r>
          </w:p>
        </w:tc>
        <w:tc>
          <w:tcPr>
            <w:tcW w:w="198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E75EEDD" w14:textId="77777777" w:rsidR="00F10828" w:rsidRPr="00E92353" w:rsidRDefault="00F10828" w:rsidP="00F10828">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Underweight</w:t>
            </w:r>
          </w:p>
        </w:tc>
        <w:tc>
          <w:tcPr>
            <w:tcW w:w="118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5D594D74" w14:textId="77777777" w:rsidR="00F10828" w:rsidRPr="00E92353" w:rsidRDefault="00F10828" w:rsidP="00F10828">
            <w:pPr>
              <w:spacing w:after="0" w:line="240" w:lineRule="auto"/>
              <w:jc w:val="right"/>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17.24%</w:t>
            </w:r>
          </w:p>
        </w:tc>
        <w:tc>
          <w:tcPr>
            <w:tcW w:w="118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45FD4BAF" w14:textId="77777777" w:rsidR="00F10828" w:rsidRPr="00E92353" w:rsidRDefault="00F10828" w:rsidP="00F10828">
            <w:pPr>
              <w:spacing w:after="0" w:line="240" w:lineRule="auto"/>
              <w:jc w:val="right"/>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20.88%</w:t>
            </w:r>
          </w:p>
        </w:tc>
        <w:tc>
          <w:tcPr>
            <w:tcW w:w="122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4D4BAC" w14:textId="77777777" w:rsidR="00F10828" w:rsidRPr="00E92353" w:rsidRDefault="00F10828" w:rsidP="00F10828">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 </w:t>
            </w:r>
          </w:p>
        </w:tc>
        <w:tc>
          <w:tcPr>
            <w:tcW w:w="120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D5CC9D2" w14:textId="77777777" w:rsidR="00F10828" w:rsidRPr="00E92353" w:rsidRDefault="00F10828" w:rsidP="00F10828">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 </w:t>
            </w:r>
          </w:p>
        </w:tc>
      </w:tr>
      <w:tr w:rsidR="00E30364" w:rsidRPr="00E92353" w14:paraId="20DD098A" w14:textId="77777777" w:rsidTr="00E30364">
        <w:trPr>
          <w:trHeight w:val="643"/>
        </w:trPr>
        <w:tc>
          <w:tcPr>
            <w:tcW w:w="2092" w:type="dxa"/>
            <w:tcBorders>
              <w:top w:val="single" w:sz="4" w:space="0" w:color="auto"/>
              <w:left w:val="single" w:sz="4" w:space="0" w:color="auto"/>
              <w:bottom w:val="single" w:sz="8" w:space="0" w:color="FFFFFF"/>
              <w:right w:val="single" w:sz="4" w:space="0" w:color="auto"/>
            </w:tcBorders>
            <w:shd w:val="clear" w:color="auto" w:fill="8EAADB" w:themeFill="accent1" w:themeFillTint="99"/>
            <w:hideMark/>
          </w:tcPr>
          <w:p w14:paraId="219C756C" w14:textId="77777777" w:rsidR="00F10828" w:rsidRPr="00E92353" w:rsidRDefault="00F10828" w:rsidP="00F10828">
            <w:pPr>
              <w:spacing w:after="0" w:line="240" w:lineRule="auto"/>
              <w:rPr>
                <w:rFonts w:asciiTheme="majorBidi" w:eastAsia="Times New Roman" w:hAnsiTheme="majorBidi" w:cstheme="majorBidi"/>
                <w:b/>
                <w:bCs/>
                <w:color w:val="000000"/>
                <w:kern w:val="0"/>
                <w:lang w:val="en-US"/>
                <w14:ligatures w14:val="none"/>
              </w:rPr>
            </w:pPr>
            <w:r w:rsidRPr="00E92353">
              <w:rPr>
                <w:rFonts w:asciiTheme="majorBidi" w:eastAsia="Times New Roman" w:hAnsiTheme="majorBidi" w:cstheme="majorBidi"/>
                <w:b/>
                <w:bCs/>
                <w:kern w:val="0"/>
                <w:lang w:val="en-US"/>
                <w14:ligatures w14:val="none"/>
              </w:rPr>
              <w:t>Obesity</w:t>
            </w:r>
          </w:p>
        </w:tc>
        <w:tc>
          <w:tcPr>
            <w:tcW w:w="198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518608" w14:textId="77777777" w:rsidR="00F10828" w:rsidRPr="00E92353" w:rsidRDefault="00F10828" w:rsidP="00F10828">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Not Obese</w:t>
            </w:r>
          </w:p>
        </w:tc>
        <w:tc>
          <w:tcPr>
            <w:tcW w:w="118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748F938E" w14:textId="77777777" w:rsidR="00F10828" w:rsidRPr="00E92353" w:rsidRDefault="00F10828" w:rsidP="00F10828">
            <w:pPr>
              <w:spacing w:after="0" w:line="240" w:lineRule="auto"/>
              <w:jc w:val="right"/>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82.56%</w:t>
            </w:r>
          </w:p>
        </w:tc>
        <w:tc>
          <w:tcPr>
            <w:tcW w:w="118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431CA6B2" w14:textId="77777777" w:rsidR="00F10828" w:rsidRPr="00E92353" w:rsidRDefault="00F10828" w:rsidP="00F10828">
            <w:pPr>
              <w:spacing w:after="0" w:line="240" w:lineRule="auto"/>
              <w:jc w:val="right"/>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84%</w:t>
            </w:r>
          </w:p>
        </w:tc>
        <w:tc>
          <w:tcPr>
            <w:tcW w:w="122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D33DB19" w14:textId="77777777" w:rsidR="00F10828" w:rsidRPr="00E92353" w:rsidRDefault="00F10828" w:rsidP="00F10828">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4.24</w:t>
            </w:r>
          </w:p>
        </w:tc>
        <w:tc>
          <w:tcPr>
            <w:tcW w:w="120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9691F28" w14:textId="77777777" w:rsidR="00F10828" w:rsidRPr="00E92353" w:rsidRDefault="00F10828" w:rsidP="00F10828">
            <w:pPr>
              <w:spacing w:after="0" w:line="240" w:lineRule="auto"/>
              <w:jc w:val="right"/>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0.04</w:t>
            </w:r>
          </w:p>
        </w:tc>
      </w:tr>
      <w:tr w:rsidR="00E30364" w:rsidRPr="00E92353" w14:paraId="6572F980" w14:textId="77777777" w:rsidTr="00E30364">
        <w:trPr>
          <w:trHeight w:val="340"/>
        </w:trPr>
        <w:tc>
          <w:tcPr>
            <w:tcW w:w="2092" w:type="dxa"/>
            <w:tcBorders>
              <w:top w:val="nil"/>
              <w:left w:val="single" w:sz="4" w:space="0" w:color="auto"/>
              <w:bottom w:val="single" w:sz="4" w:space="0" w:color="auto"/>
              <w:right w:val="single" w:sz="4" w:space="0" w:color="auto"/>
            </w:tcBorders>
            <w:shd w:val="clear" w:color="auto" w:fill="8EAADB" w:themeFill="accent1" w:themeFillTint="99"/>
            <w:hideMark/>
          </w:tcPr>
          <w:p w14:paraId="5AC3BBF6" w14:textId="77777777" w:rsidR="00F10828" w:rsidRPr="00E92353" w:rsidRDefault="00F10828" w:rsidP="00F10828">
            <w:pPr>
              <w:spacing w:after="0" w:line="240" w:lineRule="auto"/>
              <w:rPr>
                <w:rFonts w:asciiTheme="majorBidi" w:eastAsia="Times New Roman" w:hAnsiTheme="majorBidi" w:cstheme="majorBidi"/>
                <w:b/>
                <w:bCs/>
                <w:i/>
                <w:iCs/>
                <w:color w:val="000000"/>
                <w:kern w:val="0"/>
                <w:lang w:val="en-US"/>
                <w14:ligatures w14:val="none"/>
              </w:rPr>
            </w:pPr>
            <w:r w:rsidRPr="00E92353">
              <w:rPr>
                <w:rFonts w:asciiTheme="majorBidi" w:eastAsia="Times New Roman" w:hAnsiTheme="majorBidi" w:cstheme="majorBidi"/>
                <w:b/>
                <w:bCs/>
                <w:i/>
                <w:iCs/>
                <w:color w:val="000000"/>
                <w:kern w:val="0"/>
                <w:lang w:val="en-US"/>
                <w14:ligatures w14:val="none"/>
              </w:rPr>
              <w:t> </w:t>
            </w:r>
          </w:p>
        </w:tc>
        <w:tc>
          <w:tcPr>
            <w:tcW w:w="198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0EBB7D" w14:textId="77777777" w:rsidR="00F10828" w:rsidRPr="00E92353" w:rsidRDefault="00F10828" w:rsidP="00F10828">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kern w:val="0"/>
                <w:lang w:val="en-US"/>
                <w14:ligatures w14:val="none"/>
              </w:rPr>
              <w:t>Obese</w:t>
            </w:r>
          </w:p>
        </w:tc>
        <w:tc>
          <w:tcPr>
            <w:tcW w:w="118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2A3B6C33" w14:textId="77777777" w:rsidR="00F10828" w:rsidRPr="00E92353" w:rsidRDefault="00F10828" w:rsidP="00F10828">
            <w:pPr>
              <w:spacing w:after="0" w:line="240" w:lineRule="auto"/>
              <w:jc w:val="right"/>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17.44%</w:t>
            </w:r>
          </w:p>
        </w:tc>
        <w:tc>
          <w:tcPr>
            <w:tcW w:w="118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44B2A66F" w14:textId="77777777" w:rsidR="00F10828" w:rsidRPr="00E92353" w:rsidRDefault="00F10828" w:rsidP="00F10828">
            <w:pPr>
              <w:spacing w:after="0" w:line="240" w:lineRule="auto"/>
              <w:jc w:val="right"/>
              <w:rPr>
                <w:rFonts w:asciiTheme="majorBidi" w:eastAsia="Times New Roman" w:hAnsiTheme="majorBidi" w:cstheme="majorBidi"/>
                <w:color w:val="000000"/>
                <w:kern w:val="0"/>
                <w:sz w:val="22"/>
                <w:szCs w:val="22"/>
                <w:lang w:val="en-US"/>
                <w14:ligatures w14:val="none"/>
              </w:rPr>
            </w:pPr>
            <w:r w:rsidRPr="00E92353">
              <w:rPr>
                <w:rFonts w:asciiTheme="majorBidi" w:eastAsia="Times New Roman" w:hAnsiTheme="majorBidi" w:cstheme="majorBidi"/>
                <w:color w:val="000000"/>
                <w:kern w:val="0"/>
                <w:sz w:val="22"/>
                <w:szCs w:val="22"/>
                <w:lang w:val="en-US"/>
                <w14:ligatures w14:val="none"/>
              </w:rPr>
              <w:t>16%</w:t>
            </w:r>
          </w:p>
        </w:tc>
        <w:tc>
          <w:tcPr>
            <w:tcW w:w="122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A7DC39" w14:textId="77777777" w:rsidR="00F10828" w:rsidRPr="00E92353" w:rsidRDefault="00F10828" w:rsidP="00F10828">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 </w:t>
            </w:r>
          </w:p>
        </w:tc>
        <w:tc>
          <w:tcPr>
            <w:tcW w:w="120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B83FC4" w14:textId="77777777" w:rsidR="00F10828" w:rsidRPr="00E92353" w:rsidRDefault="00F10828" w:rsidP="00F10828">
            <w:pPr>
              <w:spacing w:after="0" w:line="240" w:lineRule="auto"/>
              <w:rPr>
                <w:rFonts w:asciiTheme="majorBidi" w:eastAsia="Times New Roman" w:hAnsiTheme="majorBidi" w:cstheme="majorBidi"/>
                <w:color w:val="000000"/>
                <w:kern w:val="0"/>
                <w:lang w:val="en-US"/>
                <w14:ligatures w14:val="none"/>
              </w:rPr>
            </w:pPr>
            <w:r w:rsidRPr="00E92353">
              <w:rPr>
                <w:rFonts w:asciiTheme="majorBidi" w:eastAsia="Times New Roman" w:hAnsiTheme="majorBidi" w:cstheme="majorBidi"/>
                <w:color w:val="000000"/>
                <w:kern w:val="0"/>
                <w:lang w:val="en-US"/>
                <w14:ligatures w14:val="none"/>
              </w:rPr>
              <w:t> </w:t>
            </w:r>
          </w:p>
        </w:tc>
      </w:tr>
    </w:tbl>
    <w:p w14:paraId="68E2C033" w14:textId="77777777" w:rsidR="008C41D0" w:rsidRPr="00E92353" w:rsidRDefault="008C41D0" w:rsidP="00DD6032">
      <w:pPr>
        <w:rPr>
          <w:rFonts w:asciiTheme="majorBidi" w:hAnsiTheme="majorBidi" w:cstheme="majorBidi"/>
          <w:lang w:val="en-US"/>
        </w:rPr>
      </w:pPr>
    </w:p>
    <w:p w14:paraId="1337E10E" w14:textId="77777777" w:rsidR="007807E5" w:rsidRPr="00E92353" w:rsidRDefault="007807E5" w:rsidP="000E4C0D">
      <w:pPr>
        <w:rPr>
          <w:rFonts w:asciiTheme="majorBidi" w:hAnsiTheme="majorBidi" w:cstheme="majorBidi"/>
          <w:b/>
          <w:bCs/>
          <w:lang w:val="en-US"/>
        </w:rPr>
      </w:pPr>
    </w:p>
    <w:p w14:paraId="5B8A4B2B" w14:textId="77777777" w:rsidR="007807E5" w:rsidRPr="00E92353" w:rsidRDefault="007807E5" w:rsidP="000E4C0D">
      <w:pPr>
        <w:rPr>
          <w:rFonts w:asciiTheme="majorBidi" w:hAnsiTheme="majorBidi" w:cstheme="majorBidi"/>
          <w:b/>
          <w:bCs/>
          <w:lang w:val="en-US"/>
        </w:rPr>
      </w:pPr>
    </w:p>
    <w:p w14:paraId="3F727D4B" w14:textId="77777777" w:rsidR="007807E5" w:rsidRPr="00E92353" w:rsidRDefault="007807E5" w:rsidP="000E4C0D">
      <w:pPr>
        <w:rPr>
          <w:rFonts w:asciiTheme="majorBidi" w:hAnsiTheme="majorBidi" w:cstheme="majorBidi"/>
          <w:b/>
          <w:bCs/>
          <w:lang w:val="en-US"/>
        </w:rPr>
      </w:pPr>
    </w:p>
    <w:p w14:paraId="73377CA4" w14:textId="77777777" w:rsidR="00C1231F" w:rsidRPr="00E92353" w:rsidRDefault="00C1231F" w:rsidP="000E4C0D">
      <w:pPr>
        <w:rPr>
          <w:rFonts w:asciiTheme="majorBidi" w:hAnsiTheme="majorBidi" w:cstheme="majorBidi"/>
          <w:b/>
          <w:bCs/>
          <w:lang w:val="en-US"/>
        </w:rPr>
      </w:pPr>
    </w:p>
    <w:p w14:paraId="7D6365F4" w14:textId="77777777" w:rsidR="00C1231F" w:rsidRPr="00E92353" w:rsidRDefault="00C1231F" w:rsidP="000E4C0D">
      <w:pPr>
        <w:rPr>
          <w:rFonts w:asciiTheme="majorBidi" w:hAnsiTheme="majorBidi" w:cstheme="majorBidi"/>
          <w:b/>
          <w:bCs/>
          <w:lang w:val="en-US"/>
        </w:rPr>
      </w:pPr>
    </w:p>
    <w:p w14:paraId="65E070D4" w14:textId="77777777" w:rsidR="00F30F70" w:rsidRPr="00E92353" w:rsidRDefault="00F30F70" w:rsidP="006823C1">
      <w:pPr>
        <w:rPr>
          <w:rFonts w:asciiTheme="majorBidi" w:hAnsiTheme="majorBidi" w:cstheme="majorBidi"/>
          <w:b/>
          <w:bCs/>
          <w:lang w:val="en-US"/>
        </w:rPr>
      </w:pPr>
    </w:p>
    <w:p w14:paraId="717B4421" w14:textId="35430FFF" w:rsidR="000E4C0D" w:rsidRPr="00E92353" w:rsidRDefault="00E822BE" w:rsidP="006823C1">
      <w:pPr>
        <w:rPr>
          <w:rFonts w:asciiTheme="majorBidi" w:hAnsiTheme="majorBidi" w:cstheme="majorBidi"/>
          <w:b/>
          <w:bCs/>
        </w:rPr>
      </w:pPr>
      <w:r w:rsidRPr="00E92353">
        <w:rPr>
          <w:rFonts w:asciiTheme="majorBidi" w:hAnsiTheme="majorBidi" w:cstheme="majorBidi"/>
          <w:b/>
          <w:bCs/>
        </w:rPr>
        <w:lastRenderedPageBreak/>
        <w:t xml:space="preserve">Table 4. Multivariable logistic regression showing predictors of preventive health check-up utilization among older adults (n = </w:t>
      </w:r>
      <w:r w:rsidR="00F30F70" w:rsidRPr="00E92353">
        <w:rPr>
          <w:rFonts w:asciiTheme="majorBidi" w:hAnsiTheme="majorBidi" w:cstheme="majorBidi"/>
          <w:b/>
          <w:bCs/>
        </w:rPr>
        <w:t>31,902</w:t>
      </w:r>
      <w:r w:rsidRPr="00E92353">
        <w:rPr>
          <w:rFonts w:asciiTheme="majorBidi" w:hAnsiTheme="majorBidi" w:cstheme="majorBidi"/>
          <w:b/>
          <w:bCs/>
        </w:rPr>
        <w:t>)</w:t>
      </w:r>
    </w:p>
    <w:tbl>
      <w:tblPr>
        <w:tblStyle w:val="TableGrid"/>
        <w:tblW w:w="8668" w:type="dxa"/>
        <w:tblLook w:val="04A0" w:firstRow="1" w:lastRow="0" w:firstColumn="1" w:lastColumn="0" w:noHBand="0" w:noVBand="1"/>
      </w:tblPr>
      <w:tblGrid>
        <w:gridCol w:w="1659"/>
        <w:gridCol w:w="2100"/>
        <w:gridCol w:w="1607"/>
        <w:gridCol w:w="1676"/>
        <w:gridCol w:w="1626"/>
      </w:tblGrid>
      <w:tr w:rsidR="00DB28BF" w:rsidRPr="0043324F" w14:paraId="1BB216B1" w14:textId="77777777" w:rsidTr="0043324F">
        <w:trPr>
          <w:trHeight w:val="685"/>
        </w:trPr>
        <w:tc>
          <w:tcPr>
            <w:tcW w:w="1672" w:type="dxa"/>
          </w:tcPr>
          <w:p w14:paraId="7163D5B7"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Variable</w:t>
            </w:r>
          </w:p>
        </w:tc>
        <w:tc>
          <w:tcPr>
            <w:tcW w:w="2035" w:type="dxa"/>
          </w:tcPr>
          <w:p w14:paraId="1E0AC106"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Category</w:t>
            </w:r>
          </w:p>
        </w:tc>
        <w:tc>
          <w:tcPr>
            <w:tcW w:w="1630" w:type="dxa"/>
          </w:tcPr>
          <w:p w14:paraId="1D9BBA41"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Odds Ratio (OR)</w:t>
            </w:r>
          </w:p>
        </w:tc>
        <w:tc>
          <w:tcPr>
            <w:tcW w:w="1685" w:type="dxa"/>
          </w:tcPr>
          <w:p w14:paraId="7A45167E"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95% Confidence Interval (CI)</w:t>
            </w:r>
          </w:p>
        </w:tc>
        <w:tc>
          <w:tcPr>
            <w:tcW w:w="1646" w:type="dxa"/>
          </w:tcPr>
          <w:p w14:paraId="477CD988"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p-value</w:t>
            </w:r>
          </w:p>
        </w:tc>
      </w:tr>
      <w:tr w:rsidR="00DB28BF" w:rsidRPr="0043324F" w14:paraId="67AD0F55" w14:textId="77777777" w:rsidTr="0043324F">
        <w:trPr>
          <w:trHeight w:val="292"/>
        </w:trPr>
        <w:tc>
          <w:tcPr>
            <w:tcW w:w="1672" w:type="dxa"/>
          </w:tcPr>
          <w:p w14:paraId="1A1D4770"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Gender</w:t>
            </w:r>
          </w:p>
        </w:tc>
        <w:tc>
          <w:tcPr>
            <w:tcW w:w="2035" w:type="dxa"/>
          </w:tcPr>
          <w:p w14:paraId="704A63EF"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Male (reference)</w:t>
            </w:r>
          </w:p>
        </w:tc>
        <w:tc>
          <w:tcPr>
            <w:tcW w:w="1630" w:type="dxa"/>
          </w:tcPr>
          <w:p w14:paraId="70E8B644" w14:textId="6D741242" w:rsidR="00DB28BF" w:rsidRPr="0043324F" w:rsidRDefault="00DB28BF" w:rsidP="00334E9C">
            <w:pPr>
              <w:rPr>
                <w:rFonts w:ascii="Times New Roman" w:hAnsi="Times New Roman" w:cs="Times New Roman"/>
              </w:rPr>
            </w:pPr>
            <w:r w:rsidRPr="0043324F">
              <w:rPr>
                <w:rFonts w:ascii="Times New Roman" w:hAnsi="Times New Roman" w:cs="Times New Roman"/>
              </w:rPr>
              <w:t>1</w:t>
            </w:r>
            <w:r w:rsidRPr="0043324F">
              <w:rPr>
                <w:rFonts w:ascii="Times New Roman" w:hAnsi="Times New Roman" w:cs="Times New Roman"/>
              </w:rPr>
              <w:t>.00</w:t>
            </w:r>
          </w:p>
        </w:tc>
        <w:tc>
          <w:tcPr>
            <w:tcW w:w="1685" w:type="dxa"/>
          </w:tcPr>
          <w:p w14:paraId="2AA54504" w14:textId="6276F2FD" w:rsidR="00DB28BF" w:rsidRPr="0043324F" w:rsidRDefault="00DB28BF" w:rsidP="00334E9C">
            <w:pPr>
              <w:rPr>
                <w:rFonts w:ascii="Times New Roman" w:hAnsi="Times New Roman" w:cs="Times New Roman"/>
              </w:rPr>
            </w:pPr>
          </w:p>
        </w:tc>
        <w:tc>
          <w:tcPr>
            <w:tcW w:w="1646" w:type="dxa"/>
          </w:tcPr>
          <w:p w14:paraId="21557D1A" w14:textId="75694487" w:rsidR="00DB28BF" w:rsidRPr="0043324F" w:rsidRDefault="00DB28BF" w:rsidP="00334E9C">
            <w:pPr>
              <w:rPr>
                <w:rFonts w:ascii="Times New Roman" w:hAnsi="Times New Roman" w:cs="Times New Roman"/>
              </w:rPr>
            </w:pPr>
          </w:p>
        </w:tc>
      </w:tr>
      <w:tr w:rsidR="00DB28BF" w:rsidRPr="0043324F" w14:paraId="7C6C13AE" w14:textId="77777777" w:rsidTr="0043324F">
        <w:trPr>
          <w:trHeight w:val="292"/>
        </w:trPr>
        <w:tc>
          <w:tcPr>
            <w:tcW w:w="1672" w:type="dxa"/>
          </w:tcPr>
          <w:p w14:paraId="75321541" w14:textId="77777777" w:rsidR="00DB28BF" w:rsidRPr="0043324F" w:rsidRDefault="00DB28BF" w:rsidP="00334E9C">
            <w:pPr>
              <w:rPr>
                <w:rFonts w:ascii="Times New Roman" w:hAnsi="Times New Roman" w:cs="Times New Roman"/>
              </w:rPr>
            </w:pPr>
          </w:p>
        </w:tc>
        <w:tc>
          <w:tcPr>
            <w:tcW w:w="2035" w:type="dxa"/>
          </w:tcPr>
          <w:p w14:paraId="1D66559A"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Female</w:t>
            </w:r>
          </w:p>
        </w:tc>
        <w:tc>
          <w:tcPr>
            <w:tcW w:w="1630" w:type="dxa"/>
          </w:tcPr>
          <w:p w14:paraId="79EEB980"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1.05</w:t>
            </w:r>
          </w:p>
        </w:tc>
        <w:tc>
          <w:tcPr>
            <w:tcW w:w="1685" w:type="dxa"/>
          </w:tcPr>
          <w:p w14:paraId="564F6B6B"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(0.94, 1.18)</w:t>
            </w:r>
          </w:p>
        </w:tc>
        <w:tc>
          <w:tcPr>
            <w:tcW w:w="1646" w:type="dxa"/>
          </w:tcPr>
          <w:p w14:paraId="3FD8D4E4"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0.413</w:t>
            </w:r>
          </w:p>
        </w:tc>
      </w:tr>
      <w:tr w:rsidR="00DB28BF" w:rsidRPr="0043324F" w14:paraId="11CCFF06" w14:textId="77777777" w:rsidTr="0043324F">
        <w:trPr>
          <w:trHeight w:val="488"/>
        </w:trPr>
        <w:tc>
          <w:tcPr>
            <w:tcW w:w="1672" w:type="dxa"/>
          </w:tcPr>
          <w:p w14:paraId="593BE6C8"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Age</w:t>
            </w:r>
          </w:p>
        </w:tc>
        <w:tc>
          <w:tcPr>
            <w:tcW w:w="2035" w:type="dxa"/>
          </w:tcPr>
          <w:p w14:paraId="6A116823"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&lt;70 years (reference)</w:t>
            </w:r>
          </w:p>
        </w:tc>
        <w:tc>
          <w:tcPr>
            <w:tcW w:w="1630" w:type="dxa"/>
          </w:tcPr>
          <w:p w14:paraId="38D4EC9E" w14:textId="555F60FE" w:rsidR="00DB28BF" w:rsidRPr="0043324F" w:rsidRDefault="00DB28BF" w:rsidP="00334E9C">
            <w:pPr>
              <w:rPr>
                <w:rFonts w:ascii="Times New Roman" w:hAnsi="Times New Roman" w:cs="Times New Roman"/>
              </w:rPr>
            </w:pPr>
            <w:r w:rsidRPr="0043324F">
              <w:rPr>
                <w:rFonts w:ascii="Times New Roman" w:hAnsi="Times New Roman" w:cs="Times New Roman"/>
              </w:rPr>
              <w:t>1</w:t>
            </w:r>
            <w:r w:rsidRPr="0043324F">
              <w:rPr>
                <w:rFonts w:ascii="Times New Roman" w:hAnsi="Times New Roman" w:cs="Times New Roman"/>
              </w:rPr>
              <w:t>.00</w:t>
            </w:r>
          </w:p>
        </w:tc>
        <w:tc>
          <w:tcPr>
            <w:tcW w:w="1685" w:type="dxa"/>
          </w:tcPr>
          <w:p w14:paraId="5B86446F" w14:textId="4D61F616" w:rsidR="00DB28BF" w:rsidRPr="0043324F" w:rsidRDefault="00DB28BF" w:rsidP="00334E9C">
            <w:pPr>
              <w:rPr>
                <w:rFonts w:ascii="Times New Roman" w:hAnsi="Times New Roman" w:cs="Times New Roman"/>
              </w:rPr>
            </w:pPr>
          </w:p>
        </w:tc>
        <w:tc>
          <w:tcPr>
            <w:tcW w:w="1646" w:type="dxa"/>
          </w:tcPr>
          <w:p w14:paraId="48FC4AC3" w14:textId="422A8CD3" w:rsidR="00DB28BF" w:rsidRPr="0043324F" w:rsidRDefault="00DB28BF" w:rsidP="00334E9C">
            <w:pPr>
              <w:rPr>
                <w:rFonts w:ascii="Times New Roman" w:hAnsi="Times New Roman" w:cs="Times New Roman"/>
              </w:rPr>
            </w:pPr>
          </w:p>
        </w:tc>
      </w:tr>
      <w:tr w:rsidR="00DB28BF" w:rsidRPr="0043324F" w14:paraId="2F5D5BBA" w14:textId="77777777" w:rsidTr="0043324F">
        <w:trPr>
          <w:trHeight w:val="292"/>
        </w:trPr>
        <w:tc>
          <w:tcPr>
            <w:tcW w:w="1672" w:type="dxa"/>
          </w:tcPr>
          <w:p w14:paraId="0060370A" w14:textId="77777777" w:rsidR="00DB28BF" w:rsidRPr="0043324F" w:rsidRDefault="00DB28BF" w:rsidP="00334E9C">
            <w:pPr>
              <w:rPr>
                <w:rFonts w:ascii="Times New Roman" w:hAnsi="Times New Roman" w:cs="Times New Roman"/>
              </w:rPr>
            </w:pPr>
          </w:p>
        </w:tc>
        <w:tc>
          <w:tcPr>
            <w:tcW w:w="2035" w:type="dxa"/>
          </w:tcPr>
          <w:p w14:paraId="062C3468"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70–79 years</w:t>
            </w:r>
          </w:p>
        </w:tc>
        <w:tc>
          <w:tcPr>
            <w:tcW w:w="1630" w:type="dxa"/>
          </w:tcPr>
          <w:p w14:paraId="68E32EFB"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1.11</w:t>
            </w:r>
          </w:p>
        </w:tc>
        <w:tc>
          <w:tcPr>
            <w:tcW w:w="1685" w:type="dxa"/>
          </w:tcPr>
          <w:p w14:paraId="6E8E3A0B"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(1.00, 1.23)</w:t>
            </w:r>
          </w:p>
        </w:tc>
        <w:tc>
          <w:tcPr>
            <w:tcW w:w="1646" w:type="dxa"/>
          </w:tcPr>
          <w:p w14:paraId="6155B067"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0.056</w:t>
            </w:r>
          </w:p>
        </w:tc>
      </w:tr>
      <w:tr w:rsidR="00DB28BF" w:rsidRPr="0043324F" w14:paraId="0E78FF0B" w14:textId="77777777" w:rsidTr="0043324F">
        <w:trPr>
          <w:trHeight w:val="292"/>
        </w:trPr>
        <w:tc>
          <w:tcPr>
            <w:tcW w:w="1672" w:type="dxa"/>
          </w:tcPr>
          <w:p w14:paraId="2B94AF29" w14:textId="77777777" w:rsidR="00DB28BF" w:rsidRPr="0043324F" w:rsidRDefault="00DB28BF" w:rsidP="00334E9C">
            <w:pPr>
              <w:rPr>
                <w:rFonts w:ascii="Times New Roman" w:hAnsi="Times New Roman" w:cs="Times New Roman"/>
              </w:rPr>
            </w:pPr>
          </w:p>
        </w:tc>
        <w:tc>
          <w:tcPr>
            <w:tcW w:w="2035" w:type="dxa"/>
          </w:tcPr>
          <w:p w14:paraId="02108167"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80+ years</w:t>
            </w:r>
          </w:p>
        </w:tc>
        <w:tc>
          <w:tcPr>
            <w:tcW w:w="1630" w:type="dxa"/>
          </w:tcPr>
          <w:p w14:paraId="4E410729"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1.01</w:t>
            </w:r>
          </w:p>
        </w:tc>
        <w:tc>
          <w:tcPr>
            <w:tcW w:w="1685" w:type="dxa"/>
          </w:tcPr>
          <w:p w14:paraId="2FBC9953"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(0.86, 1.18)</w:t>
            </w:r>
          </w:p>
        </w:tc>
        <w:tc>
          <w:tcPr>
            <w:tcW w:w="1646" w:type="dxa"/>
          </w:tcPr>
          <w:p w14:paraId="7152BF12"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0.931</w:t>
            </w:r>
          </w:p>
        </w:tc>
      </w:tr>
      <w:tr w:rsidR="00DB28BF" w:rsidRPr="0043324F" w14:paraId="7F30552F" w14:textId="77777777" w:rsidTr="0043324F">
        <w:trPr>
          <w:trHeight w:val="488"/>
        </w:trPr>
        <w:tc>
          <w:tcPr>
            <w:tcW w:w="1672" w:type="dxa"/>
          </w:tcPr>
          <w:p w14:paraId="52DCF2E1"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Place of residence</w:t>
            </w:r>
          </w:p>
        </w:tc>
        <w:tc>
          <w:tcPr>
            <w:tcW w:w="2035" w:type="dxa"/>
          </w:tcPr>
          <w:p w14:paraId="015E9030"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Rural (reference)</w:t>
            </w:r>
          </w:p>
        </w:tc>
        <w:tc>
          <w:tcPr>
            <w:tcW w:w="1630" w:type="dxa"/>
          </w:tcPr>
          <w:p w14:paraId="23CE2AE0" w14:textId="3C79DD37" w:rsidR="00DB28BF" w:rsidRPr="0043324F" w:rsidRDefault="00DB28BF" w:rsidP="00334E9C">
            <w:pPr>
              <w:rPr>
                <w:rFonts w:ascii="Times New Roman" w:hAnsi="Times New Roman" w:cs="Times New Roman"/>
              </w:rPr>
            </w:pPr>
            <w:r w:rsidRPr="0043324F">
              <w:rPr>
                <w:rFonts w:ascii="Times New Roman" w:hAnsi="Times New Roman" w:cs="Times New Roman"/>
              </w:rPr>
              <w:t>1</w:t>
            </w:r>
            <w:r w:rsidRPr="0043324F">
              <w:rPr>
                <w:rFonts w:ascii="Times New Roman" w:hAnsi="Times New Roman" w:cs="Times New Roman"/>
              </w:rPr>
              <w:t>.00</w:t>
            </w:r>
          </w:p>
        </w:tc>
        <w:tc>
          <w:tcPr>
            <w:tcW w:w="1685" w:type="dxa"/>
          </w:tcPr>
          <w:p w14:paraId="374F9803" w14:textId="59B9F111" w:rsidR="00DB28BF" w:rsidRPr="0043324F" w:rsidRDefault="00DB28BF" w:rsidP="00334E9C">
            <w:pPr>
              <w:rPr>
                <w:rFonts w:ascii="Times New Roman" w:hAnsi="Times New Roman" w:cs="Times New Roman"/>
              </w:rPr>
            </w:pPr>
          </w:p>
        </w:tc>
        <w:tc>
          <w:tcPr>
            <w:tcW w:w="1646" w:type="dxa"/>
          </w:tcPr>
          <w:p w14:paraId="038778C2" w14:textId="3B417889" w:rsidR="00DB28BF" w:rsidRPr="0043324F" w:rsidRDefault="00DB28BF" w:rsidP="00334E9C">
            <w:pPr>
              <w:rPr>
                <w:rFonts w:ascii="Times New Roman" w:hAnsi="Times New Roman" w:cs="Times New Roman"/>
              </w:rPr>
            </w:pPr>
          </w:p>
        </w:tc>
      </w:tr>
      <w:tr w:rsidR="00DB28BF" w:rsidRPr="0043324F" w14:paraId="6D17CAA5" w14:textId="77777777" w:rsidTr="0043324F">
        <w:trPr>
          <w:trHeight w:val="292"/>
        </w:trPr>
        <w:tc>
          <w:tcPr>
            <w:tcW w:w="1672" w:type="dxa"/>
          </w:tcPr>
          <w:p w14:paraId="7C40DA71" w14:textId="77777777" w:rsidR="00DB28BF" w:rsidRPr="0043324F" w:rsidRDefault="00DB28BF" w:rsidP="00334E9C">
            <w:pPr>
              <w:rPr>
                <w:rFonts w:ascii="Times New Roman" w:hAnsi="Times New Roman" w:cs="Times New Roman"/>
              </w:rPr>
            </w:pPr>
          </w:p>
        </w:tc>
        <w:tc>
          <w:tcPr>
            <w:tcW w:w="2035" w:type="dxa"/>
          </w:tcPr>
          <w:p w14:paraId="5F091051"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Urban</w:t>
            </w:r>
          </w:p>
        </w:tc>
        <w:tc>
          <w:tcPr>
            <w:tcW w:w="1630" w:type="dxa"/>
          </w:tcPr>
          <w:p w14:paraId="79C3E996"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1.11</w:t>
            </w:r>
          </w:p>
        </w:tc>
        <w:tc>
          <w:tcPr>
            <w:tcW w:w="1685" w:type="dxa"/>
          </w:tcPr>
          <w:p w14:paraId="6BE50A7D"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(1.00, 1.24)</w:t>
            </w:r>
          </w:p>
        </w:tc>
        <w:tc>
          <w:tcPr>
            <w:tcW w:w="1646" w:type="dxa"/>
          </w:tcPr>
          <w:p w14:paraId="4CD045EF"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0.052</w:t>
            </w:r>
          </w:p>
        </w:tc>
      </w:tr>
      <w:tr w:rsidR="00DB28BF" w:rsidRPr="0043324F" w14:paraId="24F51D43" w14:textId="77777777" w:rsidTr="0043324F">
        <w:trPr>
          <w:trHeight w:val="488"/>
        </w:trPr>
        <w:tc>
          <w:tcPr>
            <w:tcW w:w="1672" w:type="dxa"/>
          </w:tcPr>
          <w:p w14:paraId="44C62091"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Education level</w:t>
            </w:r>
          </w:p>
        </w:tc>
        <w:tc>
          <w:tcPr>
            <w:tcW w:w="2035" w:type="dxa"/>
          </w:tcPr>
          <w:p w14:paraId="7FDC21A1"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Illiterate (reference)</w:t>
            </w:r>
          </w:p>
        </w:tc>
        <w:tc>
          <w:tcPr>
            <w:tcW w:w="1630" w:type="dxa"/>
          </w:tcPr>
          <w:p w14:paraId="3B031E37" w14:textId="6A0E1D70" w:rsidR="00DB28BF" w:rsidRPr="0043324F" w:rsidRDefault="00DB28BF" w:rsidP="00334E9C">
            <w:pPr>
              <w:rPr>
                <w:rFonts w:ascii="Times New Roman" w:hAnsi="Times New Roman" w:cs="Times New Roman"/>
              </w:rPr>
            </w:pPr>
            <w:r w:rsidRPr="0043324F">
              <w:rPr>
                <w:rFonts w:ascii="Times New Roman" w:hAnsi="Times New Roman" w:cs="Times New Roman"/>
              </w:rPr>
              <w:t>1</w:t>
            </w:r>
            <w:r w:rsidRPr="0043324F">
              <w:rPr>
                <w:rFonts w:ascii="Times New Roman" w:hAnsi="Times New Roman" w:cs="Times New Roman"/>
              </w:rPr>
              <w:t>.00</w:t>
            </w:r>
          </w:p>
        </w:tc>
        <w:tc>
          <w:tcPr>
            <w:tcW w:w="1685" w:type="dxa"/>
          </w:tcPr>
          <w:p w14:paraId="01AB0039" w14:textId="0FD6D6D1" w:rsidR="00DB28BF" w:rsidRPr="0043324F" w:rsidRDefault="00DB28BF" w:rsidP="00334E9C">
            <w:pPr>
              <w:rPr>
                <w:rFonts w:ascii="Times New Roman" w:hAnsi="Times New Roman" w:cs="Times New Roman"/>
              </w:rPr>
            </w:pPr>
          </w:p>
        </w:tc>
        <w:tc>
          <w:tcPr>
            <w:tcW w:w="1646" w:type="dxa"/>
          </w:tcPr>
          <w:p w14:paraId="18342ED3" w14:textId="3FFBD5AF" w:rsidR="00DB28BF" w:rsidRPr="0043324F" w:rsidRDefault="00DB28BF" w:rsidP="00334E9C">
            <w:pPr>
              <w:rPr>
                <w:rFonts w:ascii="Times New Roman" w:hAnsi="Times New Roman" w:cs="Times New Roman"/>
              </w:rPr>
            </w:pPr>
          </w:p>
        </w:tc>
      </w:tr>
      <w:tr w:rsidR="00DB28BF" w:rsidRPr="0043324F" w14:paraId="3944F532" w14:textId="77777777" w:rsidTr="0043324F">
        <w:trPr>
          <w:trHeight w:val="292"/>
        </w:trPr>
        <w:tc>
          <w:tcPr>
            <w:tcW w:w="1672" w:type="dxa"/>
          </w:tcPr>
          <w:p w14:paraId="6A705E31" w14:textId="77777777" w:rsidR="00DB28BF" w:rsidRPr="0043324F" w:rsidRDefault="00DB28BF" w:rsidP="00334E9C">
            <w:pPr>
              <w:rPr>
                <w:rFonts w:ascii="Times New Roman" w:hAnsi="Times New Roman" w:cs="Times New Roman"/>
              </w:rPr>
            </w:pPr>
          </w:p>
        </w:tc>
        <w:tc>
          <w:tcPr>
            <w:tcW w:w="2035" w:type="dxa"/>
          </w:tcPr>
          <w:p w14:paraId="73DA693F"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Primary/Middle</w:t>
            </w:r>
          </w:p>
        </w:tc>
        <w:tc>
          <w:tcPr>
            <w:tcW w:w="1630" w:type="dxa"/>
          </w:tcPr>
          <w:p w14:paraId="1D0481DC"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1.14</w:t>
            </w:r>
          </w:p>
        </w:tc>
        <w:tc>
          <w:tcPr>
            <w:tcW w:w="1685" w:type="dxa"/>
          </w:tcPr>
          <w:p w14:paraId="50F6A505"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(0.94, 1.39)</w:t>
            </w:r>
          </w:p>
        </w:tc>
        <w:tc>
          <w:tcPr>
            <w:tcW w:w="1646" w:type="dxa"/>
          </w:tcPr>
          <w:p w14:paraId="21259154"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0.193</w:t>
            </w:r>
          </w:p>
        </w:tc>
      </w:tr>
      <w:tr w:rsidR="00DB28BF" w:rsidRPr="0043324F" w14:paraId="7C419A58" w14:textId="77777777" w:rsidTr="0043324F">
        <w:trPr>
          <w:trHeight w:val="286"/>
        </w:trPr>
        <w:tc>
          <w:tcPr>
            <w:tcW w:w="1672" w:type="dxa"/>
          </w:tcPr>
          <w:p w14:paraId="257F430D" w14:textId="77777777" w:rsidR="00DB28BF" w:rsidRPr="0043324F" w:rsidRDefault="00DB28BF" w:rsidP="00334E9C">
            <w:pPr>
              <w:rPr>
                <w:rFonts w:ascii="Times New Roman" w:hAnsi="Times New Roman" w:cs="Times New Roman"/>
              </w:rPr>
            </w:pPr>
          </w:p>
        </w:tc>
        <w:tc>
          <w:tcPr>
            <w:tcW w:w="2035" w:type="dxa"/>
          </w:tcPr>
          <w:p w14:paraId="1E3C12EE"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Matric/Secondary</w:t>
            </w:r>
          </w:p>
        </w:tc>
        <w:tc>
          <w:tcPr>
            <w:tcW w:w="1630" w:type="dxa"/>
          </w:tcPr>
          <w:p w14:paraId="01AEF9B3"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0.96</w:t>
            </w:r>
          </w:p>
        </w:tc>
        <w:tc>
          <w:tcPr>
            <w:tcW w:w="1685" w:type="dxa"/>
          </w:tcPr>
          <w:p w14:paraId="30ADF536"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(0.77, 1.19)</w:t>
            </w:r>
          </w:p>
        </w:tc>
        <w:tc>
          <w:tcPr>
            <w:tcW w:w="1646" w:type="dxa"/>
          </w:tcPr>
          <w:p w14:paraId="1CA4E067"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0.704</w:t>
            </w:r>
          </w:p>
        </w:tc>
      </w:tr>
      <w:tr w:rsidR="00DB28BF" w:rsidRPr="0043324F" w14:paraId="0BD7F887" w14:textId="77777777" w:rsidTr="0043324F">
        <w:trPr>
          <w:trHeight w:val="292"/>
        </w:trPr>
        <w:tc>
          <w:tcPr>
            <w:tcW w:w="1672" w:type="dxa"/>
          </w:tcPr>
          <w:p w14:paraId="7BCB1462" w14:textId="77777777" w:rsidR="00DB28BF" w:rsidRPr="0043324F" w:rsidRDefault="00DB28BF" w:rsidP="00334E9C">
            <w:pPr>
              <w:rPr>
                <w:rFonts w:ascii="Times New Roman" w:hAnsi="Times New Roman" w:cs="Times New Roman"/>
              </w:rPr>
            </w:pPr>
          </w:p>
        </w:tc>
        <w:tc>
          <w:tcPr>
            <w:tcW w:w="2035" w:type="dxa"/>
          </w:tcPr>
          <w:p w14:paraId="38D9DB87"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Higher Secondary+</w:t>
            </w:r>
          </w:p>
        </w:tc>
        <w:tc>
          <w:tcPr>
            <w:tcW w:w="1630" w:type="dxa"/>
          </w:tcPr>
          <w:p w14:paraId="18C7A17D"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1.53</w:t>
            </w:r>
          </w:p>
        </w:tc>
        <w:tc>
          <w:tcPr>
            <w:tcW w:w="1685" w:type="dxa"/>
          </w:tcPr>
          <w:p w14:paraId="3D8AEAEA"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(1.25, 1.88)</w:t>
            </w:r>
          </w:p>
        </w:tc>
        <w:tc>
          <w:tcPr>
            <w:tcW w:w="1646" w:type="dxa"/>
          </w:tcPr>
          <w:p w14:paraId="1562D6D2"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&lt;0.001</w:t>
            </w:r>
          </w:p>
        </w:tc>
      </w:tr>
      <w:tr w:rsidR="00DB28BF" w:rsidRPr="0043324F" w14:paraId="223C9B39" w14:textId="77777777" w:rsidTr="0043324F">
        <w:trPr>
          <w:trHeight w:val="488"/>
        </w:trPr>
        <w:tc>
          <w:tcPr>
            <w:tcW w:w="1672" w:type="dxa"/>
          </w:tcPr>
          <w:p w14:paraId="77661C65"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Marital status</w:t>
            </w:r>
          </w:p>
        </w:tc>
        <w:tc>
          <w:tcPr>
            <w:tcW w:w="2035" w:type="dxa"/>
          </w:tcPr>
          <w:p w14:paraId="235C483A"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Widowed/Divorced (reference)</w:t>
            </w:r>
          </w:p>
        </w:tc>
        <w:tc>
          <w:tcPr>
            <w:tcW w:w="1630" w:type="dxa"/>
          </w:tcPr>
          <w:p w14:paraId="264BA486" w14:textId="707F1367" w:rsidR="00DB28BF" w:rsidRPr="0043324F" w:rsidRDefault="00DB28BF" w:rsidP="00334E9C">
            <w:pPr>
              <w:rPr>
                <w:rFonts w:ascii="Times New Roman" w:hAnsi="Times New Roman" w:cs="Times New Roman"/>
              </w:rPr>
            </w:pPr>
            <w:r w:rsidRPr="0043324F">
              <w:rPr>
                <w:rFonts w:ascii="Times New Roman" w:hAnsi="Times New Roman" w:cs="Times New Roman"/>
              </w:rPr>
              <w:t>1</w:t>
            </w:r>
            <w:r w:rsidRPr="0043324F">
              <w:rPr>
                <w:rFonts w:ascii="Times New Roman" w:hAnsi="Times New Roman" w:cs="Times New Roman"/>
              </w:rPr>
              <w:t>.00</w:t>
            </w:r>
          </w:p>
        </w:tc>
        <w:tc>
          <w:tcPr>
            <w:tcW w:w="1685" w:type="dxa"/>
          </w:tcPr>
          <w:p w14:paraId="3EF37F26" w14:textId="336048D5" w:rsidR="00DB28BF" w:rsidRPr="0043324F" w:rsidRDefault="00DB28BF" w:rsidP="00334E9C">
            <w:pPr>
              <w:rPr>
                <w:rFonts w:ascii="Times New Roman" w:hAnsi="Times New Roman" w:cs="Times New Roman"/>
              </w:rPr>
            </w:pPr>
          </w:p>
        </w:tc>
        <w:tc>
          <w:tcPr>
            <w:tcW w:w="1646" w:type="dxa"/>
          </w:tcPr>
          <w:p w14:paraId="1E619FCF" w14:textId="1CC7ADB9" w:rsidR="00DB28BF" w:rsidRPr="0043324F" w:rsidRDefault="00DB28BF" w:rsidP="00334E9C">
            <w:pPr>
              <w:rPr>
                <w:rFonts w:ascii="Times New Roman" w:hAnsi="Times New Roman" w:cs="Times New Roman"/>
              </w:rPr>
            </w:pPr>
          </w:p>
        </w:tc>
      </w:tr>
      <w:tr w:rsidR="00DB28BF" w:rsidRPr="0043324F" w14:paraId="2E38AD2B" w14:textId="77777777" w:rsidTr="0043324F">
        <w:trPr>
          <w:trHeight w:val="292"/>
        </w:trPr>
        <w:tc>
          <w:tcPr>
            <w:tcW w:w="1672" w:type="dxa"/>
          </w:tcPr>
          <w:p w14:paraId="0A1B9714" w14:textId="77777777" w:rsidR="00DB28BF" w:rsidRPr="0043324F" w:rsidRDefault="00DB28BF" w:rsidP="00334E9C">
            <w:pPr>
              <w:rPr>
                <w:rFonts w:ascii="Times New Roman" w:hAnsi="Times New Roman" w:cs="Times New Roman"/>
              </w:rPr>
            </w:pPr>
          </w:p>
        </w:tc>
        <w:tc>
          <w:tcPr>
            <w:tcW w:w="2035" w:type="dxa"/>
          </w:tcPr>
          <w:p w14:paraId="5F7F84AC"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Currently married</w:t>
            </w:r>
          </w:p>
        </w:tc>
        <w:tc>
          <w:tcPr>
            <w:tcW w:w="1630" w:type="dxa"/>
          </w:tcPr>
          <w:p w14:paraId="3A11B358"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1.15</w:t>
            </w:r>
          </w:p>
        </w:tc>
        <w:tc>
          <w:tcPr>
            <w:tcW w:w="1685" w:type="dxa"/>
          </w:tcPr>
          <w:p w14:paraId="541A1048"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(1.03, 1.28)</w:t>
            </w:r>
          </w:p>
        </w:tc>
        <w:tc>
          <w:tcPr>
            <w:tcW w:w="1646" w:type="dxa"/>
          </w:tcPr>
          <w:p w14:paraId="06EF87C8"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0.012</w:t>
            </w:r>
          </w:p>
        </w:tc>
      </w:tr>
      <w:tr w:rsidR="00DB28BF" w:rsidRPr="0043324F" w14:paraId="10C2823D" w14:textId="77777777" w:rsidTr="0043324F">
        <w:trPr>
          <w:trHeight w:val="292"/>
        </w:trPr>
        <w:tc>
          <w:tcPr>
            <w:tcW w:w="1672" w:type="dxa"/>
          </w:tcPr>
          <w:p w14:paraId="4F581639"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Religion</w:t>
            </w:r>
          </w:p>
        </w:tc>
        <w:tc>
          <w:tcPr>
            <w:tcW w:w="2035" w:type="dxa"/>
          </w:tcPr>
          <w:p w14:paraId="01596D1D"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Hindu (reference)</w:t>
            </w:r>
          </w:p>
        </w:tc>
        <w:tc>
          <w:tcPr>
            <w:tcW w:w="1630" w:type="dxa"/>
          </w:tcPr>
          <w:p w14:paraId="5EBBB44B" w14:textId="01D8360D" w:rsidR="00DB28BF" w:rsidRPr="0043324F" w:rsidRDefault="00DB28BF" w:rsidP="00334E9C">
            <w:pPr>
              <w:rPr>
                <w:rFonts w:ascii="Times New Roman" w:hAnsi="Times New Roman" w:cs="Times New Roman"/>
              </w:rPr>
            </w:pPr>
            <w:r w:rsidRPr="0043324F">
              <w:rPr>
                <w:rFonts w:ascii="Times New Roman" w:hAnsi="Times New Roman" w:cs="Times New Roman"/>
              </w:rPr>
              <w:t>1</w:t>
            </w:r>
            <w:r w:rsidRPr="0043324F">
              <w:rPr>
                <w:rFonts w:ascii="Times New Roman" w:hAnsi="Times New Roman" w:cs="Times New Roman"/>
              </w:rPr>
              <w:t>.00</w:t>
            </w:r>
          </w:p>
        </w:tc>
        <w:tc>
          <w:tcPr>
            <w:tcW w:w="1685" w:type="dxa"/>
          </w:tcPr>
          <w:p w14:paraId="62009B61" w14:textId="2DBD8215" w:rsidR="00DB28BF" w:rsidRPr="0043324F" w:rsidRDefault="00DB28BF" w:rsidP="00334E9C">
            <w:pPr>
              <w:rPr>
                <w:rFonts w:ascii="Times New Roman" w:hAnsi="Times New Roman" w:cs="Times New Roman"/>
              </w:rPr>
            </w:pPr>
          </w:p>
        </w:tc>
        <w:tc>
          <w:tcPr>
            <w:tcW w:w="1646" w:type="dxa"/>
          </w:tcPr>
          <w:p w14:paraId="4C55C063" w14:textId="5A34204A" w:rsidR="00DB28BF" w:rsidRPr="0043324F" w:rsidRDefault="00DB28BF" w:rsidP="00334E9C">
            <w:pPr>
              <w:rPr>
                <w:rFonts w:ascii="Times New Roman" w:hAnsi="Times New Roman" w:cs="Times New Roman"/>
              </w:rPr>
            </w:pPr>
          </w:p>
        </w:tc>
      </w:tr>
      <w:tr w:rsidR="00DB28BF" w:rsidRPr="0043324F" w14:paraId="2A2ACD24" w14:textId="77777777" w:rsidTr="0043324F">
        <w:trPr>
          <w:trHeight w:val="292"/>
        </w:trPr>
        <w:tc>
          <w:tcPr>
            <w:tcW w:w="1672" w:type="dxa"/>
          </w:tcPr>
          <w:p w14:paraId="110B23B2" w14:textId="77777777" w:rsidR="00DB28BF" w:rsidRPr="0043324F" w:rsidRDefault="00DB28BF" w:rsidP="00334E9C">
            <w:pPr>
              <w:rPr>
                <w:rFonts w:ascii="Times New Roman" w:hAnsi="Times New Roman" w:cs="Times New Roman"/>
              </w:rPr>
            </w:pPr>
          </w:p>
        </w:tc>
        <w:tc>
          <w:tcPr>
            <w:tcW w:w="2035" w:type="dxa"/>
          </w:tcPr>
          <w:p w14:paraId="73652CB7"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Muslim</w:t>
            </w:r>
          </w:p>
        </w:tc>
        <w:tc>
          <w:tcPr>
            <w:tcW w:w="1630" w:type="dxa"/>
          </w:tcPr>
          <w:p w14:paraId="0B716C82"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0.87</w:t>
            </w:r>
          </w:p>
        </w:tc>
        <w:tc>
          <w:tcPr>
            <w:tcW w:w="1685" w:type="dxa"/>
          </w:tcPr>
          <w:p w14:paraId="195C6CCE"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(0.74, 1.02)</w:t>
            </w:r>
          </w:p>
        </w:tc>
        <w:tc>
          <w:tcPr>
            <w:tcW w:w="1646" w:type="dxa"/>
          </w:tcPr>
          <w:p w14:paraId="09C6C972"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0.087</w:t>
            </w:r>
          </w:p>
        </w:tc>
      </w:tr>
      <w:tr w:rsidR="00DB28BF" w:rsidRPr="0043324F" w14:paraId="69EEE1F7" w14:textId="77777777" w:rsidTr="0043324F">
        <w:trPr>
          <w:trHeight w:val="292"/>
        </w:trPr>
        <w:tc>
          <w:tcPr>
            <w:tcW w:w="1672" w:type="dxa"/>
          </w:tcPr>
          <w:p w14:paraId="470CB6CB" w14:textId="77777777" w:rsidR="00DB28BF" w:rsidRPr="0043324F" w:rsidRDefault="00DB28BF" w:rsidP="00334E9C">
            <w:pPr>
              <w:rPr>
                <w:rFonts w:ascii="Times New Roman" w:hAnsi="Times New Roman" w:cs="Times New Roman"/>
              </w:rPr>
            </w:pPr>
          </w:p>
        </w:tc>
        <w:tc>
          <w:tcPr>
            <w:tcW w:w="2035" w:type="dxa"/>
          </w:tcPr>
          <w:p w14:paraId="4DCD65FB"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Christian</w:t>
            </w:r>
          </w:p>
        </w:tc>
        <w:tc>
          <w:tcPr>
            <w:tcW w:w="1630" w:type="dxa"/>
          </w:tcPr>
          <w:p w14:paraId="5BCE3F06"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0.96</w:t>
            </w:r>
          </w:p>
        </w:tc>
        <w:tc>
          <w:tcPr>
            <w:tcW w:w="1685" w:type="dxa"/>
          </w:tcPr>
          <w:p w14:paraId="1254B827"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(0.81, 1.14)</w:t>
            </w:r>
          </w:p>
        </w:tc>
        <w:tc>
          <w:tcPr>
            <w:tcW w:w="1646" w:type="dxa"/>
          </w:tcPr>
          <w:p w14:paraId="57296404"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0.629</w:t>
            </w:r>
          </w:p>
        </w:tc>
      </w:tr>
      <w:tr w:rsidR="00DB28BF" w:rsidRPr="0043324F" w14:paraId="7CE3A5B4" w14:textId="77777777" w:rsidTr="0043324F">
        <w:trPr>
          <w:trHeight w:val="292"/>
        </w:trPr>
        <w:tc>
          <w:tcPr>
            <w:tcW w:w="1672" w:type="dxa"/>
          </w:tcPr>
          <w:p w14:paraId="0C5FABE2" w14:textId="77777777" w:rsidR="00DB28BF" w:rsidRPr="0043324F" w:rsidRDefault="00DB28BF" w:rsidP="00334E9C">
            <w:pPr>
              <w:rPr>
                <w:rFonts w:ascii="Times New Roman" w:hAnsi="Times New Roman" w:cs="Times New Roman"/>
              </w:rPr>
            </w:pPr>
          </w:p>
        </w:tc>
        <w:tc>
          <w:tcPr>
            <w:tcW w:w="2035" w:type="dxa"/>
          </w:tcPr>
          <w:p w14:paraId="4D51A6D6"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Others</w:t>
            </w:r>
          </w:p>
        </w:tc>
        <w:tc>
          <w:tcPr>
            <w:tcW w:w="1630" w:type="dxa"/>
          </w:tcPr>
          <w:p w14:paraId="507A4040"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1.15</w:t>
            </w:r>
          </w:p>
        </w:tc>
        <w:tc>
          <w:tcPr>
            <w:tcW w:w="1685" w:type="dxa"/>
          </w:tcPr>
          <w:p w14:paraId="7CFFAF4A"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(0.93, 1.41)</w:t>
            </w:r>
          </w:p>
        </w:tc>
        <w:tc>
          <w:tcPr>
            <w:tcW w:w="1646" w:type="dxa"/>
          </w:tcPr>
          <w:p w14:paraId="77F49421"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0.199</w:t>
            </w:r>
          </w:p>
        </w:tc>
      </w:tr>
      <w:tr w:rsidR="00DB28BF" w:rsidRPr="0043324F" w14:paraId="1EBE9B54" w14:textId="77777777" w:rsidTr="0043324F">
        <w:trPr>
          <w:trHeight w:val="292"/>
        </w:trPr>
        <w:tc>
          <w:tcPr>
            <w:tcW w:w="1672" w:type="dxa"/>
          </w:tcPr>
          <w:p w14:paraId="4458E400"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Caste category</w:t>
            </w:r>
          </w:p>
        </w:tc>
        <w:tc>
          <w:tcPr>
            <w:tcW w:w="2035" w:type="dxa"/>
          </w:tcPr>
          <w:p w14:paraId="212FA659"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SC/ST (reference)</w:t>
            </w:r>
          </w:p>
        </w:tc>
        <w:tc>
          <w:tcPr>
            <w:tcW w:w="1630" w:type="dxa"/>
          </w:tcPr>
          <w:p w14:paraId="3C0D6FB6" w14:textId="2BCE87BE" w:rsidR="00DB28BF" w:rsidRPr="0043324F" w:rsidRDefault="00DB28BF" w:rsidP="00334E9C">
            <w:pPr>
              <w:rPr>
                <w:rFonts w:ascii="Times New Roman" w:hAnsi="Times New Roman" w:cs="Times New Roman"/>
              </w:rPr>
            </w:pPr>
            <w:r w:rsidRPr="0043324F">
              <w:rPr>
                <w:rFonts w:ascii="Times New Roman" w:hAnsi="Times New Roman" w:cs="Times New Roman"/>
              </w:rPr>
              <w:t>1</w:t>
            </w:r>
            <w:r w:rsidRPr="0043324F">
              <w:rPr>
                <w:rFonts w:ascii="Times New Roman" w:hAnsi="Times New Roman" w:cs="Times New Roman"/>
              </w:rPr>
              <w:t>.00</w:t>
            </w:r>
          </w:p>
        </w:tc>
        <w:tc>
          <w:tcPr>
            <w:tcW w:w="1685" w:type="dxa"/>
          </w:tcPr>
          <w:p w14:paraId="6A83689D" w14:textId="2E9BE56E" w:rsidR="00DB28BF" w:rsidRPr="0043324F" w:rsidRDefault="00DB28BF" w:rsidP="00334E9C">
            <w:pPr>
              <w:rPr>
                <w:rFonts w:ascii="Times New Roman" w:hAnsi="Times New Roman" w:cs="Times New Roman"/>
              </w:rPr>
            </w:pPr>
          </w:p>
        </w:tc>
        <w:tc>
          <w:tcPr>
            <w:tcW w:w="1646" w:type="dxa"/>
          </w:tcPr>
          <w:p w14:paraId="4E514486" w14:textId="2B27BD74" w:rsidR="00DB28BF" w:rsidRPr="0043324F" w:rsidRDefault="00DB28BF" w:rsidP="00334E9C">
            <w:pPr>
              <w:rPr>
                <w:rFonts w:ascii="Times New Roman" w:hAnsi="Times New Roman" w:cs="Times New Roman"/>
              </w:rPr>
            </w:pPr>
          </w:p>
        </w:tc>
      </w:tr>
      <w:tr w:rsidR="00DB28BF" w:rsidRPr="0043324F" w14:paraId="53CDE88E" w14:textId="77777777" w:rsidTr="0043324F">
        <w:trPr>
          <w:trHeight w:val="292"/>
        </w:trPr>
        <w:tc>
          <w:tcPr>
            <w:tcW w:w="1672" w:type="dxa"/>
          </w:tcPr>
          <w:p w14:paraId="1159A668" w14:textId="77777777" w:rsidR="00DB28BF" w:rsidRPr="0043324F" w:rsidRDefault="00DB28BF" w:rsidP="00334E9C">
            <w:pPr>
              <w:rPr>
                <w:rFonts w:ascii="Times New Roman" w:hAnsi="Times New Roman" w:cs="Times New Roman"/>
              </w:rPr>
            </w:pPr>
          </w:p>
        </w:tc>
        <w:tc>
          <w:tcPr>
            <w:tcW w:w="2035" w:type="dxa"/>
          </w:tcPr>
          <w:p w14:paraId="3751A2CC"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OBC</w:t>
            </w:r>
          </w:p>
        </w:tc>
        <w:tc>
          <w:tcPr>
            <w:tcW w:w="1630" w:type="dxa"/>
          </w:tcPr>
          <w:p w14:paraId="51DF3CBB"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1.04</w:t>
            </w:r>
          </w:p>
        </w:tc>
        <w:tc>
          <w:tcPr>
            <w:tcW w:w="1685" w:type="dxa"/>
          </w:tcPr>
          <w:p w14:paraId="7C29BCDA"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(0.92, 1.17)</w:t>
            </w:r>
          </w:p>
        </w:tc>
        <w:tc>
          <w:tcPr>
            <w:tcW w:w="1646" w:type="dxa"/>
          </w:tcPr>
          <w:p w14:paraId="683EFF1D"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0.507</w:t>
            </w:r>
          </w:p>
        </w:tc>
      </w:tr>
      <w:tr w:rsidR="00DB28BF" w:rsidRPr="0043324F" w14:paraId="07EDE609" w14:textId="77777777" w:rsidTr="0043324F">
        <w:trPr>
          <w:trHeight w:val="292"/>
        </w:trPr>
        <w:tc>
          <w:tcPr>
            <w:tcW w:w="1672" w:type="dxa"/>
          </w:tcPr>
          <w:p w14:paraId="1D5F7471" w14:textId="77777777" w:rsidR="00DB28BF" w:rsidRPr="0043324F" w:rsidRDefault="00DB28BF" w:rsidP="00334E9C">
            <w:pPr>
              <w:rPr>
                <w:rFonts w:ascii="Times New Roman" w:hAnsi="Times New Roman" w:cs="Times New Roman"/>
              </w:rPr>
            </w:pPr>
          </w:p>
        </w:tc>
        <w:tc>
          <w:tcPr>
            <w:tcW w:w="2035" w:type="dxa"/>
          </w:tcPr>
          <w:p w14:paraId="7202D942"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General/Other</w:t>
            </w:r>
          </w:p>
        </w:tc>
        <w:tc>
          <w:tcPr>
            <w:tcW w:w="1630" w:type="dxa"/>
          </w:tcPr>
          <w:p w14:paraId="72559A61"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0.75</w:t>
            </w:r>
          </w:p>
        </w:tc>
        <w:tc>
          <w:tcPr>
            <w:tcW w:w="1685" w:type="dxa"/>
          </w:tcPr>
          <w:p w14:paraId="59108089"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(0.57, 0.98)</w:t>
            </w:r>
          </w:p>
        </w:tc>
        <w:tc>
          <w:tcPr>
            <w:tcW w:w="1646" w:type="dxa"/>
          </w:tcPr>
          <w:p w14:paraId="691FE700"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0.037</w:t>
            </w:r>
          </w:p>
        </w:tc>
      </w:tr>
      <w:tr w:rsidR="00DB28BF" w:rsidRPr="0043324F" w14:paraId="24DBDF8F" w14:textId="77777777" w:rsidTr="0043324F">
        <w:trPr>
          <w:trHeight w:val="488"/>
        </w:trPr>
        <w:tc>
          <w:tcPr>
            <w:tcW w:w="1672" w:type="dxa"/>
          </w:tcPr>
          <w:p w14:paraId="4C9EA47C"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Current smoking</w:t>
            </w:r>
          </w:p>
        </w:tc>
        <w:tc>
          <w:tcPr>
            <w:tcW w:w="2035" w:type="dxa"/>
          </w:tcPr>
          <w:p w14:paraId="7D19123E"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No (reference)</w:t>
            </w:r>
          </w:p>
        </w:tc>
        <w:tc>
          <w:tcPr>
            <w:tcW w:w="1630" w:type="dxa"/>
          </w:tcPr>
          <w:p w14:paraId="45DDD5A0" w14:textId="66D422A2" w:rsidR="00DB28BF" w:rsidRPr="0043324F" w:rsidRDefault="00DB28BF" w:rsidP="00334E9C">
            <w:pPr>
              <w:rPr>
                <w:rFonts w:ascii="Times New Roman" w:hAnsi="Times New Roman" w:cs="Times New Roman"/>
              </w:rPr>
            </w:pPr>
            <w:r w:rsidRPr="0043324F">
              <w:rPr>
                <w:rFonts w:ascii="Times New Roman" w:hAnsi="Times New Roman" w:cs="Times New Roman"/>
              </w:rPr>
              <w:t>1</w:t>
            </w:r>
            <w:r w:rsidRPr="0043324F">
              <w:rPr>
                <w:rFonts w:ascii="Times New Roman" w:hAnsi="Times New Roman" w:cs="Times New Roman"/>
              </w:rPr>
              <w:t>.00</w:t>
            </w:r>
          </w:p>
        </w:tc>
        <w:tc>
          <w:tcPr>
            <w:tcW w:w="1685" w:type="dxa"/>
          </w:tcPr>
          <w:p w14:paraId="6A5933C3" w14:textId="56BE5D50" w:rsidR="00DB28BF" w:rsidRPr="0043324F" w:rsidRDefault="00DB28BF" w:rsidP="00334E9C">
            <w:pPr>
              <w:rPr>
                <w:rFonts w:ascii="Times New Roman" w:hAnsi="Times New Roman" w:cs="Times New Roman"/>
              </w:rPr>
            </w:pPr>
          </w:p>
        </w:tc>
        <w:tc>
          <w:tcPr>
            <w:tcW w:w="1646" w:type="dxa"/>
          </w:tcPr>
          <w:p w14:paraId="7B23BB78" w14:textId="600E999B" w:rsidR="00DB28BF" w:rsidRPr="0043324F" w:rsidRDefault="00DB28BF" w:rsidP="00334E9C">
            <w:pPr>
              <w:rPr>
                <w:rFonts w:ascii="Times New Roman" w:hAnsi="Times New Roman" w:cs="Times New Roman"/>
              </w:rPr>
            </w:pPr>
          </w:p>
        </w:tc>
      </w:tr>
      <w:tr w:rsidR="00DB28BF" w:rsidRPr="0043324F" w14:paraId="2A5221A6" w14:textId="77777777" w:rsidTr="0043324F">
        <w:trPr>
          <w:trHeight w:val="292"/>
        </w:trPr>
        <w:tc>
          <w:tcPr>
            <w:tcW w:w="1672" w:type="dxa"/>
          </w:tcPr>
          <w:p w14:paraId="221C3942" w14:textId="77777777" w:rsidR="00DB28BF" w:rsidRPr="0043324F" w:rsidRDefault="00DB28BF" w:rsidP="00334E9C">
            <w:pPr>
              <w:rPr>
                <w:rFonts w:ascii="Times New Roman" w:hAnsi="Times New Roman" w:cs="Times New Roman"/>
              </w:rPr>
            </w:pPr>
          </w:p>
        </w:tc>
        <w:tc>
          <w:tcPr>
            <w:tcW w:w="2035" w:type="dxa"/>
          </w:tcPr>
          <w:p w14:paraId="2FCD5751"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Yes</w:t>
            </w:r>
          </w:p>
        </w:tc>
        <w:tc>
          <w:tcPr>
            <w:tcW w:w="1630" w:type="dxa"/>
          </w:tcPr>
          <w:p w14:paraId="739B9D0F"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1.12</w:t>
            </w:r>
          </w:p>
        </w:tc>
        <w:tc>
          <w:tcPr>
            <w:tcW w:w="1685" w:type="dxa"/>
          </w:tcPr>
          <w:p w14:paraId="33E53219"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(0.99, 1.28)</w:t>
            </w:r>
          </w:p>
        </w:tc>
        <w:tc>
          <w:tcPr>
            <w:tcW w:w="1646" w:type="dxa"/>
          </w:tcPr>
          <w:p w14:paraId="7ABFC76A"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0.076</w:t>
            </w:r>
          </w:p>
        </w:tc>
      </w:tr>
      <w:tr w:rsidR="00DB28BF" w:rsidRPr="0043324F" w14:paraId="034B0BF8" w14:textId="77777777" w:rsidTr="0043324F">
        <w:trPr>
          <w:trHeight w:val="292"/>
        </w:trPr>
        <w:tc>
          <w:tcPr>
            <w:tcW w:w="1672" w:type="dxa"/>
          </w:tcPr>
          <w:p w14:paraId="2BE1A5C3"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Alcohol use</w:t>
            </w:r>
          </w:p>
        </w:tc>
        <w:tc>
          <w:tcPr>
            <w:tcW w:w="2035" w:type="dxa"/>
          </w:tcPr>
          <w:p w14:paraId="0AA0F61F"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No (reference)</w:t>
            </w:r>
          </w:p>
        </w:tc>
        <w:tc>
          <w:tcPr>
            <w:tcW w:w="1630" w:type="dxa"/>
          </w:tcPr>
          <w:p w14:paraId="5C0EB34A" w14:textId="0544E09F" w:rsidR="00DB28BF" w:rsidRPr="0043324F" w:rsidRDefault="00DB28BF" w:rsidP="00334E9C">
            <w:pPr>
              <w:rPr>
                <w:rFonts w:ascii="Times New Roman" w:hAnsi="Times New Roman" w:cs="Times New Roman"/>
              </w:rPr>
            </w:pPr>
            <w:r w:rsidRPr="0043324F">
              <w:rPr>
                <w:rFonts w:ascii="Times New Roman" w:hAnsi="Times New Roman" w:cs="Times New Roman"/>
              </w:rPr>
              <w:t>1</w:t>
            </w:r>
            <w:r w:rsidRPr="0043324F">
              <w:rPr>
                <w:rFonts w:ascii="Times New Roman" w:hAnsi="Times New Roman" w:cs="Times New Roman"/>
              </w:rPr>
              <w:t>.00</w:t>
            </w:r>
          </w:p>
        </w:tc>
        <w:tc>
          <w:tcPr>
            <w:tcW w:w="1685" w:type="dxa"/>
          </w:tcPr>
          <w:p w14:paraId="3B010848" w14:textId="73A9DE34" w:rsidR="00DB28BF" w:rsidRPr="0043324F" w:rsidRDefault="00DB28BF" w:rsidP="00334E9C">
            <w:pPr>
              <w:rPr>
                <w:rFonts w:ascii="Times New Roman" w:hAnsi="Times New Roman" w:cs="Times New Roman"/>
              </w:rPr>
            </w:pPr>
          </w:p>
        </w:tc>
        <w:tc>
          <w:tcPr>
            <w:tcW w:w="1646" w:type="dxa"/>
          </w:tcPr>
          <w:p w14:paraId="31A7894D" w14:textId="61437344" w:rsidR="00DB28BF" w:rsidRPr="0043324F" w:rsidRDefault="00DB28BF" w:rsidP="00334E9C">
            <w:pPr>
              <w:rPr>
                <w:rFonts w:ascii="Times New Roman" w:hAnsi="Times New Roman" w:cs="Times New Roman"/>
              </w:rPr>
            </w:pPr>
          </w:p>
        </w:tc>
      </w:tr>
      <w:tr w:rsidR="00DB28BF" w:rsidRPr="0043324F" w14:paraId="60FE878B" w14:textId="77777777" w:rsidTr="0043324F">
        <w:trPr>
          <w:trHeight w:val="292"/>
        </w:trPr>
        <w:tc>
          <w:tcPr>
            <w:tcW w:w="1672" w:type="dxa"/>
          </w:tcPr>
          <w:p w14:paraId="7116D706" w14:textId="77777777" w:rsidR="00DB28BF" w:rsidRPr="0043324F" w:rsidRDefault="00DB28BF" w:rsidP="00334E9C">
            <w:pPr>
              <w:rPr>
                <w:rFonts w:ascii="Times New Roman" w:hAnsi="Times New Roman" w:cs="Times New Roman"/>
              </w:rPr>
            </w:pPr>
          </w:p>
        </w:tc>
        <w:tc>
          <w:tcPr>
            <w:tcW w:w="2035" w:type="dxa"/>
          </w:tcPr>
          <w:p w14:paraId="1443E849"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Yes</w:t>
            </w:r>
          </w:p>
        </w:tc>
        <w:tc>
          <w:tcPr>
            <w:tcW w:w="1630" w:type="dxa"/>
          </w:tcPr>
          <w:p w14:paraId="0C3300AE"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0.82</w:t>
            </w:r>
          </w:p>
        </w:tc>
        <w:tc>
          <w:tcPr>
            <w:tcW w:w="1685" w:type="dxa"/>
          </w:tcPr>
          <w:p w14:paraId="1BADC39E"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(0.72, 0.94)</w:t>
            </w:r>
          </w:p>
        </w:tc>
        <w:tc>
          <w:tcPr>
            <w:tcW w:w="1646" w:type="dxa"/>
          </w:tcPr>
          <w:p w14:paraId="743644E9"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0.005</w:t>
            </w:r>
          </w:p>
        </w:tc>
      </w:tr>
      <w:tr w:rsidR="00DB28BF" w:rsidRPr="0043324F" w14:paraId="72486B66" w14:textId="77777777" w:rsidTr="0043324F">
        <w:trPr>
          <w:trHeight w:val="488"/>
        </w:trPr>
        <w:tc>
          <w:tcPr>
            <w:tcW w:w="1672" w:type="dxa"/>
          </w:tcPr>
          <w:p w14:paraId="1FA2C4BA"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Obesity</w:t>
            </w:r>
          </w:p>
        </w:tc>
        <w:tc>
          <w:tcPr>
            <w:tcW w:w="2035" w:type="dxa"/>
          </w:tcPr>
          <w:p w14:paraId="4261D642"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Non-obese (reference)</w:t>
            </w:r>
          </w:p>
        </w:tc>
        <w:tc>
          <w:tcPr>
            <w:tcW w:w="1630" w:type="dxa"/>
          </w:tcPr>
          <w:p w14:paraId="3E656EC7" w14:textId="3AA696DB" w:rsidR="00DB28BF" w:rsidRPr="0043324F" w:rsidRDefault="00DB28BF" w:rsidP="00334E9C">
            <w:pPr>
              <w:rPr>
                <w:rFonts w:ascii="Times New Roman" w:hAnsi="Times New Roman" w:cs="Times New Roman"/>
              </w:rPr>
            </w:pPr>
            <w:r w:rsidRPr="0043324F">
              <w:rPr>
                <w:rFonts w:ascii="Times New Roman" w:hAnsi="Times New Roman" w:cs="Times New Roman"/>
              </w:rPr>
              <w:t>1</w:t>
            </w:r>
            <w:r w:rsidR="0043324F" w:rsidRPr="0043324F">
              <w:rPr>
                <w:rFonts w:ascii="Times New Roman" w:hAnsi="Times New Roman" w:cs="Times New Roman"/>
              </w:rPr>
              <w:t>.00</w:t>
            </w:r>
          </w:p>
        </w:tc>
        <w:tc>
          <w:tcPr>
            <w:tcW w:w="1685" w:type="dxa"/>
          </w:tcPr>
          <w:p w14:paraId="5457A919" w14:textId="23F61EE9" w:rsidR="00DB28BF" w:rsidRPr="0043324F" w:rsidRDefault="00DB28BF" w:rsidP="00334E9C">
            <w:pPr>
              <w:rPr>
                <w:rFonts w:ascii="Times New Roman" w:hAnsi="Times New Roman" w:cs="Times New Roman"/>
              </w:rPr>
            </w:pPr>
          </w:p>
        </w:tc>
        <w:tc>
          <w:tcPr>
            <w:tcW w:w="1646" w:type="dxa"/>
          </w:tcPr>
          <w:p w14:paraId="41FF17FF" w14:textId="340C91D5" w:rsidR="00DB28BF" w:rsidRPr="0043324F" w:rsidRDefault="00DB28BF" w:rsidP="00334E9C">
            <w:pPr>
              <w:rPr>
                <w:rFonts w:ascii="Times New Roman" w:hAnsi="Times New Roman" w:cs="Times New Roman"/>
              </w:rPr>
            </w:pPr>
          </w:p>
        </w:tc>
      </w:tr>
      <w:tr w:rsidR="00DB28BF" w:rsidRPr="0043324F" w14:paraId="46299E3F" w14:textId="77777777" w:rsidTr="0043324F">
        <w:trPr>
          <w:trHeight w:val="292"/>
        </w:trPr>
        <w:tc>
          <w:tcPr>
            <w:tcW w:w="1672" w:type="dxa"/>
          </w:tcPr>
          <w:p w14:paraId="5F4D191F" w14:textId="77777777" w:rsidR="00DB28BF" w:rsidRPr="0043324F" w:rsidRDefault="00DB28BF" w:rsidP="00334E9C">
            <w:pPr>
              <w:rPr>
                <w:rFonts w:ascii="Times New Roman" w:hAnsi="Times New Roman" w:cs="Times New Roman"/>
              </w:rPr>
            </w:pPr>
          </w:p>
        </w:tc>
        <w:tc>
          <w:tcPr>
            <w:tcW w:w="2035" w:type="dxa"/>
          </w:tcPr>
          <w:p w14:paraId="2BC997D9"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Obese</w:t>
            </w:r>
          </w:p>
        </w:tc>
        <w:tc>
          <w:tcPr>
            <w:tcW w:w="1630" w:type="dxa"/>
          </w:tcPr>
          <w:p w14:paraId="6FD334A6"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1.08</w:t>
            </w:r>
          </w:p>
        </w:tc>
        <w:tc>
          <w:tcPr>
            <w:tcW w:w="1685" w:type="dxa"/>
          </w:tcPr>
          <w:p w14:paraId="1497B5D3"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(0.96, 1.23)</w:t>
            </w:r>
          </w:p>
        </w:tc>
        <w:tc>
          <w:tcPr>
            <w:tcW w:w="1646" w:type="dxa"/>
          </w:tcPr>
          <w:p w14:paraId="1B271A53" w14:textId="77777777" w:rsidR="00DB28BF" w:rsidRPr="0043324F" w:rsidRDefault="00DB28BF" w:rsidP="00334E9C">
            <w:pPr>
              <w:rPr>
                <w:rFonts w:ascii="Times New Roman" w:hAnsi="Times New Roman" w:cs="Times New Roman"/>
              </w:rPr>
            </w:pPr>
            <w:r w:rsidRPr="0043324F">
              <w:rPr>
                <w:rFonts w:ascii="Times New Roman" w:hAnsi="Times New Roman" w:cs="Times New Roman"/>
              </w:rPr>
              <w:t>0.209</w:t>
            </w:r>
          </w:p>
        </w:tc>
      </w:tr>
    </w:tbl>
    <w:p w14:paraId="027BC9BE" w14:textId="77777777" w:rsidR="0043324F" w:rsidRDefault="0043324F">
      <w:pPr>
        <w:rPr>
          <w:rFonts w:asciiTheme="majorBidi" w:hAnsiTheme="majorBidi" w:cstheme="majorBidi"/>
          <w:b/>
          <w:bCs/>
          <w:sz w:val="28"/>
          <w:szCs w:val="28"/>
        </w:rPr>
      </w:pPr>
    </w:p>
    <w:p w14:paraId="735B75D3" w14:textId="24BD0529" w:rsidR="006823C1" w:rsidRPr="00E92353" w:rsidRDefault="00F00F1B">
      <w:pPr>
        <w:rPr>
          <w:rFonts w:asciiTheme="majorBidi" w:hAnsiTheme="majorBidi" w:cstheme="majorBidi"/>
        </w:rPr>
      </w:pPr>
      <w:r w:rsidRPr="00E92353">
        <w:rPr>
          <w:rFonts w:asciiTheme="majorBidi" w:hAnsiTheme="majorBidi" w:cstheme="majorBidi"/>
          <w:b/>
          <w:bCs/>
          <w:sz w:val="28"/>
          <w:szCs w:val="28"/>
        </w:rPr>
        <w:t>Footnotes:</w:t>
      </w:r>
      <w:r w:rsidRPr="00E92353">
        <w:rPr>
          <w:rFonts w:asciiTheme="majorBidi" w:hAnsiTheme="majorBidi" w:cstheme="majorBidi"/>
        </w:rPr>
        <w:br/>
        <w:t>Ref = Reference category.</w:t>
      </w:r>
      <w:r w:rsidRPr="00E92353">
        <w:rPr>
          <w:rFonts w:asciiTheme="majorBidi" w:hAnsiTheme="majorBidi" w:cstheme="majorBidi"/>
        </w:rPr>
        <w:br/>
        <w:t>Reference categories: Age group (60–69 years); Place of residence (Rural); Gender (Male); Education (No education); Marital status (Widowed/Separated/Divorced/Others); Religion (Hindu); Caste (SC/ST); Current smoking (No); Alcohol use (No); Obesity (Not obese).</w:t>
      </w:r>
      <w:r w:rsidRPr="00E92353">
        <w:rPr>
          <w:rFonts w:asciiTheme="majorBidi" w:hAnsiTheme="majorBidi" w:cstheme="majorBidi"/>
        </w:rPr>
        <w:br/>
        <w:t>OR = Odds Ratio; CI = Confidence Interval.</w:t>
      </w:r>
      <w:r w:rsidR="006B2D3D" w:rsidRPr="00E92353">
        <w:rPr>
          <w:rFonts w:asciiTheme="majorBidi" w:hAnsiTheme="majorBidi" w:cstheme="majorBidi"/>
        </w:rPr>
        <w:t xml:space="preserve"> </w:t>
      </w:r>
      <w:r w:rsidRPr="00E92353">
        <w:rPr>
          <w:rFonts w:asciiTheme="majorBidi" w:hAnsiTheme="majorBidi" w:cstheme="majorBidi"/>
        </w:rPr>
        <w:t>Indicate statistical significance (p &lt; 0.05).</w:t>
      </w:r>
    </w:p>
    <w:p w14:paraId="16C41D3C" w14:textId="77777777" w:rsidR="00FC278B" w:rsidRPr="00E92353" w:rsidRDefault="00FC278B">
      <w:pPr>
        <w:rPr>
          <w:rFonts w:asciiTheme="majorBidi" w:hAnsiTheme="majorBidi" w:cstheme="majorBidi"/>
        </w:rPr>
      </w:pPr>
    </w:p>
    <w:sectPr w:rsidR="00FC278B" w:rsidRPr="00E92353" w:rsidSect="007807E5">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EE0FF" w14:textId="77777777" w:rsidR="00A1145B" w:rsidRDefault="00A1145B">
      <w:pPr>
        <w:spacing w:line="240" w:lineRule="auto"/>
      </w:pPr>
      <w:r>
        <w:separator/>
      </w:r>
    </w:p>
  </w:endnote>
  <w:endnote w:type="continuationSeparator" w:id="0">
    <w:p w14:paraId="43D7D253" w14:textId="77777777" w:rsidR="00A1145B" w:rsidRDefault="00A11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703716"/>
      <w:docPartObj>
        <w:docPartGallery w:val="Page Numbers (Bottom of Page)"/>
        <w:docPartUnique/>
      </w:docPartObj>
    </w:sdtPr>
    <w:sdtEndPr>
      <w:rPr>
        <w:noProof/>
      </w:rPr>
    </w:sdtEndPr>
    <w:sdtContent>
      <w:p w14:paraId="2582A15A" w14:textId="5A580054" w:rsidR="007807E5" w:rsidRDefault="007807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F4AD1" w14:textId="77777777" w:rsidR="007807E5" w:rsidRDefault="00780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E6EE8" w14:textId="77777777" w:rsidR="00A1145B" w:rsidRDefault="00A1145B">
      <w:pPr>
        <w:spacing w:after="0"/>
      </w:pPr>
      <w:r>
        <w:separator/>
      </w:r>
    </w:p>
  </w:footnote>
  <w:footnote w:type="continuationSeparator" w:id="0">
    <w:p w14:paraId="1D651CC3" w14:textId="77777777" w:rsidR="00A1145B" w:rsidRDefault="00A114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B435C"/>
    <w:multiLevelType w:val="multilevel"/>
    <w:tmpl w:val="8C9475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8253D8D"/>
    <w:multiLevelType w:val="multilevel"/>
    <w:tmpl w:val="19D2096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1BA4FC1"/>
    <w:multiLevelType w:val="multilevel"/>
    <w:tmpl w:val="B120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95124"/>
    <w:multiLevelType w:val="multilevel"/>
    <w:tmpl w:val="905205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6E284942"/>
    <w:multiLevelType w:val="hybridMultilevel"/>
    <w:tmpl w:val="80408DAA"/>
    <w:lvl w:ilvl="0" w:tplc="30CE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D5877"/>
    <w:multiLevelType w:val="multilevel"/>
    <w:tmpl w:val="DA7429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21773215">
    <w:abstractNumId w:val="2"/>
  </w:num>
  <w:num w:numId="2" w16cid:durableId="1514031737">
    <w:abstractNumId w:val="5"/>
  </w:num>
  <w:num w:numId="3" w16cid:durableId="1730609425">
    <w:abstractNumId w:val="3"/>
  </w:num>
  <w:num w:numId="4" w16cid:durableId="552277280">
    <w:abstractNumId w:val="1"/>
  </w:num>
  <w:num w:numId="5" w16cid:durableId="1761484644">
    <w:abstractNumId w:val="0"/>
  </w:num>
  <w:num w:numId="6" w16cid:durableId="985550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C91"/>
    <w:rsid w:val="00001C46"/>
    <w:rsid w:val="000318FB"/>
    <w:rsid w:val="000E4C0D"/>
    <w:rsid w:val="000F274E"/>
    <w:rsid w:val="000F333A"/>
    <w:rsid w:val="000F39D0"/>
    <w:rsid w:val="001022C3"/>
    <w:rsid w:val="00136F20"/>
    <w:rsid w:val="0017488B"/>
    <w:rsid w:val="001809F2"/>
    <w:rsid w:val="001D52E2"/>
    <w:rsid w:val="001F2276"/>
    <w:rsid w:val="0020632D"/>
    <w:rsid w:val="00206562"/>
    <w:rsid w:val="0024473C"/>
    <w:rsid w:val="00247909"/>
    <w:rsid w:val="00285D0D"/>
    <w:rsid w:val="00291E8D"/>
    <w:rsid w:val="002B71F8"/>
    <w:rsid w:val="002C34E5"/>
    <w:rsid w:val="002E2B22"/>
    <w:rsid w:val="0035269F"/>
    <w:rsid w:val="003E5BE3"/>
    <w:rsid w:val="003F2C91"/>
    <w:rsid w:val="0043324F"/>
    <w:rsid w:val="00454A4D"/>
    <w:rsid w:val="004E6A0B"/>
    <w:rsid w:val="00527E58"/>
    <w:rsid w:val="00566596"/>
    <w:rsid w:val="005931B0"/>
    <w:rsid w:val="005B0672"/>
    <w:rsid w:val="005C2344"/>
    <w:rsid w:val="00644BC9"/>
    <w:rsid w:val="006477DA"/>
    <w:rsid w:val="00662EE5"/>
    <w:rsid w:val="00681C06"/>
    <w:rsid w:val="006823C1"/>
    <w:rsid w:val="006B2D3D"/>
    <w:rsid w:val="00701C24"/>
    <w:rsid w:val="007020BE"/>
    <w:rsid w:val="007132C8"/>
    <w:rsid w:val="00713F98"/>
    <w:rsid w:val="00753A48"/>
    <w:rsid w:val="007807E5"/>
    <w:rsid w:val="007857CA"/>
    <w:rsid w:val="007C2F93"/>
    <w:rsid w:val="007E2389"/>
    <w:rsid w:val="007E5D6D"/>
    <w:rsid w:val="00881F1D"/>
    <w:rsid w:val="008B1BE1"/>
    <w:rsid w:val="008C41D0"/>
    <w:rsid w:val="008E585A"/>
    <w:rsid w:val="0099657F"/>
    <w:rsid w:val="009C3399"/>
    <w:rsid w:val="009F0293"/>
    <w:rsid w:val="00A01302"/>
    <w:rsid w:val="00A1145B"/>
    <w:rsid w:val="00A256F1"/>
    <w:rsid w:val="00A37595"/>
    <w:rsid w:val="00AF30AA"/>
    <w:rsid w:val="00B64609"/>
    <w:rsid w:val="00B83156"/>
    <w:rsid w:val="00B835D9"/>
    <w:rsid w:val="00BA17B6"/>
    <w:rsid w:val="00BB59B8"/>
    <w:rsid w:val="00BD749F"/>
    <w:rsid w:val="00BF4606"/>
    <w:rsid w:val="00BF4E1B"/>
    <w:rsid w:val="00C101DF"/>
    <w:rsid w:val="00C1231F"/>
    <w:rsid w:val="00C27391"/>
    <w:rsid w:val="00CA102A"/>
    <w:rsid w:val="00CE25BC"/>
    <w:rsid w:val="00D543B7"/>
    <w:rsid w:val="00D94580"/>
    <w:rsid w:val="00DB2800"/>
    <w:rsid w:val="00DB28BF"/>
    <w:rsid w:val="00DD6032"/>
    <w:rsid w:val="00DE5B2D"/>
    <w:rsid w:val="00DF7999"/>
    <w:rsid w:val="00E13E56"/>
    <w:rsid w:val="00E30364"/>
    <w:rsid w:val="00E473B3"/>
    <w:rsid w:val="00E6192B"/>
    <w:rsid w:val="00E822BE"/>
    <w:rsid w:val="00E92353"/>
    <w:rsid w:val="00F00F1B"/>
    <w:rsid w:val="00F10828"/>
    <w:rsid w:val="00F30F70"/>
    <w:rsid w:val="00F514FA"/>
    <w:rsid w:val="00F70AF6"/>
    <w:rsid w:val="00F8137B"/>
    <w:rsid w:val="00FC0E89"/>
    <w:rsid w:val="00FC278B"/>
    <w:rsid w:val="00FC32E3"/>
    <w:rsid w:val="0171202A"/>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C57205"/>
  <w15:docId w15:val="{B43A263E-6049-4535-9C0F-E0CAA3BF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rmalWeb">
    <w:name w:val="Normal (Web)"/>
    <w:basedOn w:val="Normal"/>
    <w:uiPriority w:val="99"/>
    <w:semiHidden/>
    <w:unhideWhenUsed/>
    <w:rsid w:val="00753A48"/>
    <w:rPr>
      <w:rFonts w:ascii="Times New Roman" w:hAnsi="Times New Roman" w:cs="Times New Roman"/>
    </w:rPr>
  </w:style>
  <w:style w:type="character" w:styleId="Hyperlink">
    <w:name w:val="Hyperlink"/>
    <w:basedOn w:val="DefaultParagraphFont"/>
    <w:uiPriority w:val="99"/>
    <w:unhideWhenUsed/>
    <w:rsid w:val="00FC32E3"/>
    <w:rPr>
      <w:color w:val="0563C1" w:themeColor="hyperlink"/>
      <w:u w:val="single"/>
    </w:rPr>
  </w:style>
  <w:style w:type="character" w:styleId="UnresolvedMention">
    <w:name w:val="Unresolved Mention"/>
    <w:basedOn w:val="DefaultParagraphFont"/>
    <w:uiPriority w:val="99"/>
    <w:semiHidden/>
    <w:unhideWhenUsed/>
    <w:rsid w:val="00FC32E3"/>
    <w:rPr>
      <w:color w:val="605E5C"/>
      <w:shd w:val="clear" w:color="auto" w:fill="E1DFDD"/>
    </w:rPr>
  </w:style>
  <w:style w:type="table" w:styleId="PlainTable5">
    <w:name w:val="Plain Table 5"/>
    <w:basedOn w:val="TableNormal"/>
    <w:uiPriority w:val="45"/>
    <w:rsid w:val="008C41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0E4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0E4C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780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7E5"/>
    <w:rPr>
      <w:kern w:val="2"/>
      <w:sz w:val="24"/>
      <w:szCs w:val="24"/>
      <w:lang w:eastAsia="en-US"/>
      <w14:ligatures w14:val="standardContextual"/>
    </w:rPr>
  </w:style>
  <w:style w:type="paragraph" w:styleId="Footer">
    <w:name w:val="footer"/>
    <w:basedOn w:val="Normal"/>
    <w:link w:val="FooterChar"/>
    <w:uiPriority w:val="99"/>
    <w:unhideWhenUsed/>
    <w:rsid w:val="00780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7E5"/>
    <w:rPr>
      <w:kern w:val="2"/>
      <w:sz w:val="24"/>
      <w:szCs w:val="24"/>
      <w:lang w:eastAsia="en-US"/>
      <w14:ligatures w14:val="standardContextual"/>
    </w:rPr>
  </w:style>
  <w:style w:type="table" w:styleId="PlainTable3">
    <w:name w:val="Plain Table 3"/>
    <w:basedOn w:val="TableNormal"/>
    <w:uiPriority w:val="43"/>
    <w:rsid w:val="00C1231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C123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C123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Light">
    <w:name w:val="Grid Table Light"/>
    <w:basedOn w:val="TableNormal"/>
    <w:uiPriority w:val="40"/>
    <w:rsid w:val="002C34E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S0140-6736(10)61894-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186/s12877-022-03634-y" TargetMode="External"/><Relationship Id="rId4" Type="http://schemas.openxmlformats.org/officeDocument/2006/relationships/settings" Target="settings.xml"/><Relationship Id="rId9" Type="http://schemas.openxmlformats.org/officeDocument/2006/relationships/hyperlink" Target="https://doi.org/10.21203/rs.3.rs-1544135/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BB33D-3152-4F93-A513-8E1E3349E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2938</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Narayanan</dc:creator>
  <cp:keywords/>
  <dc:description/>
  <cp:lastModifiedBy>Ragul S</cp:lastModifiedBy>
  <cp:revision>4</cp:revision>
  <dcterms:created xsi:type="dcterms:W3CDTF">2025-10-22T10:19:00Z</dcterms:created>
  <dcterms:modified xsi:type="dcterms:W3CDTF">2025-10-23T08:51:00Z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f8554a63-386f-4ce7-bffa-087be361b51d</vt:lpwstr>
  </property>
  <property fmtid="{D5CDD505-2E9C-101B-9397-08002B2CF9AE}" pid="3" name="KSOProductBuildVer">
    <vt:lpwstr>1033-12.2.0.21931</vt:lpwstr>
  </property>
  <property fmtid="{D5CDD505-2E9C-101B-9397-08002B2CF9AE}" pid="4" name="ICV">
    <vt:lpwstr>0B2A8C14603E4FCBB29B53872F199F64_12</vt:lpwstr>
  </property>
  <property fmtid="{D5CDD505-2E9C-101B-9397-08002B2CF9AE}" pid="5" name="Mendeley Document_1">
    <vt:lpwstr>True</vt:lpwstr>
  </property>
  <property fmtid="{D5CDD505-2E9C-101B-9397-08002B2CF9AE}" pid="6" name="Mendeley Unique User Id_1">
    <vt:lpwstr>da41df1c-5338-36b2-8a85-14aa10488e80</vt:lpwstr>
  </property>
  <property fmtid="{D5CDD505-2E9C-101B-9397-08002B2CF9AE}" pid="7" name="Mendeley Citation Style_1">
    <vt:lpwstr>http://www.zotero.org/styles/vancouver</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 11th edition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12th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9th edition</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