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Zuriel to finish up the use case diagram fixes today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Zuriel is also owning the final formatting and submission of the requirements section today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Danbi is creating the PowerPoint file, and everyone is responsible for talking about their report sections to fill time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 "extra" sections in the PPT not related to the report, we will split those up evenly so everyone has roughly equal speaking time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Follow-up call Sunday 3/22 to record video covering PPT, which means </w:t>
      </w:r>
      <w:r w:rsidDel="00000000" w:rsidR="00000000" w:rsidRPr="00000000">
        <w:rPr>
          <w:b w:val="1"/>
          <w:bCs w:val="1"/>
          <w:rtl w:val="0"/>
        </w:rPr>
        <w:t xml:space="preserve">the PPT needs to be complete by Sunday evening!!!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the langchain class when you can. It will be important to discuss architecture stuff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We are covering archiecture w/ Jaitun next meeting, so be prepared (we will talk about architecture before then, so having the </w:t>
      </w:r>
      <w:r w:rsidDel="00000000" w:rsidR="00000000" w:rsidRPr="00000000">
        <w:rPr>
          <w:strike w:val="1"/>
          <w:rtl w:val="0"/>
        </w:rPr>
        <w:t xml:space="preserve">video </w:t>
      </w:r>
      <w:r w:rsidDel="00000000" w:rsidR="00000000" w:rsidRPr="00000000">
        <w:rPr>
          <w:rtl w:val="0"/>
        </w:rPr>
        <w:t xml:space="preserve">langchain course done soon will help)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Enjoy your sprint break!!!!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