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from Zuriel: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AgWeatherNet Notes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Fallback strategy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Primary: AWN → Secondary: NWS → Final: AWN Forecast (AWNFC)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Ensures data availability if one source fails.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+ DB plan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Start with 15 minutes of data for stability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Expand to 5 min data where available (~365 stations)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Support: current, historical, forecast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 GB RAM upper bound, impacts model + infra choices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Query scope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Most queries = simple (current, historical, forecast via SQL)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Smaller portion = semantic or complex queries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Define % split to guide design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Retrieval approach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Hybrid system: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SQL for simple queries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RAG for complex queries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Note: MySQL 10.1.1 has no vector support, so vector search must be external or avoided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Storage plan (need decision)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AWN MySQL for structured data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Decide on vector DB (if using RAG)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Plan for caching, logging, and monitoring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Architecture slide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React UI → Backend → (SQL or RAG routing) → DB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optional vector store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fallback sources (NWS, AWNFC)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from Danbi: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- New table identified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client noted the existence of an additional table in the AgWeatherNet database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 name - awnfc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Pipeline architecture discussion: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client’s understanding of the proposed chatbot pipeline and its resource requirements: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Query Embedding for semantic search: Qwen3 Embed 4B Q8 - 4GB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Generation Model:  LLaMa 3.1 8B - 4.5 GB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Cache + framework overhead - 2.0 GB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Total 10.5 GB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Raised a concern about the cost of the full config for initial team testing purposes (Gavin explained that there is a feasible way)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documentation request: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client requested a document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solution approach assignment should be sufficient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