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6DA0">
      <w:pPr>
        <w:spacing w:after="40"/>
        <w:jc w:val="center"/>
        <w:rPr>
          <w:rFonts w:hint="default" w:ascii="Times New Roman" w:hAnsi="Times New Roman" w:cs="Times New Roman"/>
          <w:b/>
          <w:bCs w:val="0"/>
          <w:color w:val="auto"/>
          <w:sz w:val="32"/>
          <w:szCs w:val="32"/>
        </w:rPr>
      </w:pPr>
      <w:r>
        <w:rPr>
          <w:rFonts w:hint="default" w:ascii="Times New Roman" w:hAnsi="Times New Roman" w:cs="Times New Roman"/>
          <w:b/>
          <w:bCs w:val="0"/>
          <w:color w:val="auto"/>
          <w:sz w:val="32"/>
          <w:szCs w:val="32"/>
        </w:rPr>
        <w:t>SIMATS ENGINEERING</w:t>
      </w:r>
    </w:p>
    <w:p w14:paraId="30D81640">
      <w:pPr>
        <w:spacing w:after="40"/>
        <w:jc w:val="center"/>
        <w:rPr>
          <w:rFonts w:hint="default" w:ascii="Times New Roman" w:hAnsi="Times New Roman" w:cs="Times New Roman"/>
          <w:b/>
          <w:bCs w:val="0"/>
          <w:color w:val="auto"/>
          <w:sz w:val="32"/>
          <w:szCs w:val="32"/>
        </w:rPr>
      </w:pPr>
    </w:p>
    <w:p w14:paraId="2C19E62F">
      <w:pPr>
        <w:spacing w:after="360"/>
        <w:jc w:val="center"/>
        <w:rPr>
          <w:rFonts w:hint="default" w:ascii="Times New Roman" w:hAnsi="Times New Roman" w:cs="Times New Roman"/>
          <w:b/>
          <w:bCs w:val="0"/>
          <w:color w:val="auto"/>
          <w:sz w:val="32"/>
          <w:szCs w:val="32"/>
        </w:rPr>
      </w:pPr>
      <w:r>
        <w:rPr>
          <w:rFonts w:hint="default" w:ascii="Times New Roman" w:hAnsi="Times New Roman" w:cs="Times New Roman"/>
          <w:b/>
          <w:bCs w:val="0"/>
          <w:color w:val="auto"/>
          <w:sz w:val="32"/>
          <w:szCs w:val="32"/>
        </w:rPr>
        <w:t>DEPARTMENT OF COMPUTER SCIENCE &amp; ENGINEERING</w:t>
      </w:r>
    </w:p>
    <w:p w14:paraId="6430D7AF">
      <w:pPr>
        <w:spacing w:after="360"/>
        <w:jc w:val="center"/>
        <w:rPr>
          <w:rFonts w:hint="default" w:ascii="Times New Roman" w:hAnsi="Times New Roman" w:cs="Times New Roman"/>
          <w:b w:val="0"/>
          <w:bCs/>
          <w:color w:val="auto"/>
          <w:sz w:val="32"/>
          <w:szCs w:val="32"/>
        </w:rPr>
      </w:pPr>
      <w:r>
        <w:rPr>
          <w:rFonts w:hint="default" w:ascii="Times New Roman" w:hAnsi="Times New Roman" w:cs="Times New Roman"/>
          <w:b w:val="0"/>
          <w:bCs/>
          <w:color w:val="auto"/>
          <w:sz w:val="32"/>
          <w:szCs w:val="32"/>
        </w:rPr>
        <w:br w:type="textWrapping"/>
      </w:r>
      <w:r>
        <w:rPr>
          <w:rFonts w:hint="default" w:ascii="Times New Roman" w:hAnsi="Times New Roman" w:cs="Times New Roman"/>
          <w:b w:val="0"/>
          <w:bCs/>
          <w:color w:val="auto"/>
          <w:sz w:val="32"/>
          <w:szCs w:val="32"/>
        </w:rPr>
        <w:t>ASSESSMENT TOOL 2 — COURSE OUTCOME 3 (CO3)</w:t>
      </w:r>
    </w:p>
    <w:p w14:paraId="721C014D">
      <w:pPr>
        <w:spacing w:after="360"/>
        <w:jc w:val="center"/>
        <w:rPr>
          <w:rFonts w:hint="default" w:ascii="Times New Roman" w:hAnsi="Times New Roman" w:cs="Times New Roman"/>
          <w:b w:val="0"/>
          <w:bCs/>
          <w:color w:val="auto"/>
          <w:sz w:val="32"/>
          <w:szCs w:val="32"/>
        </w:rPr>
      </w:pPr>
      <w:r>
        <w:rPr>
          <w:rFonts w:hint="default" w:ascii="Times New Roman" w:hAnsi="Times New Roman" w:cs="Times New Roman"/>
          <w:b w:val="0"/>
          <w:bCs/>
          <w:color w:val="auto"/>
          <w:sz w:val="32"/>
          <w:szCs w:val="32"/>
        </w:rPr>
        <w:t xml:space="preserve">COURSE CODE: CSA51 </w:t>
      </w:r>
    </w:p>
    <w:p w14:paraId="7977B045">
      <w:pPr>
        <w:spacing w:after="360"/>
        <w:jc w:val="center"/>
        <w:rPr>
          <w:rFonts w:hint="default" w:ascii="Times New Roman" w:hAnsi="Times New Roman" w:cs="Times New Roman"/>
          <w:b w:val="0"/>
          <w:bCs/>
          <w:color w:val="auto"/>
          <w:sz w:val="32"/>
          <w:szCs w:val="32"/>
        </w:rPr>
      </w:pPr>
      <w:r>
        <w:rPr>
          <w:rFonts w:hint="default" w:ascii="Times New Roman" w:hAnsi="Times New Roman" w:cs="Times New Roman"/>
          <w:b w:val="0"/>
          <w:bCs/>
          <w:color w:val="auto"/>
          <w:sz w:val="32"/>
          <w:szCs w:val="32"/>
        </w:rPr>
        <w:t xml:space="preserve"> COURSE NAME: Cryptography and Network Security</w:t>
      </w:r>
    </w:p>
    <w:tbl>
      <w:tblPr>
        <w:tblStyle w:val="12"/>
        <w:tblW w:w="0" w:type="auto"/>
        <w:jc w:val="center"/>
        <w:tblLayout w:type="autofit"/>
        <w:tblCellMar>
          <w:top w:w="0" w:type="dxa"/>
          <w:left w:w="108" w:type="dxa"/>
          <w:bottom w:w="0" w:type="dxa"/>
          <w:right w:w="108" w:type="dxa"/>
        </w:tblCellMar>
      </w:tblPr>
      <w:tblGrid>
        <w:gridCol w:w="4680"/>
        <w:gridCol w:w="4680"/>
      </w:tblGrid>
      <w:tr w14:paraId="2727207A">
        <w:tblPrEx>
          <w:tblCellMar>
            <w:top w:w="0" w:type="dxa"/>
            <w:left w:w="108" w:type="dxa"/>
            <w:bottom w:w="0" w:type="dxa"/>
            <w:right w:w="108" w:type="dxa"/>
          </w:tblCellMar>
        </w:tblPrEx>
        <w:trPr>
          <w:jc w:val="center"/>
        </w:trPr>
        <w:tc>
          <w:tcPr>
            <w:tcW w:w="4680" w:type="dxa"/>
            <w:shd w:val="clear" w:color="auto" w:fill="F9FAFB"/>
            <w:tcMar>
              <w:top w:w="100" w:type="dxa"/>
              <w:left w:w="150" w:type="dxa"/>
              <w:bottom w:w="100" w:type="dxa"/>
              <w:right w:w="150" w:type="dxa"/>
            </w:tcMar>
          </w:tcPr>
          <w:p w14:paraId="5755408D">
            <w:pPr>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Course Outcome Covered: CO3 (BL4, BL5)</w:t>
            </w:r>
          </w:p>
        </w:tc>
        <w:tc>
          <w:tcPr>
            <w:tcW w:w="4680" w:type="dxa"/>
            <w:shd w:val="clear" w:color="auto" w:fill="F9FAFB"/>
            <w:tcMar>
              <w:top w:w="100" w:type="dxa"/>
              <w:left w:w="150" w:type="dxa"/>
              <w:bottom w:w="100" w:type="dxa"/>
              <w:right w:w="150" w:type="dxa"/>
            </w:tcMar>
          </w:tcPr>
          <w:p w14:paraId="19DA30E1">
            <w:pPr>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Weightage: 20% | Total Marks: 25</w:t>
            </w:r>
          </w:p>
        </w:tc>
      </w:tr>
      <w:tr w14:paraId="32492187">
        <w:tblPrEx>
          <w:tblCellMar>
            <w:top w:w="0" w:type="dxa"/>
            <w:left w:w="108" w:type="dxa"/>
            <w:bottom w:w="0" w:type="dxa"/>
            <w:right w:w="108" w:type="dxa"/>
          </w:tblCellMar>
        </w:tblPrEx>
        <w:trPr>
          <w:jc w:val="center"/>
        </w:trPr>
        <w:tc>
          <w:tcPr>
            <w:tcW w:w="4680" w:type="dxa"/>
            <w:shd w:val="clear" w:color="auto" w:fill="F9FAFB"/>
            <w:tcMar>
              <w:top w:w="100" w:type="dxa"/>
              <w:left w:w="150" w:type="dxa"/>
              <w:bottom w:w="100" w:type="dxa"/>
              <w:right w:w="150" w:type="dxa"/>
            </w:tcMar>
          </w:tcPr>
          <w:p w14:paraId="6701C24D">
            <w:pPr>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Student Name / Reg No: _</w:t>
            </w:r>
          </w:p>
          <w:p w14:paraId="0EA7959D">
            <w:pPr>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__</w:t>
            </w:r>
            <w:r>
              <w:rPr>
                <w:rFonts w:hint="default" w:ascii="Times New Roman" w:hAnsi="Times New Roman" w:cs="Times New Roman"/>
                <w:b w:val="0"/>
                <w:bCs/>
                <w:color w:val="auto"/>
                <w:sz w:val="28"/>
                <w:szCs w:val="28"/>
                <w:lang w:val="en-US"/>
              </w:rPr>
              <w:t>Grahaa Dipika (192565048)</w:t>
            </w:r>
            <w:r>
              <w:rPr>
                <w:rFonts w:hint="default" w:ascii="Times New Roman" w:hAnsi="Times New Roman" w:cs="Times New Roman"/>
                <w:b w:val="0"/>
                <w:bCs/>
                <w:color w:val="auto"/>
                <w:sz w:val="28"/>
                <w:szCs w:val="28"/>
              </w:rPr>
              <w:t>_</w:t>
            </w:r>
          </w:p>
        </w:tc>
        <w:tc>
          <w:tcPr>
            <w:tcW w:w="4680" w:type="dxa"/>
            <w:shd w:val="clear" w:color="auto" w:fill="F9FAFB"/>
            <w:tcMar>
              <w:top w:w="100" w:type="dxa"/>
              <w:left w:w="150" w:type="dxa"/>
              <w:bottom w:w="100" w:type="dxa"/>
              <w:right w:w="150" w:type="dxa"/>
            </w:tcMar>
          </w:tcPr>
          <w:p w14:paraId="4AFE7829">
            <w:pPr>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Signature: _</w:t>
            </w:r>
          </w:p>
          <w:p w14:paraId="3D285D12">
            <w:pPr>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lang w:val="en-US"/>
              </w:rPr>
              <w:t>Grahaa Dipika (192565048)</w:t>
            </w:r>
            <w:r>
              <w:rPr>
                <w:rFonts w:hint="default" w:ascii="Times New Roman" w:hAnsi="Times New Roman" w:cs="Times New Roman"/>
                <w:b w:val="0"/>
                <w:bCs/>
                <w:color w:val="auto"/>
                <w:sz w:val="28"/>
                <w:szCs w:val="28"/>
              </w:rPr>
              <w:t>_</w:t>
            </w:r>
          </w:p>
        </w:tc>
      </w:tr>
    </w:tbl>
    <w:p w14:paraId="3EDCFDFF">
      <w:pPr>
        <w:spacing w:after="240"/>
        <w:rPr>
          <w:rFonts w:hint="default" w:ascii="Times New Roman" w:hAnsi="Times New Roman" w:cs="Times New Roman"/>
          <w:b w:val="0"/>
          <w:bCs/>
          <w:color w:val="auto"/>
          <w:sz w:val="28"/>
          <w:szCs w:val="28"/>
        </w:rPr>
      </w:pPr>
    </w:p>
    <w:p w14:paraId="4D078300">
      <w:pPr>
        <w:spacing w:after="240"/>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t>CODE OF CONDUCT &amp; ACADEMIC INTEGRITY DECLARATION</w:t>
      </w:r>
      <w:r>
        <w:rPr>
          <w:rFonts w:hint="default" w:ascii="Times New Roman" w:hAnsi="Times New Roman" w:cs="Times New Roman"/>
          <w:b w:val="0"/>
          <w:bCs/>
          <w:color w:val="auto"/>
          <w:sz w:val="28"/>
          <w:szCs w:val="28"/>
        </w:rPr>
        <w:br w:type="textWrapping"/>
      </w:r>
      <w:r>
        <w:rPr>
          <w:rFonts w:hint="default" w:ascii="Times New Roman" w:hAnsi="Times New Roman" w:cs="Times New Roman"/>
          <w:b w:val="0"/>
          <w:bCs/>
          <w:i/>
          <w:color w:val="auto"/>
          <w:sz w:val="28"/>
          <w:szCs w:val="28"/>
        </w:rPr>
        <w:t>I certify that this submission is my original work and that I have adhered to the guidelines specified for this assessment. I understand that any violation of academic integrity rules will result in disciplinary action.</w:t>
      </w:r>
    </w:p>
    <w:p w14:paraId="70FADE40">
      <w:pPr>
        <w:rPr>
          <w:rFonts w:hint="default" w:ascii="Times New Roman" w:hAnsi="Times New Roman" w:cs="Times New Roman"/>
          <w:b w:val="0"/>
          <w:bCs/>
          <w:color w:val="auto"/>
          <w:sz w:val="28"/>
          <w:szCs w:val="28"/>
        </w:rPr>
      </w:pPr>
      <w:r>
        <w:rPr>
          <w:rFonts w:hint="default" w:ascii="Times New Roman" w:hAnsi="Times New Roman" w:cs="Times New Roman"/>
          <w:b w:val="0"/>
          <w:bCs/>
          <w:color w:val="auto"/>
          <w:sz w:val="28"/>
          <w:szCs w:val="28"/>
        </w:rPr>
        <w:br w:type="page"/>
      </w:r>
    </w:p>
    <w:p w14:paraId="7E7C9117">
      <w:pPr>
        <w:keepNext/>
        <w:spacing w:before="360" w:after="120"/>
        <w:rPr>
          <w:rFonts w:hint="default" w:ascii="Times New Roman" w:hAnsi="Times New Roman" w:cs="Times New Roman"/>
          <w:b/>
          <w:bCs w:val="0"/>
          <w:color w:val="auto"/>
          <w:sz w:val="22"/>
          <w:szCs w:val="22"/>
        </w:rPr>
      </w:pPr>
      <w:r>
        <w:rPr>
          <w:rFonts w:hint="default" w:ascii="Times New Roman" w:hAnsi="Times New Roman" w:cs="Times New Roman"/>
          <w:b/>
          <w:bCs w:val="0"/>
          <w:color w:val="auto"/>
          <w:sz w:val="22"/>
          <w:szCs w:val="22"/>
        </w:rPr>
        <w:t>Question 1: MD5 Vulnerabilities in Password Storage &amp; SHA-based Solutions</w:t>
      </w:r>
    </w:p>
    <w:p w14:paraId="33330EA7">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Scenario Statement: </w:t>
      </w:r>
    </w:p>
    <w:p w14:paraId="6ED9C58A">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A software company is using MD5 to store user passwords in its database. After a security breach, it is discovered that attackers were able to crack multiple passwords. Analyze the weaknesses of MD5 in this scenario and propose a more secure hashing approach using SHA-based techniques.</w:t>
      </w:r>
    </w:p>
    <w:p w14:paraId="7EB24549">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1. Analysis of MD5 Weaknesses in Password Storage</w:t>
      </w:r>
    </w:p>
    <w:p w14:paraId="7766A5AC">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Insufficient Digest Length &amp; High Hash Rate: </w:t>
      </w:r>
      <w:r>
        <w:rPr>
          <w:rFonts w:hint="default" w:ascii="Times New Roman" w:hAnsi="Times New Roman" w:cs="Times New Roman"/>
          <w:b w:val="0"/>
          <w:bCs/>
          <w:color w:val="auto"/>
          <w:sz w:val="22"/>
          <w:szCs w:val="22"/>
        </w:rPr>
        <w:t>MD5 produces a 128-bit hash value, which is far too small for modern computational standards. Standard desktop GPUs can compute billions of MD5 hashes per second, enabling rapid brute-force offline cracking once the hash database is leaked.</w:t>
      </w:r>
    </w:p>
    <w:p w14:paraId="62F9A8CF">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Cryptographic Collision Vulnerabilities: </w:t>
      </w:r>
      <w:r>
        <w:rPr>
          <w:rFonts w:hint="default" w:ascii="Times New Roman" w:hAnsi="Times New Roman" w:cs="Times New Roman"/>
          <w:b w:val="0"/>
          <w:bCs/>
          <w:color w:val="auto"/>
          <w:sz w:val="22"/>
          <w:szCs w:val="22"/>
        </w:rPr>
        <w:t>MD5 suffers from severe collision vulnerabilities (where two distinct inputs yield the same hash output). Severe collision attacks against MD5 were demonstrated by Wang et al. (2004) and flame malware exploits, proving that MD5 lacks collision resistance.</w:t>
      </w:r>
    </w:p>
    <w:p w14:paraId="61F30038">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Susceptibility to Precomputed Rainbow Table Attacks: </w:t>
      </w:r>
      <w:r>
        <w:rPr>
          <w:rFonts w:hint="default" w:ascii="Times New Roman" w:hAnsi="Times New Roman" w:cs="Times New Roman"/>
          <w:b w:val="0"/>
          <w:bCs/>
          <w:color w:val="auto"/>
          <w:sz w:val="22"/>
          <w:szCs w:val="22"/>
        </w:rPr>
        <w:t>Without salting, identical plaintexts yield identical hashes. Attackers use precomputed Rainbow Tables containing billions of pre-hashed passwords to reverse MD5 hashes in seconds.</w:t>
      </w:r>
    </w:p>
    <w:p w14:paraId="2D5BD7B7">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Lack of Computational Slowness (Work Factor): </w:t>
      </w:r>
      <w:r>
        <w:rPr>
          <w:rFonts w:hint="default" w:ascii="Times New Roman" w:hAnsi="Times New Roman" w:cs="Times New Roman"/>
          <w:b w:val="0"/>
          <w:bCs/>
          <w:color w:val="auto"/>
          <w:sz w:val="22"/>
          <w:szCs w:val="22"/>
        </w:rPr>
        <w:t>MD5 was designed for high-speed message digest generation in networking, not password hashing. Password storage requires computationally expensive (slow) adaptive key-derivation functions to hinder brute-force attacks.</w:t>
      </w:r>
    </w:p>
    <w:p w14:paraId="57640C6C">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2. Proposed SHA-Based Architecture &amp; Security Enhancement</w:t>
      </w:r>
    </w:p>
    <w:p w14:paraId="766EFDE3">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Migration to SHA-256 / SHA-3: </w:t>
      </w:r>
      <w:r>
        <w:rPr>
          <w:rFonts w:hint="default" w:ascii="Times New Roman" w:hAnsi="Times New Roman" w:cs="Times New Roman"/>
          <w:b w:val="0"/>
          <w:bCs/>
          <w:color w:val="auto"/>
          <w:sz w:val="22"/>
          <w:szCs w:val="22"/>
        </w:rPr>
        <w:t>Transition from 128-bit MD5 to SHA-256 (256-bit digest) or SHA-3 (Keccak-based 256/512-bit digest). SHA-256 offers 128-bit collision resistance and 256-bit pre-image resistance, completely eliminating mathematical collision attacks feasible today.</w:t>
      </w:r>
    </w:p>
    <w:p w14:paraId="149588D8">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Mandatory Unique Per-User Salt: </w:t>
      </w:r>
      <w:r>
        <w:rPr>
          <w:rFonts w:hint="default" w:ascii="Times New Roman" w:hAnsi="Times New Roman" w:cs="Times New Roman"/>
          <w:b w:val="0"/>
          <w:bCs/>
          <w:color w:val="auto"/>
          <w:sz w:val="22"/>
          <w:szCs w:val="22"/>
        </w:rPr>
        <w:t>Every user password must be concatenated with a unique, cryptographically random salt (minimum 16 bytes generated via a SecureRandom CSPRNG) before hashing: Hash = SHA-256(Password + Salt). This renders Rainbow Tables useless.</w:t>
      </w:r>
    </w:p>
    <w:p w14:paraId="2C24600E">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Key Stretching via PBKDF2-HMAC-SHA256: </w:t>
      </w:r>
      <w:r>
        <w:rPr>
          <w:rFonts w:hint="default" w:ascii="Times New Roman" w:hAnsi="Times New Roman" w:cs="Times New Roman"/>
          <w:b w:val="0"/>
          <w:bCs/>
          <w:color w:val="auto"/>
          <w:sz w:val="22"/>
          <w:szCs w:val="22"/>
        </w:rPr>
        <w:t>Raw SHA-256 remains extremely fast on GPUs. To prevent offline GPU brute-forcing, implement a SHA-256 based Key Derivation Function (PBKDF2-HMAC-SHA256) with a configurable iteration count (e.g., 600,000+ iterations) or modern password-hashing schemes like Argon2id / bcrypt.</w:t>
      </w:r>
    </w:p>
    <w:p w14:paraId="2D7229C3">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Application Pepper Layer: </w:t>
      </w:r>
      <w:r>
        <w:rPr>
          <w:rFonts w:hint="default" w:ascii="Times New Roman" w:hAnsi="Times New Roman" w:cs="Times New Roman"/>
          <w:b w:val="0"/>
          <w:bCs/>
          <w:color w:val="auto"/>
          <w:sz w:val="22"/>
          <w:szCs w:val="22"/>
        </w:rPr>
        <w:t>Incorporate an application-level secret key ('pepper') stored in a Hardware Security Module (HSM) or secure environment variable, computed as HMAC-SHA256(Password + Salt, Pepper).</w:t>
      </w:r>
    </w:p>
    <w:tbl>
      <w:tblPr>
        <w:tblStyle w:val="12"/>
        <w:tblW w:w="0" w:type="auto"/>
        <w:jc w:val="center"/>
        <w:tblLayout w:type="autofit"/>
        <w:tblCellMar>
          <w:top w:w="0" w:type="dxa"/>
          <w:left w:w="108" w:type="dxa"/>
          <w:bottom w:w="0" w:type="dxa"/>
          <w:right w:w="108" w:type="dxa"/>
        </w:tblCellMar>
      </w:tblPr>
      <w:tblGrid>
        <w:gridCol w:w="9360"/>
      </w:tblGrid>
      <w:tr w14:paraId="567E7C89">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6DCB9A63">
            <w:pPr>
              <w:spacing w:before="0" w:after="4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 RECOMMENDED ARCHITECTURAL SOLUTION </w:t>
            </w:r>
            <w:r>
              <w:rPr>
                <w:rFonts w:hint="default" w:ascii="Times New Roman" w:hAnsi="Times New Roman" w:cs="Times New Roman"/>
                <w:b w:val="0"/>
                <w:bCs/>
                <w:color w:val="auto"/>
                <w:sz w:val="22"/>
                <w:szCs w:val="22"/>
              </w:rPr>
              <w:br w:type="textWrapping"/>
            </w:r>
            <w:r>
              <w:rPr>
                <w:rFonts w:hint="default" w:ascii="Times New Roman" w:hAnsi="Times New Roman" w:cs="Times New Roman"/>
                <w:b w:val="0"/>
                <w:bCs/>
                <w:i/>
                <w:color w:val="auto"/>
                <w:sz w:val="22"/>
                <w:szCs w:val="22"/>
              </w:rPr>
              <w:t>Summary: Replacing raw MD5 with PBKDF2-HMAC-SHA256 (600,000+ iterations) combined with a 128-bit unique per-user salt and pepper eliminates collision attacks, neutralizes Rainbow Table lookups, and introduces high computational cost to mitigate brute-force attempts.</w:t>
            </w:r>
          </w:p>
        </w:tc>
      </w:tr>
    </w:tbl>
    <w:p w14:paraId="4924F1BD">
      <w:pPr>
        <w:spacing w:before="0" w:after="120"/>
        <w:rPr>
          <w:rFonts w:hint="default" w:ascii="Times New Roman" w:hAnsi="Times New Roman" w:cs="Times New Roman"/>
          <w:b w:val="0"/>
          <w:bCs/>
          <w:color w:val="auto"/>
          <w:sz w:val="22"/>
          <w:szCs w:val="22"/>
        </w:rPr>
      </w:pPr>
    </w:p>
    <w:p w14:paraId="74CB5669">
      <w:pPr>
        <w:keepNext/>
        <w:spacing w:before="360" w:after="120"/>
        <w:rPr>
          <w:rFonts w:hint="default" w:ascii="Times New Roman" w:hAnsi="Times New Roman" w:cs="Times New Roman"/>
          <w:b/>
          <w:bCs w:val="0"/>
          <w:color w:val="auto"/>
          <w:sz w:val="22"/>
          <w:szCs w:val="22"/>
        </w:rPr>
      </w:pPr>
      <w:r>
        <w:rPr>
          <w:rFonts w:hint="default" w:ascii="Times New Roman" w:hAnsi="Times New Roman" w:cs="Times New Roman"/>
          <w:b/>
          <w:bCs w:val="0"/>
          <w:color w:val="auto"/>
          <w:sz w:val="22"/>
          <w:szCs w:val="22"/>
        </w:rPr>
        <w:t>Question 2: Digital Signature Flaws in Banking &amp; Standard-Based Remedies</w:t>
      </w:r>
    </w:p>
    <w:p w14:paraId="06D636E0">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Scenario Statement: </w:t>
      </w:r>
    </w:p>
    <w:p w14:paraId="789DC1E3">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A banking application implements digital signatures for transaction verification, but users report unauthorized transactions being approved. Analyze the possible flaws in the digital signature implementation and recommend improvements based on secure signature standards.</w:t>
      </w:r>
    </w:p>
    <w:p w14:paraId="026F3618">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1. Analysis of Flaws in Digital Signature Implementation</w:t>
      </w:r>
    </w:p>
    <w:p w14:paraId="78F0596F">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Private Key Compromise / Unsecure Key Storage: </w:t>
      </w:r>
      <w:r>
        <w:rPr>
          <w:rFonts w:hint="default" w:ascii="Times New Roman" w:hAnsi="Times New Roman" w:cs="Times New Roman"/>
          <w:b w:val="0"/>
          <w:bCs/>
          <w:color w:val="auto"/>
          <w:sz w:val="22"/>
          <w:szCs w:val="22"/>
        </w:rPr>
        <w:t>If private keys are generated, stored, or processed on insecure user devices (e.g., unencrypted local storage, web browser local storage), malware/keyloggers can compromise the key and sign transactions covertly.</w:t>
      </w:r>
    </w:p>
    <w:p w14:paraId="30CF69CE">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Insufficient Data Binding &amp; Replay Vulnerability: </w:t>
      </w:r>
      <w:r>
        <w:rPr>
          <w:rFonts w:hint="default" w:ascii="Times New Roman" w:hAnsi="Times New Roman" w:cs="Times New Roman"/>
          <w:b w:val="0"/>
          <w:bCs/>
          <w:color w:val="auto"/>
          <w:sz w:val="22"/>
          <w:szCs w:val="22"/>
        </w:rPr>
        <w:t>If the signature covers only partial fields (e.g., amount and account number) but leaves out timestamps, transaction IDs, or sender details, an attacker can capture a valid signed transaction and re-transmit it (Replay Attack).</w:t>
      </w:r>
    </w:p>
    <w:p w14:paraId="1705E4C0">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Weak Padding Schemes &amp; Cryptographic Vulnerabilities: </w:t>
      </w:r>
      <w:r>
        <w:rPr>
          <w:rFonts w:hint="default" w:ascii="Times New Roman" w:hAnsi="Times New Roman" w:cs="Times New Roman"/>
          <w:b w:val="0"/>
          <w:bCs/>
          <w:color w:val="auto"/>
          <w:sz w:val="22"/>
          <w:szCs w:val="22"/>
        </w:rPr>
        <w:t>If standard RSA PKCS#1 v1.5 padding is used without proper checks, Bleichenbacher-style side-channel and padding oracle attacks can allow forged signatures.</w:t>
      </w:r>
    </w:p>
    <w:p w14:paraId="36786815">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Hash Function Collision Exploitation: </w:t>
      </w:r>
      <w:r>
        <w:rPr>
          <w:rFonts w:hint="default" w:ascii="Times New Roman" w:hAnsi="Times New Roman" w:cs="Times New Roman"/>
          <w:b w:val="0"/>
          <w:bCs/>
          <w:color w:val="auto"/>
          <w:sz w:val="22"/>
          <w:szCs w:val="22"/>
        </w:rPr>
        <w:t>The signature scheme might be using an underlying weak hash algorithm (like SHA-1 or MD5) prone to hash collision attacks, allowing an attacker to substitute an authorized transaction with a malicious one that produces the same hash.</w:t>
      </w:r>
    </w:p>
    <w:p w14:paraId="19162C5E">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5. Absence of WYSIWYS &amp; Hardware Binding: </w:t>
      </w:r>
      <w:r>
        <w:rPr>
          <w:rFonts w:hint="default" w:ascii="Times New Roman" w:hAnsi="Times New Roman" w:cs="Times New Roman"/>
          <w:b w:val="0"/>
          <w:bCs/>
          <w:color w:val="auto"/>
          <w:sz w:val="22"/>
          <w:szCs w:val="22"/>
        </w:rPr>
        <w:t>If transaction details are not clearly rendered to the user before signing ('What You See Is What You Sign' - WYSIWYS failure), malware can alter transaction parameters in memory prior to signing.</w:t>
      </w:r>
    </w:p>
    <w:p w14:paraId="4D7D2116">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2. Recommended Improvements Based on Secure Signature Standards</w:t>
      </w:r>
    </w:p>
    <w:p w14:paraId="6295EF9B">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Transition to Modern Signature Standards (RSA-PSS / ECDSA): </w:t>
      </w:r>
      <w:r>
        <w:rPr>
          <w:rFonts w:hint="default" w:ascii="Times New Roman" w:hAnsi="Times New Roman" w:cs="Times New Roman"/>
          <w:b w:val="0"/>
          <w:bCs/>
          <w:color w:val="auto"/>
          <w:sz w:val="22"/>
          <w:szCs w:val="22"/>
        </w:rPr>
        <w:t>Enforce NIST SP 800-57 guidelines. Transition to RSA-PSS (Probabilistic Signature Scheme) with 2048/3072-bit keys or ECDSA (Elliptic Curve Digital Signature Algorithm) over Secp256r1/Ed25519, paired exclusively with SHA-256 or SHA-3.</w:t>
      </w:r>
    </w:p>
    <w:p w14:paraId="7C2CA460">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Strict Payload Binding &amp; Anti-Replay Payload: </w:t>
      </w:r>
      <w:r>
        <w:rPr>
          <w:rFonts w:hint="default" w:ascii="Times New Roman" w:hAnsi="Times New Roman" w:cs="Times New Roman"/>
          <w:b w:val="0"/>
          <w:bCs/>
          <w:color w:val="auto"/>
          <w:sz w:val="22"/>
          <w:szCs w:val="22"/>
        </w:rPr>
        <w:t>Ensure every transaction structure signed includes: {Transaction_ID, Sender_Account, Receiver_Account, Amount, Currency, UTC_Timestamp, Nonce, Device_ID}. Sign the entire canonical JSON/XML object.</w:t>
      </w:r>
    </w:p>
    <w:p w14:paraId="69006248">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Hardware-Backed Key Storage (HSM / Secure Enclave): </w:t>
      </w:r>
      <w:r>
        <w:rPr>
          <w:rFonts w:hint="default" w:ascii="Times New Roman" w:hAnsi="Times New Roman" w:cs="Times New Roman"/>
          <w:b w:val="0"/>
          <w:bCs/>
          <w:color w:val="auto"/>
          <w:sz w:val="22"/>
          <w:szCs w:val="22"/>
        </w:rPr>
        <w:t>Private keys must be stored inside secure hardware elements—such as Android Keystore System (TEE/StrongBox), Apple Secure Enclave, or hardware FIDO2 tokens (WebAuthn)—preventing key extraction even if the device OS is rooted.</w:t>
      </w:r>
    </w:p>
    <w:p w14:paraId="26C455B5">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FIDO2 / WebAuthn Biometric Authorization: </w:t>
      </w:r>
      <w:r>
        <w:rPr>
          <w:rFonts w:hint="default" w:ascii="Times New Roman" w:hAnsi="Times New Roman" w:cs="Times New Roman"/>
          <w:b w:val="0"/>
          <w:bCs/>
          <w:color w:val="auto"/>
          <w:sz w:val="22"/>
          <w:szCs w:val="22"/>
        </w:rPr>
        <w:t>Mandate two-factor/biometric authorization (FIDO2 / WebAuthn standard) for transaction signing, guaranteeing non-repudiation.</w:t>
      </w:r>
    </w:p>
    <w:tbl>
      <w:tblPr>
        <w:tblStyle w:val="12"/>
        <w:tblW w:w="0" w:type="auto"/>
        <w:jc w:val="center"/>
        <w:tblLayout w:type="autofit"/>
        <w:tblCellMar>
          <w:top w:w="0" w:type="dxa"/>
          <w:left w:w="108" w:type="dxa"/>
          <w:bottom w:w="0" w:type="dxa"/>
          <w:right w:w="108" w:type="dxa"/>
        </w:tblCellMar>
      </w:tblPr>
      <w:tblGrid>
        <w:gridCol w:w="9360"/>
      </w:tblGrid>
      <w:tr w14:paraId="5C1A4E20">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5602B837">
            <w:pPr>
              <w:spacing w:before="0" w:after="4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 RECOMMENDED ARCHITECTURAL SOLUTION </w:t>
            </w:r>
            <w:r>
              <w:rPr>
                <w:rFonts w:hint="default" w:ascii="Times New Roman" w:hAnsi="Times New Roman" w:cs="Times New Roman"/>
                <w:b w:val="0"/>
                <w:bCs/>
                <w:color w:val="auto"/>
                <w:sz w:val="22"/>
                <w:szCs w:val="22"/>
              </w:rPr>
              <w:br w:type="textWrapping"/>
            </w:r>
            <w:r>
              <w:rPr>
                <w:rFonts w:hint="default" w:ascii="Times New Roman" w:hAnsi="Times New Roman" w:cs="Times New Roman"/>
                <w:b w:val="0"/>
                <w:bCs/>
                <w:i/>
                <w:color w:val="auto"/>
                <w:sz w:val="22"/>
                <w:szCs w:val="22"/>
              </w:rPr>
              <w:t>Summary: Implement ECDSA (P-256) or RSA-PSS with SHA-256, mandate hardware key protection via Secure Enclave/TEE (WebAuthn/FIDO2), and sign fully canonicalized transaction payloads containing timestamps and nonces.</w:t>
            </w:r>
          </w:p>
        </w:tc>
      </w:tr>
    </w:tbl>
    <w:p w14:paraId="52C09D97">
      <w:pPr>
        <w:spacing w:before="0" w:after="120"/>
        <w:rPr>
          <w:rFonts w:hint="default" w:ascii="Times New Roman" w:hAnsi="Times New Roman" w:cs="Times New Roman"/>
          <w:b w:val="0"/>
          <w:bCs/>
          <w:color w:val="auto"/>
          <w:sz w:val="22"/>
          <w:szCs w:val="22"/>
        </w:rPr>
      </w:pPr>
    </w:p>
    <w:p w14:paraId="27940354">
      <w:pPr>
        <w:keepNext/>
        <w:spacing w:before="360" w:after="120"/>
        <w:rPr>
          <w:rFonts w:hint="default" w:ascii="Times New Roman" w:hAnsi="Times New Roman" w:cs="Times New Roman"/>
          <w:b/>
          <w:bCs w:val="0"/>
          <w:color w:val="auto"/>
          <w:sz w:val="22"/>
          <w:szCs w:val="22"/>
        </w:rPr>
      </w:pPr>
      <w:r>
        <w:rPr>
          <w:rFonts w:hint="default" w:ascii="Times New Roman" w:hAnsi="Times New Roman" w:cs="Times New Roman"/>
          <w:b/>
          <w:bCs w:val="0"/>
          <w:color w:val="auto"/>
          <w:sz w:val="22"/>
          <w:szCs w:val="22"/>
        </w:rPr>
        <w:t>Question 3: Kerberos Replay Attacks &amp; Authentication Framework Enhancements</w:t>
      </w:r>
    </w:p>
    <w:p w14:paraId="481764F4">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Scenario Statement:</w:t>
      </w:r>
    </w:p>
    <w:p w14:paraId="4369D377">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 </w:t>
      </w:r>
      <w:r>
        <w:rPr>
          <w:rFonts w:hint="default" w:ascii="Times New Roman" w:hAnsi="Times New Roman" w:cs="Times New Roman"/>
          <w:b w:val="0"/>
          <w:bCs/>
          <w:color w:val="auto"/>
          <w:sz w:val="22"/>
          <w:szCs w:val="22"/>
        </w:rPr>
        <w:t>An enterprise network uses Kerberos for authentication, but attackers successfully perform a replay attack to gain unauthorized access. Examine how this attack could occur and propose enhancements in the authentication process to prevent such threats.</w:t>
      </w:r>
    </w:p>
    <w:p w14:paraId="0E8B61C6">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1. Examination of Kerberos Replay Attack Vulnerabilities</w:t>
      </w:r>
    </w:p>
    <w:p w14:paraId="7356E779">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Mechanics of Kerberos Authentication: </w:t>
      </w:r>
      <w:r>
        <w:rPr>
          <w:rFonts w:hint="default" w:ascii="Times New Roman" w:hAnsi="Times New Roman" w:cs="Times New Roman"/>
          <w:b w:val="0"/>
          <w:bCs/>
          <w:color w:val="auto"/>
          <w:sz w:val="22"/>
          <w:szCs w:val="22"/>
        </w:rPr>
        <w:t>In standard Kerberos v5, a user authenticates to the Key Distribution Center (KDC) and receives a Ticket Granting Ticket (TGT) or Service Ticket (ST), accompanied by an Authenticator object containing {Client_ID, Timestamp, Microseconds, Client_Key}. The service verifies the ticket and decrypts the Authenticator using the session key.</w:t>
      </w:r>
    </w:p>
    <w:p w14:paraId="1BED52E8">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How Replay Attack Occurred: </w:t>
      </w:r>
      <w:r>
        <w:rPr>
          <w:rFonts w:hint="default" w:ascii="Times New Roman" w:hAnsi="Times New Roman" w:cs="Times New Roman"/>
          <w:b w:val="0"/>
          <w:bCs/>
          <w:color w:val="auto"/>
          <w:sz w:val="22"/>
          <w:szCs w:val="22"/>
        </w:rPr>
        <w:t>An attacker eavesdropping on unencrypted or weakly encrypted network traffic captures a valid Ticket and its accompanying Authenticator. The attacker then re-transmits these exact packets to the target Application Server.</w:t>
      </w:r>
    </w:p>
    <w:p w14:paraId="02C58605">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a. Excessive Time Skew Window: </w:t>
      </w:r>
      <w:r>
        <w:rPr>
          <w:rFonts w:hint="default" w:ascii="Times New Roman" w:hAnsi="Times New Roman" w:cs="Times New Roman"/>
          <w:b w:val="0"/>
          <w:bCs/>
          <w:color w:val="auto"/>
          <w:sz w:val="22"/>
          <w:szCs w:val="22"/>
        </w:rPr>
        <w:t>Network Time Protocol (NTP) skew tolerance set too wide (e.g., &gt; 5 minutes) allows captured authenticators to remain valid for an extended window.</w:t>
      </w:r>
    </w:p>
    <w:p w14:paraId="572DBCD8">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b. Missing or Malfunctioning Replay Cache: </w:t>
      </w:r>
      <w:r>
        <w:rPr>
          <w:rFonts w:hint="default" w:ascii="Times New Roman" w:hAnsi="Times New Roman" w:cs="Times New Roman"/>
          <w:b w:val="0"/>
          <w:bCs/>
          <w:color w:val="auto"/>
          <w:sz w:val="22"/>
          <w:szCs w:val="22"/>
        </w:rPr>
        <w:t>The target server failed to maintain or check its local Replay Cache (a cache of recently received authenticators indexed by timestamp and client identity within the allowable clock skew window).</w:t>
      </w:r>
    </w:p>
    <w:p w14:paraId="29C023DA">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c. Absence of Channel Binding: </w:t>
      </w:r>
      <w:r>
        <w:rPr>
          <w:rFonts w:hint="default" w:ascii="Times New Roman" w:hAnsi="Times New Roman" w:cs="Times New Roman"/>
          <w:b w:val="0"/>
          <w:bCs/>
          <w:color w:val="auto"/>
          <w:sz w:val="22"/>
          <w:szCs w:val="22"/>
        </w:rPr>
        <w:t>Lack of transport layer security (TLS) or session key binding allowed attackers to intercept and re-inject authenticators on unencrypted communication channels.</w:t>
      </w:r>
    </w:p>
    <w:p w14:paraId="62E04447">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2. Proposed Enhancements to Prevent Replay Attacks</w:t>
      </w:r>
    </w:p>
    <w:p w14:paraId="54628C42">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Tightened Clock Synchronization &amp; Reduced Time Skew: </w:t>
      </w:r>
      <w:r>
        <w:rPr>
          <w:rFonts w:hint="default" w:ascii="Times New Roman" w:hAnsi="Times New Roman" w:cs="Times New Roman"/>
          <w:b w:val="0"/>
          <w:bCs/>
          <w:color w:val="auto"/>
          <w:sz w:val="22"/>
          <w:szCs w:val="22"/>
        </w:rPr>
        <w:t>Synchronize all domain controllers and network endpoints using secure NTP (Authenticated NTP). Enforce a strict time skew tolerance of maximum 1 to 2 minutes (60-120 seconds).</w:t>
      </w:r>
    </w:p>
    <w:p w14:paraId="2EADBA8B">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Enforce Mandatory Replay Caching at Application Servers: </w:t>
      </w:r>
      <w:r>
        <w:rPr>
          <w:rFonts w:hint="default" w:ascii="Times New Roman" w:hAnsi="Times New Roman" w:cs="Times New Roman"/>
          <w:b w:val="0"/>
          <w:bCs/>
          <w:color w:val="auto"/>
          <w:sz w:val="22"/>
          <w:szCs w:val="22"/>
        </w:rPr>
        <w:t>Mandate that all Kerberos service endpoints maintain an in-memory, persistent Replay Cache. If a ticket with an identical Authenticator {Client_Name, Microsecond Timestamp} arrives within the clock skew window, it must be rejected immediately.</w:t>
      </w:r>
    </w:p>
    <w:p w14:paraId="12C913B5">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Integrate Server Nonces &amp; Challenge-Response: </w:t>
      </w:r>
      <w:r>
        <w:rPr>
          <w:rFonts w:hint="default" w:ascii="Times New Roman" w:hAnsi="Times New Roman" w:cs="Times New Roman"/>
          <w:b w:val="0"/>
          <w:bCs/>
          <w:color w:val="auto"/>
          <w:sz w:val="22"/>
          <w:szCs w:val="22"/>
        </w:rPr>
        <w:t>Incorporate a cryptographically random, fresh nonce supplied by the server in challenge-response exchanges, ensuring that authenticators cannot be precomputed or reused.</w:t>
      </w:r>
    </w:p>
    <w:p w14:paraId="4C0F4D37">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Channel Binding Tokens (CBT) &amp; Transport Layer Encryption: </w:t>
      </w:r>
      <w:r>
        <w:rPr>
          <w:rFonts w:hint="default" w:ascii="Times New Roman" w:hAnsi="Times New Roman" w:cs="Times New Roman"/>
          <w:b w:val="0"/>
          <w:bCs/>
          <w:color w:val="auto"/>
          <w:sz w:val="22"/>
          <w:szCs w:val="22"/>
        </w:rPr>
        <w:t>Implement RFC 5056 Kerberos Channel Binding Tokens (CBT) and PKINIT (Public Key Cryptography for Initial Authentication). Channel binding ties the Kerberos authentication session directly to the underlying TLS/IPsec transport tunnel.</w:t>
      </w:r>
    </w:p>
    <w:tbl>
      <w:tblPr>
        <w:tblStyle w:val="12"/>
        <w:tblW w:w="0" w:type="auto"/>
        <w:jc w:val="center"/>
        <w:tblLayout w:type="autofit"/>
        <w:tblCellMar>
          <w:top w:w="0" w:type="dxa"/>
          <w:left w:w="108" w:type="dxa"/>
          <w:bottom w:w="0" w:type="dxa"/>
          <w:right w:w="108" w:type="dxa"/>
        </w:tblCellMar>
      </w:tblPr>
      <w:tblGrid>
        <w:gridCol w:w="9360"/>
      </w:tblGrid>
      <w:tr w14:paraId="33689F97">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406D4724">
            <w:pPr>
              <w:spacing w:before="0" w:after="4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 RECOMMENDED ARCHITECTURAL SOLUTION </w:t>
            </w:r>
            <w:r>
              <w:rPr>
                <w:rFonts w:hint="default" w:ascii="Times New Roman" w:hAnsi="Times New Roman" w:cs="Times New Roman"/>
                <w:b w:val="0"/>
                <w:bCs/>
                <w:color w:val="auto"/>
                <w:sz w:val="22"/>
                <w:szCs w:val="22"/>
              </w:rPr>
              <w:br w:type="textWrapping"/>
            </w:r>
            <w:r>
              <w:rPr>
                <w:rFonts w:hint="default" w:ascii="Times New Roman" w:hAnsi="Times New Roman" w:cs="Times New Roman"/>
                <w:b w:val="0"/>
                <w:bCs/>
                <w:i/>
                <w:color w:val="auto"/>
                <w:sz w:val="22"/>
                <w:szCs w:val="22"/>
              </w:rPr>
              <w:t>Summary: Eliminating Kerberos replay attacks requires strict clock synchronization (&lt;1-2 mins), mandatory server-side Replay Cache enforcement, integration of server nonces, and Kerberos Channel Binding over TLS.</w:t>
            </w:r>
          </w:p>
        </w:tc>
      </w:tr>
    </w:tbl>
    <w:p w14:paraId="212A8B43">
      <w:pPr>
        <w:spacing w:before="0" w:after="120"/>
        <w:rPr>
          <w:rFonts w:hint="default" w:ascii="Times New Roman" w:hAnsi="Times New Roman" w:cs="Times New Roman"/>
          <w:b w:val="0"/>
          <w:bCs/>
          <w:color w:val="auto"/>
          <w:sz w:val="22"/>
          <w:szCs w:val="22"/>
        </w:rPr>
      </w:pPr>
    </w:p>
    <w:p w14:paraId="0C833CFC">
      <w:pPr>
        <w:keepNext/>
        <w:spacing w:before="360" w:after="120"/>
        <w:rPr>
          <w:rFonts w:hint="default" w:ascii="Times New Roman" w:hAnsi="Times New Roman" w:cs="Times New Roman"/>
          <w:b/>
          <w:bCs w:val="0"/>
          <w:color w:val="auto"/>
          <w:sz w:val="22"/>
          <w:szCs w:val="22"/>
        </w:rPr>
      </w:pPr>
      <w:r>
        <w:rPr>
          <w:rFonts w:hint="default" w:ascii="Times New Roman" w:hAnsi="Times New Roman" w:cs="Times New Roman"/>
          <w:b/>
          <w:bCs w:val="0"/>
          <w:color w:val="auto"/>
          <w:sz w:val="22"/>
          <w:szCs w:val="22"/>
        </w:rPr>
        <w:t>Question 4: Failure of Simple Hash for Integrity &amp; Solution via HMAC</w:t>
      </w:r>
    </w:p>
    <w:p w14:paraId="31D0CA26">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Scenario Statement:</w:t>
      </w:r>
    </w:p>
    <w:p w14:paraId="509EFAD7">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 </w:t>
      </w:r>
      <w:r>
        <w:rPr>
          <w:rFonts w:hint="default" w:ascii="Times New Roman" w:hAnsi="Times New Roman" w:cs="Times New Roman"/>
          <w:b w:val="0"/>
          <w:bCs/>
          <w:color w:val="auto"/>
          <w:sz w:val="22"/>
          <w:szCs w:val="22"/>
        </w:rPr>
        <w:t>A secure communication system uses a simple hash function to verify message integrity, but attackers are able to modify messages without detection. Analyze why this approach fails and propose a solution using HMAC to improve message authentication.</w:t>
      </w:r>
    </w:p>
    <w:p w14:paraId="6B08AD92">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1. Analysis of Why Simple Hash Functions Fail for Message Integrity</w:t>
      </w:r>
    </w:p>
    <w:p w14:paraId="07862E79">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Lack of Secret Key / Authentication: </w:t>
      </w:r>
      <w:r>
        <w:rPr>
          <w:rFonts w:hint="default" w:ascii="Times New Roman" w:hAnsi="Times New Roman" w:cs="Times New Roman"/>
          <w:b w:val="0"/>
          <w:bCs/>
          <w:color w:val="auto"/>
          <w:sz w:val="22"/>
          <w:szCs w:val="22"/>
        </w:rPr>
        <w:t>A simple cryptographic hash function H(M) (e.g., SHA-256) is completely public and unkeyed. Anyone can compute H(M) for any arbitrary message M.</w:t>
      </w:r>
    </w:p>
    <w:p w14:paraId="05BA4BDB">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Vulnerability to Man-in-the-Middle (MitM) Tampering: </w:t>
      </w:r>
      <w:r>
        <w:rPr>
          <w:rFonts w:hint="default" w:ascii="Times New Roman" w:hAnsi="Times New Roman" w:cs="Times New Roman"/>
          <w:b w:val="0"/>
          <w:bCs/>
          <w:color w:val="auto"/>
          <w:sz w:val="22"/>
          <w:szCs w:val="22"/>
        </w:rPr>
        <w:t>If an attacker intercepts a transmitted packet (M, H(M)), they can alter the message to M' and easily compute the new hash H(M'). They replace the payload with (M', H(M')). The receiver calculates H(M') and finds a match, mistakenly assuming the message is authentic.</w:t>
      </w:r>
    </w:p>
    <w:p w14:paraId="41DF854C">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Confusing Integrity with Authenticity: </w:t>
      </w:r>
      <w:r>
        <w:rPr>
          <w:rFonts w:hint="default" w:ascii="Times New Roman" w:hAnsi="Times New Roman" w:cs="Times New Roman"/>
          <w:b w:val="0"/>
          <w:bCs/>
          <w:color w:val="auto"/>
          <w:sz w:val="22"/>
          <w:szCs w:val="22"/>
        </w:rPr>
        <w:t>Simple hashes provide Integrity against unintentional corruptions (e.g., network noise), but DO NOT provide Authenticity or Protection against active adversarial modifications.</w:t>
      </w:r>
    </w:p>
    <w:p w14:paraId="53744B3B">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Length Extension Vulnerability in Naive Secret Constructions: </w:t>
      </w:r>
      <w:r>
        <w:rPr>
          <w:rFonts w:hint="default" w:ascii="Times New Roman" w:hAnsi="Times New Roman" w:cs="Times New Roman"/>
          <w:b w:val="0"/>
          <w:bCs/>
          <w:color w:val="auto"/>
          <w:sz w:val="22"/>
          <w:szCs w:val="22"/>
        </w:rPr>
        <w:t>If a naive secret extension H(K || M) is used, Merkle-Damgård based hash functions (SHA-1, SHA-256, MD5) suffer from Length Extension Attacks, allowing attackers to append malicious data without knowing key K.</w:t>
      </w:r>
    </w:p>
    <w:p w14:paraId="2D7CAC78">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2. Proposed Solution Using HMAC (Hash-based Message Authentication Code)</w:t>
      </w:r>
    </w:p>
    <w:p w14:paraId="511B233D">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HMAC Cryptographic Mechanism: </w:t>
      </w:r>
      <w:r>
        <w:rPr>
          <w:rFonts w:hint="default" w:ascii="Times New Roman" w:hAnsi="Times New Roman" w:cs="Times New Roman"/>
          <w:b w:val="0"/>
          <w:bCs/>
          <w:color w:val="auto"/>
          <w:sz w:val="22"/>
          <w:szCs w:val="22"/>
        </w:rPr>
        <w:t>HMAC (RFC 2104) incorporates a secret pre-shared key K between sender and receiver. The construct is mathematically defined as: HMAC(K, M) = H((K+ XOR opad) || H((K+ XOR ipad) || M)).</w:t>
      </w:r>
    </w:p>
    <w:p w14:paraId="1CA2B3B9">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Mathematical Formulation: </w:t>
      </w:r>
      <w:r>
        <w:rPr>
          <w:rFonts w:hint="default" w:ascii="Times New Roman" w:hAnsi="Times New Roman" w:cs="Times New Roman"/>
          <w:b w:val="0"/>
          <w:bCs/>
          <w:color w:val="auto"/>
          <w:sz w:val="22"/>
          <w:szCs w:val="22"/>
        </w:rPr>
        <w:t>In HMAC, ipad is the inner padding byte (0x36) repeated, opad is the outer padding byte (0x5C) repeated, K+ is the key padded with zeros to the block size of hash function H, and || denotes concatenation.</w:t>
      </w:r>
    </w:p>
    <w:p w14:paraId="4DC13D6D">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Authentication &amp; Anti-Tampering Guarantee: </w:t>
      </w:r>
      <w:r>
        <w:rPr>
          <w:rFonts w:hint="default" w:ascii="Times New Roman" w:hAnsi="Times New Roman" w:cs="Times New Roman"/>
          <w:b w:val="0"/>
          <w:bCs/>
          <w:color w:val="auto"/>
          <w:sz w:val="22"/>
          <w:szCs w:val="22"/>
        </w:rPr>
        <w:t>Without knowing secret key K, an attacker cannot compute a valid HMAC for a modified message M'. Any attempt to alter M to M' results in verification failure at the receiver.</w:t>
      </w:r>
    </w:p>
    <w:p w14:paraId="7C49C339">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Immunity to Length Extension Attacks: </w:t>
      </w:r>
      <w:r>
        <w:rPr>
          <w:rFonts w:hint="default" w:ascii="Times New Roman" w:hAnsi="Times New Roman" w:cs="Times New Roman"/>
          <w:b w:val="0"/>
          <w:bCs/>
          <w:color w:val="auto"/>
          <w:sz w:val="22"/>
          <w:szCs w:val="22"/>
        </w:rPr>
        <w:t>The nested two-pass structure of HMAC prevents length-extension attacks inherently, even if the underlying hash function is Merkle-Damgård based.</w:t>
      </w:r>
    </w:p>
    <w:p w14:paraId="4630558C">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5. Implementation Best Practice: </w:t>
      </w:r>
      <w:r>
        <w:rPr>
          <w:rFonts w:hint="default" w:ascii="Times New Roman" w:hAnsi="Times New Roman" w:cs="Times New Roman"/>
          <w:b w:val="0"/>
          <w:bCs/>
          <w:color w:val="auto"/>
          <w:sz w:val="22"/>
          <w:szCs w:val="22"/>
        </w:rPr>
        <w:t>Combine HMAC-SHA256 with sequence numbers and timestamps within payload M to prevent replay attacks.</w:t>
      </w:r>
    </w:p>
    <w:tbl>
      <w:tblPr>
        <w:tblStyle w:val="12"/>
        <w:tblW w:w="0" w:type="auto"/>
        <w:jc w:val="center"/>
        <w:tblLayout w:type="autofit"/>
        <w:tblCellMar>
          <w:top w:w="0" w:type="dxa"/>
          <w:left w:w="108" w:type="dxa"/>
          <w:bottom w:w="0" w:type="dxa"/>
          <w:right w:w="108" w:type="dxa"/>
        </w:tblCellMar>
      </w:tblPr>
      <w:tblGrid>
        <w:gridCol w:w="9360"/>
      </w:tblGrid>
      <w:tr w14:paraId="492A7B09">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6751A15D">
            <w:pPr>
              <w:spacing w:before="0" w:after="4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 RECOMMENDED ARCHITECTURAL SOLUTION </w:t>
            </w:r>
            <w:r>
              <w:rPr>
                <w:rFonts w:hint="default" w:ascii="Times New Roman" w:hAnsi="Times New Roman" w:cs="Times New Roman"/>
                <w:b w:val="0"/>
                <w:bCs/>
                <w:color w:val="auto"/>
                <w:sz w:val="22"/>
                <w:szCs w:val="22"/>
              </w:rPr>
              <w:br w:type="textWrapping"/>
            </w:r>
            <w:r>
              <w:rPr>
                <w:rFonts w:hint="default" w:ascii="Times New Roman" w:hAnsi="Times New Roman" w:cs="Times New Roman"/>
                <w:b w:val="0"/>
                <w:bCs/>
                <w:i/>
                <w:color w:val="auto"/>
                <w:sz w:val="22"/>
                <w:szCs w:val="22"/>
              </w:rPr>
              <w:t>Summary: Replacing unkeyed simple hashes with HMAC-SHA256 guarantees both Message Integrity and Authentic Origin, preventing active MitM message manipulation and length extension exploits.</w:t>
            </w:r>
          </w:p>
        </w:tc>
      </w:tr>
    </w:tbl>
    <w:p w14:paraId="07C7D955">
      <w:pPr>
        <w:spacing w:before="0" w:after="120"/>
        <w:rPr>
          <w:rFonts w:hint="default" w:ascii="Times New Roman" w:hAnsi="Times New Roman" w:cs="Times New Roman"/>
          <w:b w:val="0"/>
          <w:bCs/>
          <w:color w:val="auto"/>
          <w:sz w:val="22"/>
          <w:szCs w:val="22"/>
        </w:rPr>
      </w:pPr>
    </w:p>
    <w:p w14:paraId="3958FD97">
      <w:pPr>
        <w:keepNext/>
        <w:spacing w:before="360" w:after="120"/>
        <w:rPr>
          <w:rFonts w:hint="default" w:ascii="Times New Roman" w:hAnsi="Times New Roman" w:cs="Times New Roman"/>
          <w:b/>
          <w:bCs w:val="0"/>
          <w:color w:val="auto"/>
          <w:sz w:val="22"/>
          <w:szCs w:val="22"/>
        </w:rPr>
      </w:pPr>
      <w:r>
        <w:rPr>
          <w:rFonts w:hint="default" w:ascii="Times New Roman" w:hAnsi="Times New Roman" w:cs="Times New Roman"/>
          <w:b/>
          <w:bCs w:val="0"/>
          <w:color w:val="auto"/>
          <w:sz w:val="22"/>
          <w:szCs w:val="22"/>
        </w:rPr>
        <w:t>Question 5: X.509 Certificate Trust Validation Errors &amp; Management Solutions</w:t>
      </w:r>
    </w:p>
    <w:p w14:paraId="1F83AD79">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Scenario Statement: </w:t>
      </w:r>
    </w:p>
    <w:p w14:paraId="2DA7E1CB">
      <w:pPr>
        <w:spacing w:before="0" w:after="12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An organization implements X.509 certificates for secure communication, but users encounter frequent trust validation errors. Analyze the possible issues in certificate management and propose solutions to ensure proper authentication and trust chain validation.</w:t>
      </w:r>
    </w:p>
    <w:p w14:paraId="30522EF1">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1. Analysis of Possible Root Causes for X.509 Validation Errors</w:t>
      </w:r>
    </w:p>
    <w:p w14:paraId="1E59DA1C">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Broken or Incomplete Certificate Chain: </w:t>
      </w:r>
      <w:r>
        <w:rPr>
          <w:rFonts w:hint="default" w:ascii="Times New Roman" w:hAnsi="Times New Roman" w:cs="Times New Roman"/>
          <w:b w:val="0"/>
          <w:bCs/>
          <w:color w:val="auto"/>
          <w:sz w:val="22"/>
          <w:szCs w:val="22"/>
        </w:rPr>
        <w:t>If the server only sends its end-entity certificate without including intermediate CA certificates, the client cannot build a path to the trusted Root CA installed in its local trust store.</w:t>
      </w:r>
    </w:p>
    <w:p w14:paraId="62278B1A">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Expired Certificates or Clock Skew: </w:t>
      </w:r>
      <w:r>
        <w:rPr>
          <w:rFonts w:hint="default" w:ascii="Times New Roman" w:hAnsi="Times New Roman" w:cs="Times New Roman"/>
          <w:b w:val="0"/>
          <w:bCs/>
          <w:color w:val="auto"/>
          <w:sz w:val="22"/>
          <w:szCs w:val="22"/>
        </w:rPr>
        <w:t>End-entity or intermediate certificates have passed their 'Not After' expiration date or are not yet valid ('Not Before' date issue due to system clock drift).</w:t>
      </w:r>
    </w:p>
    <w:p w14:paraId="0ECE4A57">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Subject Alternative Name (SAN) Mismatch: </w:t>
      </w:r>
      <w:r>
        <w:rPr>
          <w:rFonts w:hint="default" w:ascii="Times New Roman" w:hAnsi="Times New Roman" w:cs="Times New Roman"/>
          <w:b w:val="0"/>
          <w:bCs/>
          <w:color w:val="auto"/>
          <w:sz w:val="22"/>
          <w:szCs w:val="22"/>
        </w:rPr>
        <w:t>The Domain Name / FQDN accessed by the client does not match the Subject Alternative Name (SAN) or Common Name (CN) attributes inside the certificate.</w:t>
      </w:r>
    </w:p>
    <w:p w14:paraId="63601934">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Untrusted Root CA / Self-Signed Root: </w:t>
      </w:r>
      <w:r>
        <w:rPr>
          <w:rFonts w:hint="default" w:ascii="Times New Roman" w:hAnsi="Times New Roman" w:cs="Times New Roman"/>
          <w:b w:val="0"/>
          <w:bCs/>
          <w:color w:val="auto"/>
          <w:sz w:val="22"/>
          <w:szCs w:val="22"/>
        </w:rPr>
        <w:t>The Root CA or Intermediate CA is self-signed or issued by an untrusted internal CA that has not been distributed to client trust stores (Windows System Store, Java CACERTS, Browser Stores).</w:t>
      </w:r>
    </w:p>
    <w:p w14:paraId="53BE07F5">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5. Unreachable Revocation Checkpoints (CRL / OCSP Failures): </w:t>
      </w:r>
      <w:r>
        <w:rPr>
          <w:rFonts w:hint="default" w:ascii="Times New Roman" w:hAnsi="Times New Roman" w:cs="Times New Roman"/>
          <w:b w:val="0"/>
          <w:bCs/>
          <w:color w:val="auto"/>
          <w:sz w:val="22"/>
          <w:szCs w:val="22"/>
        </w:rPr>
        <w:t>Clients are unable to verify certificate revocation status because Certificate Revocation Lists (CRLs) or Online Certificate Status Protocol (OCSP) endpoints are unreachable or timed out.</w:t>
      </w:r>
    </w:p>
    <w:p w14:paraId="19F9F0B9">
      <w:pPr>
        <w:keepNext/>
        <w:spacing w:before="240" w:after="80"/>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2. Proposed Solutions for Robust X.509 Management &amp; Chain Validation</w:t>
      </w:r>
    </w:p>
    <w:p w14:paraId="439C0E21">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1. Complete Certificate Chain Bundle Deployment: </w:t>
      </w:r>
      <w:r>
        <w:rPr>
          <w:rFonts w:hint="default" w:ascii="Times New Roman" w:hAnsi="Times New Roman" w:cs="Times New Roman"/>
          <w:b w:val="0"/>
          <w:bCs/>
          <w:color w:val="auto"/>
          <w:sz w:val="22"/>
          <w:szCs w:val="22"/>
        </w:rPr>
        <w:t>Configure web/application servers (Nginx, Apache, IIS) to serve full certificate bundles containing the end-entity certificate followed by all required intermediate CA certificates.</w:t>
      </w:r>
    </w:p>
    <w:p w14:paraId="59B6BDEA">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2. Automated Certificate Lifecycle Management (ACME Protocol): </w:t>
      </w:r>
      <w:r>
        <w:rPr>
          <w:rFonts w:hint="default" w:ascii="Times New Roman" w:hAnsi="Times New Roman" w:cs="Times New Roman"/>
          <w:b w:val="0"/>
          <w:bCs/>
          <w:color w:val="auto"/>
          <w:sz w:val="22"/>
          <w:szCs w:val="22"/>
        </w:rPr>
        <w:t>Deploy automated PKI lifecycle management solutions (e.g., ACME protocol / HashiCorp Vault / Cert-Manager) to automatically renew certificates 30 days prior to expiration.</w:t>
      </w:r>
    </w:p>
    <w:p w14:paraId="69C1AE7B">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3. Strict SAN Name Matching: </w:t>
      </w:r>
      <w:r>
        <w:rPr>
          <w:rFonts w:hint="default" w:ascii="Times New Roman" w:hAnsi="Times New Roman" w:cs="Times New Roman"/>
          <w:b w:val="0"/>
          <w:bCs/>
          <w:color w:val="auto"/>
          <w:sz w:val="22"/>
          <w:szCs w:val="22"/>
        </w:rPr>
        <w:t xml:space="preserve">Enforce SAN-based validation (RFC 6125). Ensure all primary domain names, wildcards, and IP addresses are explicitly listed </w:t>
      </w:r>
    </w:p>
    <w:p w14:paraId="23659200">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4. Enterprise Root CA Trust Distribution: </w:t>
      </w:r>
      <w:r>
        <w:rPr>
          <w:rFonts w:hint="default" w:ascii="Times New Roman" w:hAnsi="Times New Roman" w:cs="Times New Roman"/>
          <w:b w:val="0"/>
          <w:bCs/>
          <w:color w:val="auto"/>
          <w:sz w:val="22"/>
          <w:szCs w:val="22"/>
        </w:rPr>
        <w:t>Deploy enterprise Active Directory Group Policy Objects (GPO) or MDM solutions to distribute the organization's private Root CA certificate to all client trust stores.</w:t>
      </w:r>
    </w:p>
    <w:p w14:paraId="5D0B75D4">
      <w:pPr>
        <w:pStyle w:val="23"/>
        <w:spacing w:before="0" w:after="60" w:line="276" w:lineRule="auto"/>
        <w:rPr>
          <w:rFonts w:hint="default" w:ascii="Times New Roman" w:hAnsi="Times New Roman" w:cs="Times New Roman"/>
          <w:b w:val="0"/>
          <w:bCs/>
          <w:color w:val="auto"/>
          <w:sz w:val="22"/>
          <w:szCs w:val="22"/>
        </w:rPr>
      </w:pPr>
      <w:r>
        <w:rPr>
          <w:rFonts w:hint="default" w:ascii="Times New Roman" w:hAnsi="Times New Roman" w:cs="Times New Roman"/>
          <w:b w:val="0"/>
          <w:bCs/>
          <w:color w:val="auto"/>
          <w:sz w:val="22"/>
          <w:szCs w:val="22"/>
        </w:rPr>
        <w:t xml:space="preserve">5. Implement OCSP Stapling &amp; High-Availability AIA Endpoints: </w:t>
      </w:r>
      <w:r>
        <w:rPr>
          <w:rFonts w:hint="default" w:ascii="Times New Roman" w:hAnsi="Times New Roman" w:cs="Times New Roman"/>
          <w:b w:val="0"/>
          <w:bCs/>
          <w:color w:val="auto"/>
          <w:sz w:val="22"/>
          <w:szCs w:val="22"/>
        </w:rPr>
        <w:t>Enable OCSP Stapling (TLS Certificate Status Request Extension) on servers. The server fetches a signed OCSP response from the CA periodically and staples it to the TLS handshake</w:t>
      </w:r>
    </w:p>
    <w:tbl>
      <w:tblPr>
        <w:tblStyle w:val="12"/>
        <w:tblW w:w="0" w:type="auto"/>
        <w:jc w:val="center"/>
        <w:tblLayout w:type="autofit"/>
        <w:tblCellMar>
          <w:top w:w="0" w:type="dxa"/>
          <w:left w:w="108" w:type="dxa"/>
          <w:bottom w:w="0" w:type="dxa"/>
          <w:right w:w="108" w:type="dxa"/>
        </w:tblCellMar>
      </w:tblPr>
      <w:tblGrid>
        <w:gridCol w:w="9360"/>
      </w:tblGrid>
      <w:tr w14:paraId="6D625293">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15C68DD5">
            <w:pPr>
              <w:spacing w:before="0" w:after="40"/>
              <w:rPr>
                <w:rFonts w:hint="default" w:ascii="Times New Roman" w:hAnsi="Times New Roman" w:cs="Times New Roman"/>
                <w:b w:val="0"/>
                <w:bCs/>
                <w:i/>
                <w:color w:val="auto"/>
                <w:sz w:val="22"/>
                <w:szCs w:val="22"/>
              </w:rPr>
            </w:pPr>
            <w:r>
              <w:rPr>
                <w:rFonts w:hint="default" w:ascii="Times New Roman" w:hAnsi="Times New Roman" w:cs="Times New Roman"/>
                <w:b w:val="0"/>
                <w:bCs/>
                <w:color w:val="auto"/>
                <w:sz w:val="22"/>
                <w:szCs w:val="22"/>
              </w:rPr>
              <w:t xml:space="preserve">■ RECOMMENDED ARCHITECTURAL SOLUTION </w:t>
            </w:r>
            <w:r>
              <w:rPr>
                <w:rFonts w:hint="default" w:ascii="Times New Roman" w:hAnsi="Times New Roman" w:cs="Times New Roman"/>
                <w:b w:val="0"/>
                <w:bCs/>
                <w:color w:val="auto"/>
                <w:sz w:val="22"/>
                <w:szCs w:val="22"/>
              </w:rPr>
              <w:br w:type="textWrapping"/>
            </w:r>
            <w:r>
              <w:rPr>
                <w:rFonts w:hint="default" w:ascii="Times New Roman" w:hAnsi="Times New Roman" w:cs="Times New Roman"/>
                <w:b w:val="0"/>
                <w:bCs/>
                <w:i/>
                <w:color w:val="auto"/>
                <w:sz w:val="22"/>
                <w:szCs w:val="22"/>
              </w:rPr>
              <w:t>Summary: Resolving X.509 errors requires serving full intermediate certificate chains, deploying ACME for automated renewal, implementing OCSP Stapling, and distributing Root CAs via Enterprise MDM/GPO.</w:t>
            </w:r>
            <w:bookmarkStart w:id="0" w:name="_GoBack"/>
            <w:bookmarkEnd w:id="0"/>
          </w:p>
        </w:tc>
      </w:tr>
    </w:tbl>
    <w:p w14:paraId="23FB29E9">
      <w:pPr>
        <w:spacing w:before="0" w:after="120"/>
        <w:rPr>
          <w:rFonts w:hint="default" w:ascii="Times New Roman" w:hAnsi="Times New Roman" w:cs="Times New Roman"/>
          <w:b w:val="0"/>
          <w:bCs/>
          <w:color w:val="auto"/>
          <w:sz w:val="22"/>
          <w:szCs w:val="2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F411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2122</Words>
  <Characters>13171</Characters>
  <Lines>0</Lines>
  <Paragraphs>0</Paragraphs>
  <TotalTime>4</TotalTime>
  <ScaleCrop>false</ScaleCrop>
  <LinksUpToDate>false</LinksUpToDate>
  <CharactersWithSpaces>15208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GRAHAADIPIKA.S</cp:lastModifiedBy>
  <dcterms:modified xsi:type="dcterms:W3CDTF">2026-08-14T03:14:41Z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eyJoZGlkIjoiOGY1ODM4MjIzMTQ3ZmU0NWQzNTM4YWZlM2UxMmM2ZTkiLCJ1c2VySWQiOiI1NjcxODY4NDQxMzQifQ==</vt:lpwstr>
  </property>
  <property fmtid="{D5CDD505-2E9C-101B-9397-08002B2CF9AE}" pid="3" name="KSOProductBuildVer">
    <vt:lpwstr>1033-12.1.0.28032</vt:lpwstr>
  </property>
  <property fmtid="{D5CDD505-2E9C-101B-9397-08002B2CF9AE}" pid="4" name="ICV">
    <vt:lpwstr>13FDDDE27D8B400386DAD7BD63CC73ED_12</vt:lpwstr>
  </property>
</Properties>
</file>