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900"/>
        <w:gridCol w:w="6460"/>
      </w:tblGrid>
      <w:tr>
        <w:tc>
          <w:tcPr>
            <w:tcW w:type="dxa" w:w="4997"/>
            <w:tcW w:w="2900" w:type="dxa"/>
            <w:shd w:fill="073B5A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8448" cy="12984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engs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  <w:tcW w:w="6460" w:type="dxa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087FA9"/>
                <w:sz w:val="22"/>
              </w:rPr>
              <w:t>RAB / PENAWARAN ANGGARAN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073B5A"/>
                <w:sz w:val="46"/>
              </w:rPr>
              <w:t>Pengembangan Sistem Operasional Menengs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5F7484"/>
                <w:sz w:val="22"/>
              </w:rPr>
              <w:t>Sistem stok, POS outlet, penjualan multi-kanal, dan kendali operasional usaha snack.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73042"/>
                <w:sz w:val="19"/>
              </w:rPr>
              <w:t>Disusun untuk: Menengs  |  Disusun oleh: VeinTech  |  31 Juli 2026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/>
          <w:b w:val="0"/>
          <w:color w:val="173042"/>
          <w:sz w:val="21"/>
        </w:rPr>
      </w:r>
    </w:p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Ringkasan Penawaran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1"/>
        </w:rPr>
        <w:t>Skema yang direkomendasikan adalah kontrak harga tetap berbasis tahapan (fixed-price milestone). Skema ini memberi kepastian anggaran bagi Menengs dan memastikan pembayaran selalu mengikuti hasil kerja yang dapat diuji.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331"/>
            <w:tcW w:w="3120" w:type="dxa"/>
            <w:shd w:fill="EAF8F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5F7484"/>
                <w:sz w:val="17"/>
              </w:rPr>
              <w:t>NILAI PENAWARAN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73B5A"/>
                <w:sz w:val="29"/>
              </w:rPr>
              <w:t>Rp 30.800.000</w:t>
            </w:r>
          </w:p>
        </w:tc>
        <w:tc>
          <w:tcPr>
            <w:tcW w:type="dxa" w:w="3331"/>
            <w:tcW w:w="3120" w:type="dxa"/>
            <w:shd w:fill="EAF8F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5F7484"/>
                <w:sz w:val="17"/>
              </w:rPr>
              <w:t>ESTIMASI PELAKSANAAN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73B5A"/>
                <w:sz w:val="29"/>
              </w:rPr>
              <w:t>2 bulan kerja</w:t>
            </w:r>
          </w:p>
        </w:tc>
        <w:tc>
          <w:tcPr>
            <w:tcW w:type="dxa" w:w="3331"/>
            <w:tcW w:w="3120" w:type="dxa"/>
            <w:shd w:fill="EAF8F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5F7484"/>
                <w:sz w:val="17"/>
              </w:rPr>
              <w:t>GARANSI PERBAIKAN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73B5A"/>
                <w:sz w:val="29"/>
              </w:rPr>
              <w:t>3 bulan pasca go-live</w:t>
            </w:r>
          </w:p>
        </w:tc>
      </w:tr>
    </w:tbl>
    <w:p>
      <w:pPr>
        <w:spacing w:before="200" w:after="120" w:line="264" w:lineRule="auto"/>
        <w:jc w:val="left"/>
      </w:pPr>
      <w:r>
        <w:rPr>
          <w:rFonts w:ascii="Calibri" w:hAnsi="Calibri"/>
          <w:b/>
          <w:color w:val="073B5A"/>
          <w:sz w:val="25"/>
        </w:rPr>
        <w:t>Ruang Lingkup Utama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Master data produk, varian, lokasi, pengguna, peran dan akses berbasis RBAC.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Inventaris real-time: stok masuk, saldo per lokasi, transfer, penerimaan, stock opname, retur, dan riwayat pergerakan.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POS outlet dengan pemilihan varian, scanner barcode, pembayaran tunai/QRIS/transfer, serta kanal online/reseller.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Dashboard, analitik per kanal, laporan operasional, kalkulator HPP, dan biaya marketplace.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API, basis data, pengujian UAT, deployment, pelatihan admin, dan dokumentasi serah-terima.</w:t>
      </w:r>
    </w:p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Bonus Implementasi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0"/>
        </w:rPr>
        <w:t>Sebagai nilai tambah, VeinTech memberikan jasa konfigurasi BigSeller tanpa biaya tambahan. Cakupan bonus ini meliputi: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Membantu menghubungkan akun marketplace yang didukung BigSeller ke satu dashboard operasional.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Membantu pengaturan dasar sinkronisasi pesanan masuk dan pemetaan stok agar pembaruan stok dapat dijalankan melalui BigSeller.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Pengujian alur pesanan dan stok bersama PIC client pada kanal yang telah terhubung.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19"/>
        </w:rPr>
        <w:t>Catatan: lisensi/langganan BigSeller, akun marketplace aktif, kredensial integrasi, serta kebijakan dan batasan API masing-masing marketplace disediakan oleh client dan berada di luar nilai RAB. Sinkronisasi real-time mengikuti kemampuan paket dan kanal yang didukung BigSeller.</w:t>
      </w:r>
    </w:p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Rincian Anggaran Biaya (RAB)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0"/>
        </w:rPr>
        <w:t>Nilai mencakup analisis, pengembangan, pengujian, dan serah-terima versi 1.0. Sebagai dukungan implementasi Menengs, diberikan diskon pada setiap komponen. Harga bersifat fixed-price selama ruang lingkup tidak berubah.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500"/>
        <w:gridCol w:w="3850"/>
        <w:gridCol w:w="1650"/>
        <w:gridCol w:w="1550"/>
        <w:gridCol w:w="1810"/>
      </w:tblGrid>
      <w:tr>
        <w:tc>
          <w:tcPr>
            <w:tcW w:type="dxa" w:w="1999"/>
            <w:tcW w:w="50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999"/>
            <w:tcW w:w="38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Komponen pekerjaan</w:t>
            </w:r>
          </w:p>
        </w:tc>
        <w:tc>
          <w:tcPr>
            <w:tcW w:type="dxa" w:w="1999"/>
            <w:tcW w:w="16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 awal</w:t>
            </w:r>
          </w:p>
        </w:tc>
        <w:tc>
          <w:tcPr>
            <w:tcW w:type="dxa" w:w="1999"/>
            <w:tcW w:w="15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Diskon</w:t>
            </w:r>
          </w:p>
        </w:tc>
        <w:tc>
          <w:tcPr>
            <w:tcW w:type="dxa" w:w="1999"/>
            <w:tcW w:w="181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 penawaran</w:t>
            </w:r>
          </w:p>
        </w:tc>
      </w:tr>
      <w:t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1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Analisis kebutuhan, perancangan alur operasional &amp; UI/UX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4.500.000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1.800.000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2.700.000</w:t>
            </w:r>
          </w:p>
        </w:tc>
      </w:tr>
      <w:tr>
        <w:tc>
          <w:tcPr>
            <w:tcW w:type="dxa" w:w="5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2</w:t>
            </w:r>
          </w:p>
        </w:tc>
        <w:tc>
          <w:tcPr>
            <w:tcW w:type="dxa" w:w="38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Master data, pengguna, dan RBAC</w:t>
            </w:r>
          </w:p>
        </w:tc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7.500.000</w:t>
            </w:r>
          </w:p>
        </w:tc>
        <w:tc>
          <w:tcPr>
            <w:tcW w:type="dxa" w:w="1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3.000.000</w:t>
            </w:r>
          </w:p>
        </w:tc>
        <w:tc>
          <w:tcPr>
            <w:tcW w:type="dxa" w:w="181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4.500.000</w:t>
            </w:r>
          </w:p>
        </w:tc>
      </w:tr>
      <w:t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3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Modul inventaris dan sinkronisasi antar lokasi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9.500.000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3.700.000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5.800.000</w:t>
            </w:r>
          </w:p>
        </w:tc>
      </w:tr>
      <w:tr>
        <w:tc>
          <w:tcPr>
            <w:tcW w:type="dxa" w:w="5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4</w:t>
            </w:r>
          </w:p>
        </w:tc>
        <w:tc>
          <w:tcPr>
            <w:tcW w:type="dxa" w:w="38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POS outlet &amp; penjualan multi-kanal</w:t>
            </w:r>
          </w:p>
        </w:tc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8.000.000</w:t>
            </w:r>
          </w:p>
        </w:tc>
        <w:tc>
          <w:tcPr>
            <w:tcW w:type="dxa" w:w="1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3.200.000</w:t>
            </w:r>
          </w:p>
        </w:tc>
        <w:tc>
          <w:tcPr>
            <w:tcW w:type="dxa" w:w="181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4.800.000</w:t>
            </w:r>
          </w:p>
        </w:tc>
      </w:tr>
      <w:t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5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Dashboard, analitik, laporan, HPP &amp; marketplace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6.500.000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2.600.000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3.900.000</w:t>
            </w:r>
          </w:p>
        </w:tc>
      </w:tr>
      <w:tr>
        <w:tc>
          <w:tcPr>
            <w:tcW w:type="dxa" w:w="5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6</w:t>
            </w:r>
          </w:p>
        </w:tc>
        <w:tc>
          <w:tcPr>
            <w:tcW w:type="dxa" w:w="38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API, database, keamanan, dan integrasi internal</w:t>
            </w:r>
          </w:p>
        </w:tc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7.500.000</w:t>
            </w:r>
          </w:p>
        </w:tc>
        <w:tc>
          <w:tcPr>
            <w:tcW w:type="dxa" w:w="1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3.000.000</w:t>
            </w:r>
          </w:p>
        </w:tc>
        <w:tc>
          <w:tcPr>
            <w:tcW w:type="dxa" w:w="181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4.500.000</w:t>
            </w:r>
          </w:p>
        </w:tc>
      </w:tr>
      <w:t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7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QA, UAT, deployment, dan pelatihan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5.000.000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2.000.000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3.000.000</w:t>
            </w:r>
          </w:p>
        </w:tc>
      </w:tr>
      <w:tr>
        <w:tc>
          <w:tcPr>
            <w:tcW w:type="dxa" w:w="5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8</w:t>
            </w:r>
          </w:p>
        </w:tc>
        <w:tc>
          <w:tcPr>
            <w:tcW w:type="dxa" w:w="38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Dokumentasi dan serah-terima teknis</w:t>
            </w:r>
          </w:p>
        </w:tc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2.300.000</w:t>
            </w:r>
          </w:p>
        </w:tc>
        <w:tc>
          <w:tcPr>
            <w:tcW w:type="dxa" w:w="1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700.000</w:t>
            </w:r>
          </w:p>
        </w:tc>
        <w:tc>
          <w:tcPr>
            <w:tcW w:type="dxa" w:w="181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1.600.000</w:t>
            </w:r>
          </w:p>
        </w:tc>
      </w:tr>
      <w:tr>
        <w:tc>
          <w:tcPr>
            <w:tcW w:type="dxa" w:w="500"/>
            <w:shd w:fill="EA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073B5A"/>
                <w:sz w:val="20"/>
              </w:rPr>
            </w:r>
          </w:p>
        </w:tc>
        <w:tc>
          <w:tcPr>
            <w:tcW w:type="dxa" w:w="3850"/>
            <w:shd w:fill="EA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073B5A"/>
                <w:sz w:val="20"/>
              </w:rPr>
              <w:t>TOTAL NILAI PENGEMBANGAN</w:t>
            </w:r>
          </w:p>
        </w:tc>
        <w:tc>
          <w:tcPr>
            <w:tcW w:type="dxa" w:w="1650"/>
            <w:shd w:fill="EA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073B5A"/>
                <w:sz w:val="20"/>
              </w:rPr>
              <w:t>Rp 50.800.000</w:t>
            </w:r>
          </w:p>
        </w:tc>
        <w:tc>
          <w:tcPr>
            <w:tcW w:type="dxa" w:w="1550"/>
            <w:shd w:fill="EA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073B5A"/>
                <w:sz w:val="20"/>
              </w:rPr>
              <w:t>Rp 20.000.000</w:t>
            </w:r>
          </w:p>
        </w:tc>
        <w:tc>
          <w:tcPr>
            <w:tcW w:type="dxa" w:w="1810"/>
            <w:shd w:fill="EA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073B5A"/>
                <w:sz w:val="20"/>
              </w:rPr>
              <w:t>Rp 30.800.000</w:t>
            </w:r>
          </w:p>
        </w:tc>
      </w:tr>
    </w:tbl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Tahapan Pembayaran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0"/>
        </w:rPr>
        <w:t>Pembayaran berbasis hasil kerja agar kedua pihak memiliki kontrol jelas atas progres proyek.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1000"/>
        <w:gridCol w:w="3600"/>
        <w:gridCol w:w="1700"/>
        <w:gridCol w:w="3060"/>
      </w:tblGrid>
      <w:tr>
        <w:tc>
          <w:tcPr>
            <w:tcW w:type="dxa" w:w="2498"/>
            <w:tcW w:w="100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498"/>
            <w:tcW w:w="360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 / dasar penagihan</w:t>
            </w:r>
          </w:p>
        </w:tc>
        <w:tc>
          <w:tcPr>
            <w:tcW w:type="dxa" w:w="2498"/>
            <w:tcW w:w="170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Porsi</w:t>
            </w:r>
          </w:p>
        </w:tc>
        <w:tc>
          <w:tcPr>
            <w:tcW w:type="dxa" w:w="2498"/>
            <w:tcW w:w="306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I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Persetujuan RAB, SOW, dan kickoff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30%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9.240.000</w:t>
            </w:r>
          </w:p>
        </w:tc>
      </w:tr>
      <w:tr>
        <w:tc>
          <w:tcPr>
            <w:tcW w:type="dxa" w:w="10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II</w:t>
            </w:r>
          </w:p>
        </w:tc>
        <w:tc>
          <w:tcPr>
            <w:tcW w:type="dxa" w:w="36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Master data, RBAC, inventaris, dan POS siap UAT</w:t>
            </w:r>
          </w:p>
        </w:tc>
        <w:tc>
          <w:tcPr>
            <w:tcW w:type="dxa" w:w="17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35%</w:t>
            </w:r>
          </w:p>
        </w:tc>
        <w:tc>
          <w:tcPr>
            <w:tcW w:type="dxa" w:w="306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10.780.000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III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Analitik, HPP, marketplace, dan UAT selesai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25%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7.700.000</w:t>
            </w:r>
          </w:p>
        </w:tc>
      </w:tr>
      <w:tr>
        <w:tc>
          <w:tcPr>
            <w:tcW w:type="dxa" w:w="10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IV</w:t>
            </w:r>
          </w:p>
        </w:tc>
        <w:tc>
          <w:tcPr>
            <w:tcW w:type="dxa" w:w="36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Go-live, pelatihan, dan serah-terima</w:t>
            </w:r>
          </w:p>
        </w:tc>
        <w:tc>
          <w:tcPr>
            <w:tcW w:type="dxa" w:w="17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10%</w:t>
            </w:r>
          </w:p>
        </w:tc>
        <w:tc>
          <w:tcPr>
            <w:tcW w:type="dxa" w:w="306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Rp 3.080.000</w:t>
            </w:r>
          </w:p>
        </w:tc>
      </w:tr>
    </w:tbl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Jadwal Pelaksanaan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1650"/>
        <w:gridCol w:w="5550"/>
        <w:gridCol w:w="2160"/>
      </w:tblGrid>
      <w:tr>
        <w:tc>
          <w:tcPr>
            <w:tcW w:type="dxa" w:w="3331"/>
            <w:tcW w:w="16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Periode</w:t>
            </w:r>
          </w:p>
        </w:tc>
        <w:tc>
          <w:tcPr>
            <w:tcW w:type="dxa" w:w="3331"/>
            <w:tcW w:w="55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Fokus pekerjaan</w:t>
            </w:r>
          </w:p>
        </w:tc>
        <w:tc>
          <w:tcPr>
            <w:tcW w:type="dxa" w:w="3331"/>
            <w:tcW w:w="216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 utama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Minggu 1–2</w:t>
            </w:r>
          </w:p>
        </w:tc>
        <w:tc>
          <w:tcPr>
            <w:tcW w:type="dxa" w:w="5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Discovery, data model, UI/UX, dan master data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Prototype disetujui</w:t>
            </w:r>
          </w:p>
        </w:tc>
      </w:tr>
      <w:tr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Minggu 3–4</w:t>
            </w:r>
          </w:p>
        </w:tc>
        <w:tc>
          <w:tcPr>
            <w:tcW w:type="dxa" w:w="5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Inventaris, transfer, stok masuk, RBAC</w:t>
            </w:r>
          </w:p>
        </w:tc>
        <w:tc>
          <w:tcPr>
            <w:tcW w:type="dxa" w:w="216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Alur stok siap UAT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Minggu 5–6</w:t>
            </w:r>
          </w:p>
        </w:tc>
        <w:tc>
          <w:tcPr>
            <w:tcW w:type="dxa" w:w="5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POS, penjualan, dashboard, dan analitik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Modul transaksi siap UAT</w:t>
            </w:r>
          </w:p>
        </w:tc>
      </w:tr>
      <w:tr>
        <w:tc>
          <w:tcPr>
            <w:tcW w:type="dxa" w:w="16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Minggu 7–8</w:t>
            </w:r>
          </w:p>
        </w:tc>
        <w:tc>
          <w:tcPr>
            <w:tcW w:type="dxa" w:w="55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HPP, marketplace, QA, deployment, training</w:t>
            </w:r>
          </w:p>
        </w:tc>
        <w:tc>
          <w:tcPr>
            <w:tcW w:type="dxa" w:w="216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Go-live &amp; handover</w:t>
            </w:r>
          </w:p>
        </w:tc>
      </w:tr>
    </w:tbl>
    <w:p>
      <w:r>
        <w:br w:type="page"/>
      </w:r>
    </w:p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Garansi, Dukungan, dan Opsi Pemeliharaan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0"/>
        </w:rPr>
        <w:t>Garansi perbaikan bug selama 3 bulan setelah go-live sudah termasuk. Perubahan proses bisnis baru ditangani melalui change request.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3150"/>
        <w:gridCol w:w="3700"/>
        <w:gridCol w:w="2510"/>
      </w:tblGrid>
      <w:tr>
        <w:tc>
          <w:tcPr>
            <w:tcW w:type="dxa" w:w="3331"/>
            <w:tcW w:w="315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3331"/>
            <w:tcW w:w="370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3331"/>
            <w:tcW w:w="2510" w:type="dxa"/>
            <w:shd w:fill="073B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Garansi pasca go-live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Perbaikan bug dalam ruang lingkup selama 3 bulan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Termasuk</w:t>
            </w:r>
          </w:p>
        </w:tc>
      </w:tr>
      <w:tr>
        <w:tc>
          <w:tcPr>
            <w:tcW w:type="dxa" w:w="315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Pemeliharaan bulanan (opsional)</w:t>
            </w:r>
          </w:p>
        </w:tc>
        <w:tc>
          <w:tcPr>
            <w:tcW w:type="dxa" w:w="370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73042"/>
                <w:sz w:val="18"/>
              </w:rPr>
              <w:t>Monitoring, backup review, dan perbaikan minor maksimal 8 jam/bulan</w:t>
            </w:r>
          </w:p>
        </w:tc>
        <w:tc>
          <w:tcPr>
            <w:tcW w:type="dxa" w:w="2510"/>
            <w:shd w:fill="F4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173042"/>
                <w:sz w:val="18"/>
              </w:rPr>
              <w:t>Rp 1.850.000/bulan</w:t>
            </w:r>
          </w:p>
        </w:tc>
      </w:tr>
    </w:tbl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Asumsi dan Pengecualian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Nilai belum termasuk PPN, domain, hosting/cloud, SMS/WhatsApp, biaya payment gateway, atau layanan pihak ketiga.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Integrasi otomatis marketplace, kurir, dan payment gateway tidak termasuk kecuali disepakati melalui change request.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Client menyediakan data awal produk, lokasi, pengguna, kebijakan operasional, dan PIC UAT sesuai jadwal.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Perubahan kebutuhan di luar ruang lingkup dihitung melalui change request tertulis.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color w:val="173042"/>
          <w:sz w:val="21"/>
        </w:rPr>
        <w:t>Penawaran berlaku 14 hari kalender sejak tanggal dokumen ini.</w:t>
      </w:r>
    </w:p>
    <w:p>
      <w:pPr>
        <w:spacing w:before="300" w:after="120" w:line="264" w:lineRule="auto"/>
        <w:jc w:val="left"/>
      </w:pPr>
      <w:r>
        <w:rPr>
          <w:rFonts w:ascii="Calibri" w:hAnsi="Calibri"/>
          <w:b/>
          <w:color w:val="087FA9"/>
          <w:sz w:val="32"/>
        </w:rPr>
        <w:t>Persetujuan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color w:val="173042"/>
          <w:sz w:val="20"/>
        </w:rPr>
        <w:t>Dengan menandatangani bagian berikut, para pihak menyetujui ruang lingkup, nilai, dan skema pembayaran dalam RAB ini.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4680"/>
        <w:gridCol w:w="4680"/>
      </w:tblGrid>
      <w:tr>
        <w:tc>
          <w:tcPr>
            <w:tcW w:type="dxa" w:w="4997"/>
            <w:tcW w:w="4680" w:type="dx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80"/>
            </w:pPr>
            <w:r/>
            <w:r>
              <w:rPr>
                <w:rFonts w:ascii="Calibri" w:hAnsi="Calibri"/>
                <w:b/>
                <w:color w:val="073B5A"/>
                <w:sz w:val="22"/>
              </w:rPr>
              <w:t>Pihak Menengs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F7484"/>
                <w:sz w:val="20"/>
              </w:rPr>
              <w:t>(______________________________)</w:t>
            </w:r>
          </w:p>
        </w:tc>
        <w:tc>
          <w:tcPr>
            <w:tcW w:type="dxa" w:w="4997"/>
            <w:tcW w:w="4680" w:type="dx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80"/>
            </w:pPr>
            <w:r/>
            <w:r>
              <w:rPr>
                <w:rFonts w:ascii="Calibri" w:hAnsi="Calibri"/>
                <w:b/>
                <w:color w:val="073B5A"/>
                <w:sz w:val="22"/>
              </w:rPr>
              <w:t>Penyedia / VeinTech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F7484"/>
                <w:sz w:val="20"/>
              </w:rPr>
              <w:t>(______________________________)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7484"/>
        <w:sz w:val="17"/>
      </w:rPr>
      <w:t>RAB Pengembangan Sistem Operasional Menengs  |  VeinTech  |  31 Juli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