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69" w:lineRule="auto"/>
        <w:jc w:val="center"/>
      </w:pPr>
      <w:r>
        <w:rPr>
          <w:rFonts w:ascii="Aptos" w:hAnsi="Aptos"/>
          <w:b/>
          <w:i w:val="0"/>
          <w:color w:val="087FA9"/>
          <w:sz w:val="22"/>
        </w:rPr>
        <w:t>VEINTECH</w:t>
      </w:r>
    </w:p>
    <w:p>
      <w:pPr>
        <w:spacing w:before="0" w:after="40" w:line="269" w:lineRule="auto"/>
        <w:jc w:val="center"/>
      </w:pPr>
      <w:r>
        <w:rPr>
          <w:rFonts w:ascii="Aptos" w:hAnsi="Aptos"/>
          <w:b/>
          <w:i w:val="0"/>
          <w:color w:val="073B5A"/>
          <w:sz w:val="48"/>
        </w:rPr>
        <w:t>RAB PENGEMBANGAN APLIKASI</w:t>
      </w:r>
    </w:p>
    <w:p>
      <w:pPr>
        <w:spacing w:before="0" w:after="200" w:line="269" w:lineRule="auto"/>
        <w:jc w:val="center"/>
      </w:pPr>
      <w:r>
        <w:rPr>
          <w:rFonts w:ascii="Aptos" w:hAnsi="Aptos"/>
          <w:b/>
          <w:i w:val="0"/>
          <w:color w:val="087FA9"/>
          <w:sz w:val="30"/>
        </w:rPr>
        <w:t>MENENGS — PAKET ESSENTIAL</w:t>
      </w:r>
    </w:p>
    <w:p>
      <w:pPr>
        <w:spacing w:before="0" w:after="360" w:line="269" w:lineRule="auto"/>
        <w:jc w:val="center"/>
      </w:pPr>
      <w:r>
        <w:rPr>
          <w:rFonts w:ascii="Aptos" w:hAnsi="Aptos"/>
          <w:b w:val="0"/>
          <w:i w:val="0"/>
          <w:color w:val="5A7485"/>
          <w:sz w:val="22"/>
        </w:rPr>
        <w:t>Sistem dasar untuk mencatat stok antar lokasi dan penjualan outlet secara rapi.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color="C9E0E8"/>
              <w:left w:val="single" w:sz="8" w:color="C9E0E8"/>
              <w:bottom w:val="single" w:sz="8" w:color="C9E0E8"/>
              <w:right w:val="single" w:sz="8" w:color="C9E0E8"/>
            </w:tcBorders>
            <w:vAlign w:val="center"/>
            <w:shd w:fill="F3F8F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5A7485"/>
                <w:sz w:val="17"/>
              </w:rPr>
              <w:t>NILAI PENGEMBANGAN</w:t>
            </w:r>
          </w:p>
        </w:tc>
        <w:tc>
          <w:tcPr>
            <w:tcW w:type="dxa" w:w="312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color="C9E0E8"/>
              <w:left w:val="single" w:sz="8" w:color="C9E0E8"/>
              <w:bottom w:val="single" w:sz="8" w:color="C9E0E8"/>
              <w:right w:val="single" w:sz="8" w:color="C9E0E8"/>
            </w:tcBorders>
            <w:vAlign w:val="center"/>
            <w:shd w:fill="F3F8F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5A7485"/>
                <w:sz w:val="17"/>
              </w:rPr>
              <w:t>WAKTU PENGERJAAN</w:t>
            </w:r>
          </w:p>
        </w:tc>
        <w:tc>
          <w:tcPr>
            <w:tcW w:type="dxa" w:w="312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color="C9E0E8"/>
              <w:left w:val="single" w:sz="8" w:color="C9E0E8"/>
              <w:bottom w:val="single" w:sz="8" w:color="C9E0E8"/>
              <w:right w:val="single" w:sz="8" w:color="C9E0E8"/>
            </w:tcBorders>
            <w:vAlign w:val="center"/>
            <w:shd w:fill="F3F8F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5A7485"/>
                <w:sz w:val="17"/>
              </w:rPr>
              <w:t>INFRASTRUKTUR</w:t>
            </w:r>
          </w:p>
        </w:tc>
      </w:tr>
      <w:tr>
        <w:tc>
          <w:tcPr>
            <w:tcW w:type="dxa" w:w="312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color="C9E0E8"/>
              <w:left w:val="single" w:sz="8" w:color="C9E0E8"/>
              <w:bottom w:val="single" w:sz="8" w:color="C9E0E8"/>
              <w:right w:val="single" w:sz="8" w:color="C9E0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073B5A"/>
                <w:sz w:val="23"/>
              </w:rPr>
              <w:t>Rp 10.000.000</w:t>
            </w:r>
          </w:p>
        </w:tc>
        <w:tc>
          <w:tcPr>
            <w:tcW w:type="dxa" w:w="312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color="C9E0E8"/>
              <w:left w:val="single" w:sz="8" w:color="C9E0E8"/>
              <w:bottom w:val="single" w:sz="8" w:color="C9E0E8"/>
              <w:right w:val="single" w:sz="8" w:color="C9E0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073B5A"/>
                <w:sz w:val="23"/>
              </w:rPr>
              <w:t>1 bulan kerja</w:t>
            </w:r>
          </w:p>
        </w:tc>
        <w:tc>
          <w:tcPr>
            <w:tcW w:type="dxa" w:w="312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color="C9E0E8"/>
              <w:left w:val="single" w:sz="8" w:color="C9E0E8"/>
              <w:bottom w:val="single" w:sz="8" w:color="C9E0E8"/>
              <w:right w:val="single" w:sz="8" w:color="C9E0E8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073B5A"/>
                <w:sz w:val="23"/>
              </w:rPr>
              <w:t>Server, hosting &amp; domain 1 tahun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Aptos" w:hAnsi="Aptos"/>
          <w:b/>
          <w:i w:val="0"/>
          <w:color w:val="073B5A"/>
          <w:sz w:val="30"/>
        </w:rPr>
        <w:t>Ringkasan penawaran</w:t>
      </w:r>
    </w:p>
    <w:p>
      <w:pPr>
        <w:spacing w:before="0" w:after="140" w:line="269" w:lineRule="auto"/>
      </w:pPr>
      <w:r>
        <w:rPr>
          <w:rFonts w:ascii="Aptos" w:hAnsi="Aptos"/>
          <w:b w:val="0"/>
          <w:i w:val="0"/>
          <w:color w:val="17364A"/>
          <w:sz w:val="21"/>
        </w:rPr>
        <w:t>Paket Essential dibuat untuk kebutuhan operasional inti Menengs dengan anggaran yang terukur. Fokusnya adalah data produk, stok per lokasi, transfer stok, dan kasir/penjualan outlet. Seluruh fitur dirancang agar mudah digunakan oleh owner maupun tim outlet.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DF6FB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C9E0E8"/>
              <w:left w:val="single" w:sz="8" w:color="C9E0E8"/>
              <w:bottom w:val="single" w:sz="8" w:color="C9E0E8"/>
              <w:right w:val="single" w:sz="8" w:color="C9E0E8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073B5A"/>
                <w:sz w:val="22"/>
              </w:rPr>
              <w:t>Yang termasuk dalam nilai Rp10.000.000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64A"/>
                <w:sz w:val="20"/>
              </w:rPr>
              <w:t>Analisis kebutuhan dasar, pengembangan aplikasi, pengujian bersama (UAT), publikasi aplikasi, pelatihan singkat admin, serta server, hosting, dan satu domain selama 12 bulan pertama.</w:t>
            </w:r>
          </w:p>
        </w:tc>
      </w:tr>
    </w:tbl>
    <w:p>
      <w:pPr>
        <w:spacing w:after="20"/>
      </w:pPr>
    </w:p>
    <w:p>
      <w:pPr>
        <w:spacing w:before="280" w:after="100"/>
      </w:pPr>
      <w:r>
        <w:rPr>
          <w:rFonts w:ascii="Aptos" w:hAnsi="Aptos"/>
          <w:b/>
          <w:i w:val="0"/>
          <w:color w:val="073B5A"/>
          <w:sz w:val="30"/>
        </w:rPr>
        <w:t>Hasil yang diterima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17364A"/>
          <w:sz w:val="20"/>
        </w:rPr>
        <w:t>Aplikasi web yang dapat dibuka dari komputer, tablet, dan ponsel.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17364A"/>
          <w:sz w:val="20"/>
        </w:rPr>
        <w:t>Akun owner dan akun tim dengan akses sesuai peran kerja.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17364A"/>
          <w:sz w:val="20"/>
        </w:rPr>
        <w:t>Pencatatan stok dan penjualan yang tersimpan di basis data aplikasi.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17364A"/>
          <w:sz w:val="20"/>
        </w:rPr>
        <w:t>Serah-terima aplikasi setelah UAT disetujui oleh PIC client.</w:t>
      </w:r>
    </w:p>
    <w:p>
      <w:r>
        <w:br w:type="page"/>
      </w:r>
    </w:p>
    <w:p>
      <w:pPr>
        <w:spacing w:before="280" w:after="100"/>
      </w:pPr>
      <w:r>
        <w:rPr>
          <w:rFonts w:ascii="Aptos" w:hAnsi="Aptos"/>
          <w:b/>
          <w:i w:val="0"/>
          <w:color w:val="073B5A"/>
          <w:sz w:val="30"/>
        </w:rPr>
        <w:t>Ruang lingkup fitur dasar</w:t>
      </w:r>
    </w:p>
    <w:p>
      <w:pPr>
        <w:spacing w:before="0" w:after="140" w:line="269" w:lineRule="auto"/>
      </w:pPr>
      <w:r>
        <w:rPr>
          <w:rFonts w:ascii="Aptos" w:hAnsi="Aptos"/>
          <w:b w:val="0"/>
          <w:i w:val="0"/>
          <w:color w:val="17364A"/>
          <w:sz w:val="21"/>
        </w:rPr>
        <w:t>Berikut adalah fitur yang dikerjakan pada paket ini. Penjelasan dibuat sederhana agar mudah dipakai sebagai acuan bersama saat UAT.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shd w:fill="073B5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FITUR</w:t>
            </w:r>
          </w:p>
        </w:tc>
        <w:tc>
          <w:tcPr>
            <w:tcW w:type="dxa" w:w="4200"/>
            <w:shd w:fill="073B5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YANG DAPAT DILAKUKAN</w:t>
            </w:r>
          </w:p>
        </w:tc>
        <w:tc>
          <w:tcPr>
            <w:tcW w:type="dxa" w:w="3360"/>
            <w:shd w:fill="073B5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MANFAAT</w:t>
            </w:r>
          </w:p>
        </w:tc>
      </w:tr>
      <w:tr>
        <w:tc>
          <w:tcPr>
            <w:tcW w:type="dxa" w:w="18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17364A"/>
                <w:sz w:val="18"/>
              </w:rPr>
              <w:t>Produk &amp; varian</w:t>
            </w:r>
          </w:p>
        </w:tc>
        <w:tc>
          <w:tcPr>
            <w:tcW w:type="dxa" w:w="4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8"/>
              </w:rPr>
              <w:t>Menambah produk, rasa/ukuran/kemasan, harga jual, SKU/barcode, dan status aktif produk.</w:t>
            </w:r>
          </w:p>
        </w:tc>
        <w:tc>
          <w:tcPr>
            <w:tcW w:type="dxa" w:w="33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8"/>
              </w:rPr>
              <w:t>Barang lebih mudah ditemukan dan risiko salah pilih varian berkurang.</w:t>
            </w:r>
          </w:p>
        </w:tc>
      </w:tr>
      <w:tr>
        <w:tc>
          <w:tcPr>
            <w:tcW w:type="dxa" w:w="1800"/>
            <w:shd w:fill="F3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17364A"/>
                <w:sz w:val="18"/>
              </w:rPr>
              <w:t>Lokasi &amp; akun tim</w:t>
            </w:r>
          </w:p>
        </w:tc>
        <w:tc>
          <w:tcPr>
            <w:tcW w:type="dxa" w:w="4200"/>
            <w:shd w:fill="F3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8"/>
              </w:rPr>
              <w:t>Mencatat gudang/outlet serta membuat akun owner dan tim dengan akses sesuai tugas.</w:t>
            </w:r>
          </w:p>
        </w:tc>
        <w:tc>
          <w:tcPr>
            <w:tcW w:type="dxa" w:w="3360"/>
            <w:shd w:fill="F3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8"/>
              </w:rPr>
              <w:t>Data operasional lebih rapi dan akses penting tidak terbuka untuk semua orang.</w:t>
            </w:r>
          </w:p>
        </w:tc>
      </w:tr>
      <w:tr>
        <w:tc>
          <w:tcPr>
            <w:tcW w:type="dxa" w:w="18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17364A"/>
                <w:sz w:val="18"/>
              </w:rPr>
              <w:t>Stok masuk</w:t>
            </w:r>
          </w:p>
        </w:tc>
        <w:tc>
          <w:tcPr>
            <w:tcW w:type="dxa" w:w="4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8"/>
              </w:rPr>
              <w:t>Mencatat barang yang masuk ke gudang atau outlet beserta jumlah dan catatan dasar.</w:t>
            </w:r>
          </w:p>
        </w:tc>
        <w:tc>
          <w:tcPr>
            <w:tcW w:type="dxa" w:w="33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8"/>
              </w:rPr>
              <w:t>Saldo stok bertambah dengan riwayat yang jelas.</w:t>
            </w:r>
          </w:p>
        </w:tc>
      </w:tr>
      <w:tr>
        <w:tc>
          <w:tcPr>
            <w:tcW w:type="dxa" w:w="1800"/>
            <w:shd w:fill="F3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17364A"/>
                <w:sz w:val="18"/>
              </w:rPr>
              <w:t>Stok per lokasi</w:t>
            </w:r>
          </w:p>
        </w:tc>
        <w:tc>
          <w:tcPr>
            <w:tcW w:type="dxa" w:w="4200"/>
            <w:shd w:fill="F3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8"/>
              </w:rPr>
              <w:t>Melihat saldo stok per produk pada masing-masing lokasi serta batas stok minimum.</w:t>
            </w:r>
          </w:p>
        </w:tc>
        <w:tc>
          <w:tcPr>
            <w:tcW w:type="dxa" w:w="3360"/>
            <w:shd w:fill="F3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8"/>
              </w:rPr>
              <w:t>Owner dan PIC cepat mengetahui barang yang perlu disiapkan.</w:t>
            </w:r>
          </w:p>
        </w:tc>
      </w:tr>
      <w:tr>
        <w:tc>
          <w:tcPr>
            <w:tcW w:type="dxa" w:w="18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17364A"/>
                <w:sz w:val="18"/>
              </w:rPr>
              <w:t>Transfer stok</w:t>
            </w:r>
          </w:p>
        </w:tc>
        <w:tc>
          <w:tcPr>
            <w:tcW w:type="dxa" w:w="4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8"/>
              </w:rPr>
              <w:t>Membuat dokumen pengiriman dari satu lokasi ke lokasi lain dan mengonfirmasi penerimaan.</w:t>
            </w:r>
          </w:p>
        </w:tc>
        <w:tc>
          <w:tcPr>
            <w:tcW w:type="dxa" w:w="33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8"/>
              </w:rPr>
              <w:t>Stok tujuan bertambah hanya setelah barang diterima.</w:t>
            </w:r>
          </w:p>
        </w:tc>
      </w:tr>
      <w:tr>
        <w:tc>
          <w:tcPr>
            <w:tcW w:type="dxa" w:w="1800"/>
            <w:shd w:fill="F3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17364A"/>
                <w:sz w:val="18"/>
              </w:rPr>
              <w:t>POS outlet</w:t>
            </w:r>
          </w:p>
        </w:tc>
        <w:tc>
          <w:tcPr>
            <w:tcW w:type="dxa" w:w="4200"/>
            <w:shd w:fill="F3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8"/>
              </w:rPr>
              <w:t>Mencatat penjualan offline, memilih produk/varian, jumlah, dan metode bayar tunai/QRIS/transfer.</w:t>
            </w:r>
          </w:p>
        </w:tc>
        <w:tc>
          <w:tcPr>
            <w:tcW w:type="dxa" w:w="3360"/>
            <w:shd w:fill="F3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8"/>
              </w:rPr>
              <w:t>Kasir dapat melayani transaksi harian dan stok outlet otomatis berkurang.</w:t>
            </w:r>
          </w:p>
        </w:tc>
      </w:tr>
      <w:tr>
        <w:tc>
          <w:tcPr>
            <w:tcW w:type="dxa" w:w="18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17364A"/>
                <w:sz w:val="18"/>
              </w:rPr>
              <w:t>Dashboard &amp; laporan dasar</w:t>
            </w:r>
          </w:p>
        </w:tc>
        <w:tc>
          <w:tcPr>
            <w:tcW w:type="dxa" w:w="4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8"/>
              </w:rPr>
              <w:t>Ringkasan penjualan, stok, dan transaksi utama untuk periode tanggal yang dipilih.</w:t>
            </w:r>
          </w:p>
        </w:tc>
        <w:tc>
          <w:tcPr>
            <w:tcW w:type="dxa" w:w="33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8"/>
              </w:rPr>
              <w:t>Owner memiliki gambaran usaha tanpa membuka catatan manual.</w:t>
            </w:r>
          </w:p>
        </w:tc>
      </w:tr>
    </w:tbl>
    <w:p>
      <w:pPr>
        <w:spacing w:before="280" w:after="100"/>
      </w:pPr>
      <w:r>
        <w:rPr>
          <w:rFonts w:ascii="Aptos" w:hAnsi="Aptos"/>
          <w:b/>
          <w:i w:val="0"/>
          <w:color w:val="073B5A"/>
          <w:sz w:val="30"/>
        </w:rPr>
        <w:t>Batasan paket Essential</w:t>
      </w:r>
    </w:p>
    <w:p>
      <w:pPr>
        <w:spacing w:before="0" w:after="80" w:line="269" w:lineRule="auto"/>
      </w:pPr>
      <w:r>
        <w:rPr>
          <w:rFonts w:ascii="Aptos" w:hAnsi="Aptos"/>
          <w:b w:val="0"/>
          <w:i w:val="0"/>
          <w:color w:val="17364A"/>
          <w:sz w:val="21"/>
        </w:rPr>
        <w:t>Agar waktu satu bulan dan anggaran Rp10 juta dapat dipenuhi, fitur di bawah ini tidak termasuk dalam penawaran ini: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17364A"/>
          <w:sz w:val="20"/>
        </w:rPr>
        <w:t>Integrasi BigSeller, marketplace, kurir, payment gateway, atau layanan pihak ketiga lainnya.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17364A"/>
          <w:sz w:val="20"/>
        </w:rPr>
        <w:t>Pencatatan pesanan marketplace secara otomatis, sinkronisasi stok marketplace, dan biaya marketplace.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17364A"/>
          <w:sz w:val="20"/>
        </w:rPr>
        <w:t>Kalkulator HPP/produksi, analitik lanjutan, ekspor laporan khusus, HR/karyawan, absensi, penggajian, dan kasbon.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17364A"/>
          <w:sz w:val="20"/>
        </w:rPr>
        <w:t>Pembuatan fitur baru, perubahan alur bisnis, serta revisi setelah UAT dan serah-terima disetujui.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8F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C9E0E8"/>
              <w:left w:val="single" w:sz="8" w:color="C9E0E8"/>
              <w:bottom w:val="single" w:sz="8" w:color="C9E0E8"/>
              <w:right w:val="single" w:sz="8" w:color="C9E0E8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137A50"/>
                <w:sz w:val="22"/>
              </w:rPr>
              <w:t>Catatan infrastruktur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364A"/>
                <w:sz w:val="20"/>
              </w:rPr>
              <w:t>Server aplikasi, hosting, dan satu domain disediakan untuk 12 bulan pertama sejak aplikasi go-live. Perpanjangan setelah periode tersebut akan mengikuti biaya penyedia layanan pada saat perpanjangan.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80" w:after="100"/>
      </w:pPr>
      <w:r>
        <w:rPr>
          <w:rFonts w:ascii="Aptos" w:hAnsi="Aptos"/>
          <w:b/>
          <w:i w:val="0"/>
          <w:color w:val="073B5A"/>
          <w:sz w:val="30"/>
        </w:rPr>
        <w:t>Rincian anggaran biaya</w:t>
      </w:r>
    </w:p>
    <w:p>
      <w:pPr>
        <w:spacing w:before="0" w:after="140" w:line="269" w:lineRule="auto"/>
      </w:pPr>
      <w:r>
        <w:rPr>
          <w:rFonts w:ascii="Aptos" w:hAnsi="Aptos"/>
          <w:b w:val="0"/>
          <w:i w:val="0"/>
          <w:color w:val="17364A"/>
          <w:sz w:val="21"/>
        </w:rPr>
        <w:t>Harga bersifat fixed-price untuk ruang lingkup paket Essential pada dokumen ini.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6070"/>
        <w:gridCol w:w="2670"/>
      </w:tblGrid>
      <w:tr>
        <w:trPr>
          <w:tblHeader w:val="true"/>
        </w:trPr>
        <w:tc>
          <w:tcPr>
            <w:tcW w:type="dxa" w:w="620"/>
            <w:shd w:fill="073B5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6070"/>
            <w:shd w:fill="073B5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KOMPONEN PEKERJAAN</w:t>
            </w:r>
          </w:p>
        </w:tc>
        <w:tc>
          <w:tcPr>
            <w:tcW w:type="dxa" w:w="2670"/>
            <w:shd w:fill="073B5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62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9"/>
              </w:rPr>
              <w:t>1</w:t>
            </w:r>
          </w:p>
        </w:tc>
        <w:tc>
          <w:tcPr>
            <w:tcW w:type="dxa" w:w="607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9"/>
              </w:rPr>
              <w:t>Analisis kebutuhan dasar &amp; rancangan tampilan</w:t>
            </w:r>
          </w:p>
        </w:tc>
        <w:tc>
          <w:tcPr>
            <w:tcW w:type="dxa" w:w="267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17364A"/>
                <w:sz w:val="19"/>
              </w:rPr>
              <w:t>Rp 1.400.000</w:t>
            </w:r>
          </w:p>
        </w:tc>
      </w:tr>
      <w:tr>
        <w:tc>
          <w:tcPr>
            <w:tcW w:type="dxa" w:w="620"/>
            <w:shd w:fill="F3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9"/>
              </w:rPr>
              <w:t>2</w:t>
            </w:r>
          </w:p>
        </w:tc>
        <w:tc>
          <w:tcPr>
            <w:tcW w:type="dxa" w:w="6070"/>
            <w:shd w:fill="F3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9"/>
              </w:rPr>
              <w:t>Master produk, lokasi, akun tim &amp; hak akses</w:t>
            </w:r>
          </w:p>
        </w:tc>
        <w:tc>
          <w:tcPr>
            <w:tcW w:type="dxa" w:w="2670"/>
            <w:shd w:fill="F3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17364A"/>
                <w:sz w:val="19"/>
              </w:rPr>
              <w:t>Rp 1.300.000</w:t>
            </w:r>
          </w:p>
        </w:tc>
      </w:tr>
      <w:tr>
        <w:tc>
          <w:tcPr>
            <w:tcW w:type="dxa" w:w="62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9"/>
              </w:rPr>
              <w:t>3</w:t>
            </w:r>
          </w:p>
        </w:tc>
        <w:tc>
          <w:tcPr>
            <w:tcW w:type="dxa" w:w="607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9"/>
              </w:rPr>
              <w:t>Stok masuk, stok per lokasi &amp; transfer stok</w:t>
            </w:r>
          </w:p>
        </w:tc>
        <w:tc>
          <w:tcPr>
            <w:tcW w:type="dxa" w:w="267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17364A"/>
                <w:sz w:val="19"/>
              </w:rPr>
              <w:t>Rp 2.000.000</w:t>
            </w:r>
          </w:p>
        </w:tc>
      </w:tr>
      <w:tr>
        <w:tc>
          <w:tcPr>
            <w:tcW w:type="dxa" w:w="620"/>
            <w:shd w:fill="F3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9"/>
              </w:rPr>
              <w:t>4</w:t>
            </w:r>
          </w:p>
        </w:tc>
        <w:tc>
          <w:tcPr>
            <w:tcW w:type="dxa" w:w="6070"/>
            <w:shd w:fill="F3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9"/>
              </w:rPr>
              <w:t>POS/penjualan offline dan pencatatan pembayaran</w:t>
            </w:r>
          </w:p>
        </w:tc>
        <w:tc>
          <w:tcPr>
            <w:tcW w:type="dxa" w:w="2670"/>
            <w:shd w:fill="F3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17364A"/>
                <w:sz w:val="19"/>
              </w:rPr>
              <w:t>Rp 1.800.000</w:t>
            </w:r>
          </w:p>
        </w:tc>
      </w:tr>
      <w:tr>
        <w:tc>
          <w:tcPr>
            <w:tcW w:type="dxa" w:w="62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9"/>
              </w:rPr>
              <w:t>5</w:t>
            </w:r>
          </w:p>
        </w:tc>
        <w:tc>
          <w:tcPr>
            <w:tcW w:type="dxa" w:w="607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9"/>
              </w:rPr>
              <w:t>Dashboard serta laporan operasional dasar</w:t>
            </w:r>
          </w:p>
        </w:tc>
        <w:tc>
          <w:tcPr>
            <w:tcW w:type="dxa" w:w="267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17364A"/>
                <w:sz w:val="19"/>
              </w:rPr>
              <w:t>Rp 1.000.000</w:t>
            </w:r>
          </w:p>
        </w:tc>
      </w:tr>
      <w:tr>
        <w:tc>
          <w:tcPr>
            <w:tcW w:type="dxa" w:w="620"/>
            <w:shd w:fill="F3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9"/>
              </w:rPr>
              <w:t>6</w:t>
            </w:r>
          </w:p>
        </w:tc>
        <w:tc>
          <w:tcPr>
            <w:tcW w:type="dxa" w:w="6070"/>
            <w:shd w:fill="F3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9"/>
              </w:rPr>
              <w:t>Pengujian UAT, deployment &amp; pelatihan admin</w:t>
            </w:r>
          </w:p>
        </w:tc>
        <w:tc>
          <w:tcPr>
            <w:tcW w:type="dxa" w:w="2670"/>
            <w:shd w:fill="F3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17364A"/>
                <w:sz w:val="19"/>
              </w:rPr>
              <w:t>Rp 1.000.000</w:t>
            </w:r>
          </w:p>
        </w:tc>
      </w:tr>
      <w:tr>
        <w:tc>
          <w:tcPr>
            <w:tcW w:type="dxa" w:w="62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9"/>
              </w:rPr>
              <w:t>7</w:t>
            </w:r>
          </w:p>
        </w:tc>
        <w:tc>
          <w:tcPr>
            <w:tcW w:type="dxa" w:w="607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9"/>
              </w:rPr>
              <w:t>Server, hosting &amp; domain selama 1 tahun</w:t>
            </w:r>
          </w:p>
        </w:tc>
        <w:tc>
          <w:tcPr>
            <w:tcW w:type="dxa" w:w="267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17364A"/>
                <w:sz w:val="19"/>
              </w:rPr>
              <w:t>Rp 1.500.000</w:t>
            </w:r>
          </w:p>
        </w:tc>
      </w:tr>
      <w:tr>
        <w:tc>
          <w:tcPr>
            <w:tcW w:type="dxa" w:w="620"/>
            <w:shd w:fill="DDF6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087FA9"/>
              <w:left w:val="single" w:sz="8" w:color="087FA9"/>
              <w:bottom w:val="single" w:sz="8" w:color="087FA9"/>
              <w:right w:val="single" w:sz="8" w:color="087FA9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8"/>
              </w:rPr>
            </w:r>
          </w:p>
        </w:tc>
        <w:tc>
          <w:tcPr>
            <w:tcW w:type="dxa" w:w="6070"/>
            <w:shd w:fill="DDF6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087FA9"/>
              <w:left w:val="single" w:sz="8" w:color="087FA9"/>
              <w:bottom w:val="single" w:sz="8" w:color="087FA9"/>
              <w:right w:val="single" w:sz="8" w:color="087FA9"/>
            </w:tcBorders>
          </w:tcPr>
          <w:p>
            <w:pPr>
              <w:jc w:val="right"/>
            </w:pPr>
            <w:r/>
            <w:r>
              <w:rPr>
                <w:rFonts w:ascii="Aptos" w:hAnsi="Aptos"/>
                <w:b/>
                <w:i w:val="0"/>
                <w:color w:val="073B5A"/>
                <w:sz w:val="21"/>
              </w:rPr>
              <w:t>TOTAL NILAI PENGEMBANGAN</w:t>
            </w:r>
          </w:p>
        </w:tc>
        <w:tc>
          <w:tcPr>
            <w:tcW w:type="dxa" w:w="2670"/>
            <w:shd w:fill="DDF6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087FA9"/>
              <w:left w:val="single" w:sz="8" w:color="087FA9"/>
              <w:bottom w:val="single" w:sz="8" w:color="087FA9"/>
              <w:right w:val="single" w:sz="8" w:color="087FA9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073B5A"/>
                <w:sz w:val="23"/>
              </w:rPr>
              <w:t>Rp 10.000.000</w:t>
            </w:r>
          </w:p>
        </w:tc>
      </w:tr>
    </w:tbl>
    <w:p>
      <w:pPr>
        <w:spacing w:before="280" w:after="100"/>
      </w:pPr>
      <w:r>
        <w:rPr>
          <w:rFonts w:ascii="Aptos" w:hAnsi="Aptos"/>
          <w:b/>
          <w:i w:val="0"/>
          <w:color w:val="073B5A"/>
          <w:sz w:val="30"/>
        </w:rPr>
        <w:t>Jadwal pelaksanaan — 1 bulan</w:t>
      </w:r>
    </w:p>
    <w:p>
      <w:pPr>
        <w:spacing w:after="80"/>
      </w:pPr>
      <w:r>
        <w:rPr>
          <w:rFonts w:ascii="Aptos" w:hAnsi="Aptos"/>
          <w:b/>
          <w:i w:val="0"/>
          <w:color w:val="087FA9"/>
          <w:sz w:val="20"/>
        </w:rPr>
        <w:t xml:space="preserve">Minggu 1 — </w:t>
      </w:r>
      <w:r>
        <w:rPr>
          <w:rFonts w:ascii="Aptos" w:hAnsi="Aptos"/>
          <w:b w:val="0"/>
          <w:i w:val="0"/>
          <w:color w:val="17364A"/>
          <w:sz w:val="20"/>
        </w:rPr>
        <w:t>Kickoff, kebutuhan dasar, rancangan layar, dan konfigurasi master data.</w:t>
      </w:r>
    </w:p>
    <w:p>
      <w:pPr>
        <w:spacing w:after="80"/>
      </w:pPr>
      <w:r>
        <w:rPr>
          <w:rFonts w:ascii="Aptos" w:hAnsi="Aptos"/>
          <w:b/>
          <w:i w:val="0"/>
          <w:color w:val="087FA9"/>
          <w:sz w:val="20"/>
        </w:rPr>
        <w:t xml:space="preserve">Minggu 2 — </w:t>
      </w:r>
      <w:r>
        <w:rPr>
          <w:rFonts w:ascii="Aptos" w:hAnsi="Aptos"/>
          <w:b w:val="0"/>
          <w:i w:val="0"/>
          <w:color w:val="17364A"/>
          <w:sz w:val="20"/>
        </w:rPr>
        <w:t>Pengerjaan stok masuk, stok per lokasi, dan transfer antar lokasi.</w:t>
      </w:r>
    </w:p>
    <w:p>
      <w:pPr>
        <w:spacing w:after="80"/>
      </w:pPr>
      <w:r>
        <w:rPr>
          <w:rFonts w:ascii="Aptos" w:hAnsi="Aptos"/>
          <w:b/>
          <w:i w:val="0"/>
          <w:color w:val="087FA9"/>
          <w:sz w:val="20"/>
        </w:rPr>
        <w:t xml:space="preserve">Minggu 3 — </w:t>
      </w:r>
      <w:r>
        <w:rPr>
          <w:rFonts w:ascii="Aptos" w:hAnsi="Aptos"/>
          <w:b w:val="0"/>
          <w:i w:val="0"/>
          <w:color w:val="17364A"/>
          <w:sz w:val="20"/>
        </w:rPr>
        <w:t>Pengerjaan POS outlet, dashboard, serta laporan dasar.</w:t>
      </w:r>
    </w:p>
    <w:p>
      <w:pPr>
        <w:spacing w:after="80"/>
      </w:pPr>
      <w:r>
        <w:rPr>
          <w:rFonts w:ascii="Aptos" w:hAnsi="Aptos"/>
          <w:b/>
          <w:i w:val="0"/>
          <w:color w:val="087FA9"/>
          <w:sz w:val="20"/>
        </w:rPr>
        <w:t xml:space="preserve">Minggu 4 — </w:t>
      </w:r>
      <w:r>
        <w:rPr>
          <w:rFonts w:ascii="Aptos" w:hAnsi="Aptos"/>
          <w:b w:val="0"/>
          <w:i w:val="0"/>
          <w:color w:val="17364A"/>
          <w:sz w:val="20"/>
        </w:rPr>
        <w:t>UAT bersama PIC, perbaikan hasil UAT yang disetujui sebelum go-live, deployment, dan pelatihan singkat.</w:t>
      </w:r>
    </w:p>
    <w:p>
      <w:pPr>
        <w:spacing w:before="280" w:after="100"/>
      </w:pPr>
      <w:r>
        <w:rPr>
          <w:rFonts w:ascii="Aptos" w:hAnsi="Aptos"/>
          <w:b/>
          <w:i w:val="0"/>
          <w:color w:val="073B5A"/>
          <w:sz w:val="30"/>
        </w:rPr>
        <w:t>Tahapan pembayaran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5150"/>
        <w:gridCol w:w="2910"/>
      </w:tblGrid>
      <w:tr>
        <w:trPr>
          <w:tblHeader w:val="true"/>
        </w:trPr>
        <w:tc>
          <w:tcPr>
            <w:tcW w:type="dxa" w:w="1300"/>
            <w:shd w:fill="073B5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TAHAP</w:t>
            </w:r>
          </w:p>
        </w:tc>
        <w:tc>
          <w:tcPr>
            <w:tcW w:type="dxa" w:w="5150"/>
            <w:shd w:fill="073B5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DASAR PENAGIHAN</w:t>
            </w:r>
          </w:p>
        </w:tc>
        <w:tc>
          <w:tcPr>
            <w:tcW w:type="dxa" w:w="2910"/>
            <w:shd w:fill="073B5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13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17364A"/>
                <w:sz w:val="18"/>
              </w:rPr>
              <w:t>I · 50%</w:t>
            </w:r>
          </w:p>
        </w:tc>
        <w:tc>
          <w:tcPr>
            <w:tcW w:type="dxa" w:w="515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8"/>
              </w:rPr>
              <w:t>Persetujuan RAB, ruang lingkup, dan kickoff proyek.</w:t>
            </w:r>
          </w:p>
        </w:tc>
        <w:tc>
          <w:tcPr>
            <w:tcW w:type="dxa" w:w="291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17364A"/>
                <w:sz w:val="18"/>
              </w:rPr>
              <w:t>Rp 5.000.000</w:t>
            </w:r>
          </w:p>
        </w:tc>
      </w:tr>
      <w:tr>
        <w:tc>
          <w:tcPr>
            <w:tcW w:type="dxa" w:w="1300"/>
            <w:shd w:fill="F3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17364A"/>
                <w:sz w:val="18"/>
              </w:rPr>
              <w:t>II · 30%</w:t>
            </w:r>
          </w:p>
        </w:tc>
        <w:tc>
          <w:tcPr>
            <w:tcW w:type="dxa" w:w="5150"/>
            <w:shd w:fill="F3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8"/>
              </w:rPr>
              <w:t>Modul stok dan POS dasar siap diuji oleh PIC client.</w:t>
            </w:r>
          </w:p>
        </w:tc>
        <w:tc>
          <w:tcPr>
            <w:tcW w:type="dxa" w:w="2910"/>
            <w:shd w:fill="F3F8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17364A"/>
                <w:sz w:val="18"/>
              </w:rPr>
              <w:t>Rp 3.000.000</w:t>
            </w:r>
          </w:p>
        </w:tc>
      </w:tr>
      <w:tr>
        <w:tc>
          <w:tcPr>
            <w:tcW w:type="dxa" w:w="13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17364A"/>
                <w:sz w:val="18"/>
              </w:rPr>
              <w:t>III · 20%</w:t>
            </w:r>
          </w:p>
        </w:tc>
        <w:tc>
          <w:tcPr>
            <w:tcW w:type="dxa" w:w="515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17364A"/>
                <w:sz w:val="18"/>
              </w:rPr>
              <w:t>UAT disetujui, aplikasi go-live, dan serah-terima.</w:t>
            </w:r>
          </w:p>
        </w:tc>
        <w:tc>
          <w:tcPr>
            <w:tcW w:type="dxa" w:w="291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C9E0E8"/>
              <w:left w:val="single" w:sz="5" w:color="C9E0E8"/>
              <w:bottom w:val="single" w:sz="5" w:color="C9E0E8"/>
              <w:right w:val="single" w:sz="5" w:color="C9E0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17364A"/>
                <w:sz w:val="18"/>
              </w:rPr>
              <w:t>Rp 2.000.000</w:t>
            </w:r>
          </w:p>
        </w:tc>
      </w:tr>
    </w:tbl>
    <w:p>
      <w:r>
        <w:br w:type="page"/>
      </w:r>
    </w:p>
    <w:p>
      <w:pPr>
        <w:spacing w:before="280" w:after="100"/>
      </w:pPr>
      <w:r>
        <w:rPr>
          <w:rFonts w:ascii="Aptos" w:hAnsi="Aptos"/>
          <w:b/>
          <w:i w:val="0"/>
          <w:color w:val="073B5A"/>
          <w:sz w:val="30"/>
        </w:rPr>
        <w:t>Ketentuan penting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17364A"/>
          <w:sz w:val="20"/>
        </w:rPr>
        <w:t>Tidak ada masa garansi perbaikan, revisi gratis, maupun dukungan bulanan setelah serah-terima/UAT disetujui.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17364A"/>
          <w:sz w:val="20"/>
        </w:rPr>
        <w:t>Revisi yang masih berada dalam daftar UAT dapat dilakukan selama periode UAT sebelum persetujuan serah-terima. Perubahan setelahnya dihitung sebagai pekerjaan tambahan berdasarkan persetujuan tertulis.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17364A"/>
          <w:sz w:val="20"/>
        </w:rPr>
        <w:t>Nilai belum termasuk PPN (jika berlaku), perangkat kasir, biaya QRIS/payment gateway, layanan pihak ketiga, serta biaya perpanjangan infrastruktur setelah 12 bulan.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17364A"/>
          <w:sz w:val="20"/>
        </w:rPr>
        <w:t>Client menyediakan data produk, lokasi, daftar pengguna, dan PIC pengujian sesuai jadwal agar target satu bulan dapat tercapai.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17364A"/>
          <w:sz w:val="20"/>
        </w:rPr>
        <w:t>Penawaran berlaku 14 hari kalender sejak tanggal dokumen.</w:t>
      </w:r>
    </w:p>
    <w:p>
      <w:pPr>
        <w:spacing w:before="320" w:after="80" w:line="269" w:lineRule="auto"/>
      </w:pPr>
      <w:r>
        <w:rPr>
          <w:rFonts w:ascii="Aptos" w:hAnsi="Aptos"/>
          <w:b/>
          <w:i w:val="0"/>
          <w:color w:val="073B5A"/>
          <w:sz w:val="24"/>
        </w:rPr>
        <w:t>Persetujuan</w:t>
      </w:r>
    </w:p>
    <w:p>
      <w:pPr>
        <w:spacing w:before="0" w:after="240" w:line="269" w:lineRule="auto"/>
      </w:pPr>
      <w:r>
        <w:rPr>
          <w:rFonts w:ascii="Aptos" w:hAnsi="Aptos"/>
          <w:b w:val="0"/>
          <w:i w:val="0"/>
          <w:color w:val="5A7485"/>
          <w:sz w:val="20"/>
        </w:rPr>
        <w:t>Dengan menandatangani dokumen ini, para pihak menyetujui ruang lingkup, nilai, jadwal, dan ketentuan pada RAB Paket Essential.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17364A"/>
                <w:sz w:val="21"/>
              </w:rPr>
              <w:t>Pihak Menengs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17364A"/>
                <w:sz w:val="21"/>
              </w:rPr>
              <w:t>Penyedia — VeinTech</w:t>
            </w:r>
          </w:p>
        </w:tc>
      </w:tr>
      <w:tr>
        <w:tc>
          <w:tcPr>
            <w:tcW w:type="dxa" w:w="4680"/>
            <w:tcMar>
              <w:top w:w="45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/>
                <w:color w:val="5A7485"/>
                <w:sz w:val="19"/>
              </w:rPr>
              <w:t>Nama / tanda tangan / tanggal</w:t>
            </w:r>
          </w:p>
        </w:tc>
        <w:tc>
          <w:tcPr>
            <w:tcW w:type="dxa" w:w="4680"/>
            <w:tcMar>
              <w:top w:w="45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/>
                <w:color w:val="5A7485"/>
                <w:sz w:val="19"/>
              </w:rPr>
              <w:t>Nama / tanda tangan / tanggal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79" w:right="1037" w:bottom="936" w:left="1037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ptos" w:hAnsi="Aptos"/>
        <w:b w:val="0"/>
        <w:i w:val="0"/>
        <w:color w:val="5A7485"/>
        <w:sz w:val="17"/>
      </w:rPr>
      <w:t>RAB Menengs Essential • VeinTech • 1 Agustus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