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W w:w="9360" w:type="dxa"/>
        <w:tblLayout w:type="fixed"/>
      </w:tblPr>
      <w:tblGrid>
        <w:gridCol w:w="2900"/>
        <w:gridCol w:w="6460"/>
      </w:tblGrid>
      <w:tr>
        <w:tc>
          <w:tcPr>
            <w:tcW w:type="dxa" w:w="4997"/>
            <w:tcW w:w="2900" w:type="dxa"/>
            <w:shd w:fill="073B5A"/>
            <w:tcMar>
              <w:top w:w="220" w:type="dxa"/>
              <w:start w:w="220" w:type="dxa"/>
              <w:bottom w:w="220" w:type="dxa"/>
              <w:end w:w="220" w:type="dxa"/>
            </w:tcMar>
          </w:tcPr>
          <w:p>
            <w:pPr>
              <w:jc w:val="center"/>
            </w:pPr>
            <w:r>
              <w:drawing>
                <wp:inline xmlns:a="http://schemas.openxmlformats.org/drawingml/2006/main" xmlns:pic="http://schemas.openxmlformats.org/drawingml/2006/picture">
                  <wp:extent cx="1298448" cy="1298448"/>
                  <wp:docPr id="1" name="Picture 1"/>
                  <wp:cNvGraphicFramePr>
                    <a:graphicFrameLocks noChangeAspect="1"/>
                  </wp:cNvGraphicFramePr>
                  <a:graphic>
                    <a:graphicData uri="http://schemas.openxmlformats.org/drawingml/2006/picture">
                      <pic:pic>
                        <pic:nvPicPr>
                          <pic:cNvPr id="0" name="menengs-logo.png"/>
                          <pic:cNvPicPr/>
                        </pic:nvPicPr>
                        <pic:blipFill>
                          <a:blip r:embed="rId10"/>
                          <a:stretch>
                            <a:fillRect/>
                          </a:stretch>
                        </pic:blipFill>
                        <pic:spPr>
                          <a:xfrm>
                            <a:off x="0" y="0"/>
                            <a:ext cx="1298448" cy="1298448"/>
                          </a:xfrm>
                          <a:prstGeom prst="rect"/>
                        </pic:spPr>
                      </pic:pic>
                    </a:graphicData>
                  </a:graphic>
                </wp:inline>
              </w:drawing>
            </w:r>
          </w:p>
        </w:tc>
        <w:tc>
          <w:tcPr>
            <w:tcW w:type="dxa" w:w="4997"/>
            <w:tcW w:w="6460" w:type="dxa"/>
            <w:tcMar>
              <w:top w:w="250" w:type="dxa"/>
              <w:start w:w="260" w:type="dxa"/>
              <w:bottom w:w="250" w:type="dxa"/>
              <w:end w:w="260" w:type="dxa"/>
            </w:tcMar>
          </w:tcPr>
          <w:p>
            <w:pPr>
              <w:spacing w:after="100"/>
            </w:pPr>
            <w:r>
              <w:rPr>
                <w:rFonts w:ascii="Calibri" w:hAnsi="Calibri"/>
                <w:b/>
                <w:color w:val="087FA9"/>
                <w:sz w:val="22"/>
              </w:rPr>
              <w:t>RAB / PENAWARAN ANGGARAN</w:t>
            </w:r>
          </w:p>
          <w:p>
            <w:pPr>
              <w:spacing w:after="140"/>
            </w:pPr>
            <w:r>
              <w:rPr>
                <w:rFonts w:ascii="Calibri" w:hAnsi="Calibri"/>
                <w:b/>
                <w:color w:val="073B5A"/>
                <w:sz w:val="46"/>
              </w:rPr>
              <w:t>Pengembangan Sistem Operasional Menengs</w:t>
            </w:r>
          </w:p>
          <w:p>
            <w:pPr>
              <w:spacing w:after="240"/>
            </w:pPr>
            <w:r>
              <w:rPr>
                <w:rFonts w:ascii="Calibri" w:hAnsi="Calibri"/>
                <w:b w:val="0"/>
                <w:color w:val="5F7484"/>
                <w:sz w:val="22"/>
              </w:rPr>
              <w:t>Sistem stok, POS outlet, penjualan multi-kanal, dan kendali operasional usaha snack.</w:t>
            </w:r>
          </w:p>
          <w:p>
            <w:pPr>
              <w:spacing w:after="0"/>
            </w:pPr>
            <w:r>
              <w:rPr>
                <w:rFonts w:ascii="Calibri" w:hAnsi="Calibri"/>
                <w:b w:val="0"/>
                <w:color w:val="173042"/>
                <w:sz w:val="19"/>
              </w:rPr>
              <w:t>Disusun untuk: Menengs  |  Disusun oleh: VeinTech  |  31 Juli 2026</w:t>
            </w:r>
          </w:p>
        </w:tc>
      </w:tr>
    </w:tbl>
    <w:p>
      <w:pPr>
        <w:spacing w:before="0" w:after="60" w:line="264" w:lineRule="auto"/>
        <w:jc w:val="left"/>
      </w:pPr>
      <w:r>
        <w:rPr>
          <w:rFonts w:ascii="Calibri" w:hAnsi="Calibri"/>
          <w:b w:val="0"/>
          <w:color w:val="173042"/>
          <w:sz w:val="21"/>
        </w:rPr>
      </w:r>
    </w:p>
    <w:p>
      <w:pPr>
        <w:spacing w:before="300" w:after="120" w:line="264" w:lineRule="auto"/>
        <w:jc w:val="left"/>
      </w:pPr>
      <w:r>
        <w:rPr>
          <w:rFonts w:ascii="Calibri" w:hAnsi="Calibri"/>
          <w:b/>
          <w:color w:val="087FA9"/>
          <w:sz w:val="32"/>
        </w:rPr>
        <w:t>Ringkasan Penawaran</w:t>
      </w:r>
    </w:p>
    <w:p>
      <w:pPr>
        <w:spacing w:before="0" w:after="120" w:line="264" w:lineRule="auto"/>
        <w:jc w:val="left"/>
      </w:pPr>
      <w:r>
        <w:rPr>
          <w:rFonts w:ascii="Calibri" w:hAnsi="Calibri"/>
          <w:b w:val="0"/>
          <w:color w:val="173042"/>
          <w:sz w:val="21"/>
        </w:rPr>
        <w:t>Skema yang direkomendasikan adalah kontrak harga tetap berbasis tahapan (fixed-price milestone). Skema ini memberi kepastian anggaran bagi Menengs dan memastikan pembayaran selalu mengikuti hasil kerja yang dapat diuji.</w:t>
      </w:r>
    </w:p>
    <w:tbl>
      <w:tblPr>
        <w:tblW w:type="auto" w:w="0"/>
        <w:jc w:val="left"/>
        <w:tblLayout w:type="fixed"/>
        <w:tblLook w:firstColumn="1" w:firstRow="1" w:lastColumn="0" w:lastRow="0" w:noHBand="0" w:noVBand="1" w:val="04A0"/>
        <w:tblW w:w="9360" w:type="dxa"/>
        <w:tblLayout w:type="fixed"/>
      </w:tblPr>
      <w:tblGrid>
        <w:gridCol w:w="3120"/>
        <w:gridCol w:w="3120"/>
        <w:gridCol w:w="3120"/>
      </w:tblGrid>
      <w:tr>
        <w:tc>
          <w:tcPr>
            <w:tcW w:type="dxa" w:w="3331"/>
            <w:tcW w:w="3120" w:type="dxa"/>
            <w:shd w:fill="EAF8FB"/>
            <w:tcMar>
              <w:top w:w="150" w:type="dxa"/>
              <w:start w:w="150" w:type="dxa"/>
              <w:bottom w:w="150" w:type="dxa"/>
              <w:end w:w="150" w:type="dxa"/>
            </w:tcMar>
          </w:tcPr>
          <w:p>
            <w:pPr>
              <w:spacing w:after="60"/>
            </w:pPr>
            <w:r/>
            <w:r>
              <w:rPr>
                <w:rFonts w:ascii="Calibri" w:hAnsi="Calibri"/>
                <w:b/>
                <w:color w:val="5F7484"/>
                <w:sz w:val="17"/>
              </w:rPr>
              <w:t>NILAI PENAWARAN</w:t>
            </w:r>
          </w:p>
          <w:p>
            <w:pPr>
              <w:spacing w:after="0"/>
            </w:pPr>
            <w:r>
              <w:rPr>
                <w:rFonts w:ascii="Calibri" w:hAnsi="Calibri"/>
                <w:b/>
                <w:color w:val="073B5A"/>
                <w:sz w:val="29"/>
              </w:rPr>
              <w:t>Rp 30.800.000</w:t>
            </w:r>
          </w:p>
        </w:tc>
        <w:tc>
          <w:tcPr>
            <w:tcW w:type="dxa" w:w="3331"/>
            <w:tcW w:w="3120" w:type="dxa"/>
            <w:shd w:fill="EAF8FB"/>
            <w:tcMar>
              <w:top w:w="150" w:type="dxa"/>
              <w:start w:w="150" w:type="dxa"/>
              <w:bottom w:w="150" w:type="dxa"/>
              <w:end w:w="150" w:type="dxa"/>
            </w:tcMar>
          </w:tcPr>
          <w:p>
            <w:pPr>
              <w:spacing w:after="60"/>
            </w:pPr>
            <w:r/>
            <w:r>
              <w:rPr>
                <w:rFonts w:ascii="Calibri" w:hAnsi="Calibri"/>
                <w:b/>
                <w:color w:val="5F7484"/>
                <w:sz w:val="17"/>
              </w:rPr>
              <w:t>ESTIMASI PELAKSANAAN</w:t>
            </w:r>
          </w:p>
          <w:p>
            <w:pPr>
              <w:spacing w:after="0"/>
            </w:pPr>
            <w:r>
              <w:rPr>
                <w:rFonts w:ascii="Calibri" w:hAnsi="Calibri"/>
                <w:b/>
                <w:color w:val="073B5A"/>
                <w:sz w:val="29"/>
              </w:rPr>
              <w:t>2 bulan kerja</w:t>
            </w:r>
          </w:p>
        </w:tc>
        <w:tc>
          <w:tcPr>
            <w:tcW w:type="dxa" w:w="3331"/>
            <w:tcW w:w="3120" w:type="dxa"/>
            <w:shd w:fill="EAF8FB"/>
            <w:tcMar>
              <w:top w:w="150" w:type="dxa"/>
              <w:start w:w="150" w:type="dxa"/>
              <w:bottom w:w="150" w:type="dxa"/>
              <w:end w:w="150" w:type="dxa"/>
            </w:tcMar>
          </w:tcPr>
          <w:p>
            <w:pPr>
              <w:spacing w:after="60"/>
            </w:pPr>
            <w:r/>
            <w:r>
              <w:rPr>
                <w:rFonts w:ascii="Calibri" w:hAnsi="Calibri"/>
                <w:b/>
                <w:color w:val="5F7484"/>
                <w:sz w:val="17"/>
              </w:rPr>
              <w:t>GARANSI PERBAIKAN</w:t>
            </w:r>
          </w:p>
          <w:p>
            <w:pPr>
              <w:spacing w:after="0"/>
            </w:pPr>
            <w:r>
              <w:rPr>
                <w:rFonts w:ascii="Calibri" w:hAnsi="Calibri"/>
                <w:b/>
                <w:color w:val="073B5A"/>
                <w:sz w:val="29"/>
              </w:rPr>
              <w:t>3 bulan pasca go-live</w:t>
            </w:r>
          </w:p>
        </w:tc>
      </w:tr>
    </w:tbl>
    <w:p>
      <w:pPr>
        <w:spacing w:before="140" w:after="160" w:line="264" w:lineRule="auto"/>
        <w:jc w:val="left"/>
      </w:pPr>
      <w:r>
        <w:rPr>
          <w:rFonts w:ascii="Calibri" w:hAnsi="Calibri"/>
          <w:b/>
          <w:color w:val="073B5A"/>
          <w:sz w:val="20"/>
        </w:rPr>
        <w:t>BONUS INFRASTRUKTUR: Server aplikasi, hosting, dan domain sudah termasuk untuk 12 bulan pertama. Menengs dapat langsung menggunakan aplikasi setelah go-live tanpa perlu menyiapkan layanan tersebut secara terpisah.</w:t>
      </w:r>
    </w:p>
    <w:p>
      <w:pPr>
        <w:spacing w:before="200" w:after="120" w:line="264" w:lineRule="auto"/>
        <w:jc w:val="left"/>
      </w:pPr>
      <w:r>
        <w:rPr>
          <w:rFonts w:ascii="Calibri" w:hAnsi="Calibri"/>
          <w:b/>
          <w:color w:val="073B5A"/>
          <w:sz w:val="25"/>
        </w:rPr>
        <w:t>Ruang Lingkup Utama</w:t>
      </w:r>
    </w:p>
    <w:p>
      <w:pPr>
        <w:pStyle w:val="ListBullet"/>
        <w:spacing w:after="80" w:line="264" w:lineRule="auto"/>
      </w:pPr>
      <w:r>
        <w:rPr>
          <w:rFonts w:ascii="Calibri" w:hAnsi="Calibri"/>
          <w:b w:val="0"/>
          <w:color w:val="173042"/>
          <w:sz w:val="21"/>
        </w:rPr>
        <w:t>Master data produk, varian, lokasi, pengguna, peran dan akses berbasis RBAC.</w:t>
      </w:r>
    </w:p>
    <w:p>
      <w:pPr>
        <w:pStyle w:val="ListBullet"/>
        <w:spacing w:after="80" w:line="264" w:lineRule="auto"/>
      </w:pPr>
      <w:r>
        <w:rPr>
          <w:rFonts w:ascii="Calibri" w:hAnsi="Calibri"/>
          <w:b w:val="0"/>
          <w:color w:val="173042"/>
          <w:sz w:val="21"/>
        </w:rPr>
        <w:t>Inventaris real-time: stok masuk, saldo per lokasi, transfer, penerimaan, stock opname, retur, dan riwayat pergerakan.</w:t>
      </w:r>
    </w:p>
    <w:p>
      <w:pPr>
        <w:pStyle w:val="ListBullet"/>
        <w:spacing w:after="80" w:line="264" w:lineRule="auto"/>
      </w:pPr>
      <w:r>
        <w:rPr>
          <w:rFonts w:ascii="Calibri" w:hAnsi="Calibri"/>
          <w:b w:val="0"/>
          <w:color w:val="173042"/>
          <w:sz w:val="21"/>
        </w:rPr>
        <w:t>POS outlet dengan pemilihan varian, scanner barcode, pembayaran tunai/QRIS/transfer, serta kanal online/reseller.</w:t>
      </w:r>
    </w:p>
    <w:p>
      <w:pPr>
        <w:pStyle w:val="ListBullet"/>
        <w:spacing w:after="80" w:line="264" w:lineRule="auto"/>
      </w:pPr>
      <w:r>
        <w:rPr>
          <w:rFonts w:ascii="Calibri" w:hAnsi="Calibri"/>
          <w:b w:val="0"/>
          <w:color w:val="173042"/>
          <w:sz w:val="21"/>
        </w:rPr>
        <w:t>Dashboard, analitik per kanal, laporan operasional, kalkulator HPP, dan biaya marketplace.</w:t>
      </w:r>
    </w:p>
    <w:p>
      <w:pPr>
        <w:pStyle w:val="ListBullet"/>
        <w:spacing w:after="80" w:line="264" w:lineRule="auto"/>
      </w:pPr>
      <w:r>
        <w:rPr>
          <w:rFonts w:ascii="Calibri" w:hAnsi="Calibri"/>
          <w:b w:val="0"/>
          <w:color w:val="173042"/>
          <w:sz w:val="21"/>
        </w:rPr>
        <w:t>API, basis data, pengujian UAT, deployment, pelatihan admin, dan dokumentasi serah-terima.</w:t>
      </w:r>
    </w:p>
    <w:p>
      <w:pPr>
        <w:spacing w:before="300" w:after="120" w:line="264" w:lineRule="auto"/>
        <w:jc w:val="left"/>
      </w:pPr>
      <w:r>
        <w:rPr>
          <w:rFonts w:ascii="Calibri" w:hAnsi="Calibri"/>
          <w:b/>
          <w:color w:val="087FA9"/>
          <w:sz w:val="32"/>
        </w:rPr>
        <w:t>Fitur yang Akan Diterima Menengs</w:t>
      </w:r>
    </w:p>
    <w:p>
      <w:pPr>
        <w:spacing w:before="0" w:after="120" w:line="264" w:lineRule="auto"/>
        <w:jc w:val="left"/>
      </w:pPr>
      <w:r>
        <w:rPr>
          <w:rFonts w:ascii="Calibri" w:hAnsi="Calibri"/>
          <w:b w:val="0"/>
          <w:color w:val="173042"/>
          <w:sz w:val="21"/>
        </w:rPr>
        <w:t>Bagian ini menjelaskan fungsi aplikasi dengan bahasa sederhana. Tujuannya agar seluruh pihak memahami hasil yang akan dipakai sehari-hari oleh owner, admin, gudang, PIC outlet, kasir, dan tim keuangan.</w:t>
      </w:r>
    </w:p>
    <w:tbl>
      <w:tblPr>
        <w:tblStyle w:val="TableGrid"/>
        <w:tblW w:type="auto" w:w="0"/>
        <w:jc w:val="left"/>
        <w:tblLayout w:type="fixed"/>
        <w:tblLook w:firstColumn="1" w:firstRow="1" w:lastColumn="0" w:lastRow="0" w:noHBand="0" w:noVBand="1" w:val="04A0"/>
        <w:tblW w:w="9360" w:type="dxa"/>
        <w:tblLayout w:type="fixed"/>
      </w:tblPr>
      <w:tblGrid>
        <w:gridCol w:w="1750"/>
        <w:gridCol w:w="4100"/>
        <w:gridCol w:w="3510"/>
      </w:tblGrid>
      <w:tr>
        <w:tc>
          <w:tcPr>
            <w:tcW w:type="dxa" w:w="3331"/>
            <w:tcW w:w="175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Area</w:t>
            </w:r>
          </w:p>
        </w:tc>
        <w:tc>
          <w:tcPr>
            <w:tcW w:type="dxa" w:w="3331"/>
            <w:tcW w:w="410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Fungsi yang diterima</w:t>
            </w:r>
          </w:p>
        </w:tc>
        <w:tc>
          <w:tcPr>
            <w:tcW w:type="dxa" w:w="3331"/>
            <w:tcW w:w="351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Manfaat bagi Menengs</w:t>
            </w:r>
          </w:p>
        </w:tc>
      </w:tr>
      <w:tr>
        <w:tc>
          <w:tcPr>
            <w:tcW w:type="dxa" w:w="1750"/>
            <w:tcMar>
              <w:top w:w="100" w:type="dxa"/>
              <w:start w:w="120" w:type="dxa"/>
              <w:bottom w:w="100" w:type="dxa"/>
              <w:end w:w="120" w:type="dxa"/>
            </w:tcMar>
            <w:vAlign w:val="center"/>
          </w:tcPr>
          <w:p>
            <w:pPr>
              <w:spacing w:after="0"/>
              <w:jc w:val="center"/>
            </w:pPr>
            <w:r/>
            <w:r>
              <w:rPr>
                <w:rFonts w:ascii="Calibri" w:hAnsi="Calibri"/>
                <w:b/>
                <w:color w:val="173042"/>
                <w:sz w:val="18"/>
              </w:rPr>
              <w:t>Beranda &amp; ringkasan usaha</w:t>
            </w:r>
          </w:p>
        </w:tc>
        <w:tc>
          <w:tcPr>
            <w:tcW w:type="dxa" w:w="4100"/>
            <w:tcMar>
              <w:top w:w="100" w:type="dxa"/>
              <w:start w:w="120" w:type="dxa"/>
              <w:bottom w:w="100" w:type="dxa"/>
              <w:end w:w="120" w:type="dxa"/>
            </w:tcMar>
            <w:vAlign w:val="center"/>
          </w:tcPr>
          <w:p>
            <w:pPr>
              <w:spacing w:after="0"/>
              <w:jc w:val="left"/>
            </w:pPr>
            <w:r/>
            <w:r>
              <w:rPr>
                <w:rFonts w:ascii="Calibri" w:hAnsi="Calibri"/>
                <w:b w:val="0"/>
                <w:color w:val="173042"/>
                <w:sz w:val="18"/>
              </w:rPr>
              <w:t>Halaman ringkas untuk melihat penjualan, stok, transfer yang masih berjalan, serta stok yang perlu diperhatikan.</w:t>
            </w:r>
          </w:p>
        </w:tc>
        <w:tc>
          <w:tcPr>
            <w:tcW w:type="dxa" w:w="3510"/>
            <w:tcMar>
              <w:top w:w="100" w:type="dxa"/>
              <w:start w:w="120" w:type="dxa"/>
              <w:bottom w:w="100" w:type="dxa"/>
              <w:end w:w="120" w:type="dxa"/>
            </w:tcMar>
            <w:vAlign w:val="center"/>
          </w:tcPr>
          <w:p>
            <w:pPr>
              <w:spacing w:after="0"/>
              <w:jc w:val="right"/>
            </w:pPr>
            <w:r/>
            <w:r>
              <w:rPr>
                <w:rFonts w:ascii="Calibri" w:hAnsi="Calibri"/>
                <w:b/>
                <w:color w:val="173042"/>
                <w:sz w:val="18"/>
              </w:rPr>
              <w:t>Owner dapat mengetahui kondisi usaha tanpa membuka banyak laporan.</w:t>
            </w:r>
          </w:p>
        </w:tc>
      </w:tr>
      <w:tr>
        <w:tc>
          <w:tcPr>
            <w:tcW w:type="dxa" w:w="1750"/>
            <w:shd w:fill="F4F8FB"/>
            <w:tcMar>
              <w:top w:w="100" w:type="dxa"/>
              <w:start w:w="120" w:type="dxa"/>
              <w:bottom w:w="100" w:type="dxa"/>
              <w:end w:w="120" w:type="dxa"/>
            </w:tcMar>
            <w:vAlign w:val="center"/>
          </w:tcPr>
          <w:p>
            <w:pPr>
              <w:spacing w:after="0"/>
              <w:jc w:val="center"/>
            </w:pPr>
            <w:r/>
            <w:r>
              <w:rPr>
                <w:rFonts w:ascii="Calibri" w:hAnsi="Calibri"/>
                <w:b/>
                <w:color w:val="173042"/>
                <w:sz w:val="18"/>
              </w:rPr>
              <w:t>Produk, varian &amp; foto</w:t>
            </w:r>
          </w:p>
        </w:tc>
        <w:tc>
          <w:tcPr>
            <w:tcW w:type="dxa" w:w="4100"/>
            <w:shd w:fill="F4F8FB"/>
            <w:tcMar>
              <w:top w:w="100" w:type="dxa"/>
              <w:start w:w="120" w:type="dxa"/>
              <w:bottom w:w="100" w:type="dxa"/>
              <w:end w:w="120" w:type="dxa"/>
            </w:tcMar>
            <w:vAlign w:val="center"/>
          </w:tcPr>
          <w:p>
            <w:pPr>
              <w:spacing w:after="0"/>
              <w:jc w:val="left"/>
            </w:pPr>
            <w:r/>
            <w:r>
              <w:rPr>
                <w:rFonts w:ascii="Calibri" w:hAnsi="Calibri"/>
                <w:b w:val="0"/>
                <w:color w:val="173042"/>
                <w:sz w:val="18"/>
              </w:rPr>
              <w:t>Input produk, pilihan rasa/ukuran/kemasan, harga jual, harga modal, SKU/barcode, dan foto produk.</w:t>
            </w:r>
          </w:p>
        </w:tc>
        <w:tc>
          <w:tcPr>
            <w:tcW w:type="dxa" w:w="3510"/>
            <w:shd w:fill="F4F8FB"/>
            <w:tcMar>
              <w:top w:w="100" w:type="dxa"/>
              <w:start w:w="120" w:type="dxa"/>
              <w:bottom w:w="100" w:type="dxa"/>
              <w:end w:w="120" w:type="dxa"/>
            </w:tcMar>
            <w:vAlign w:val="center"/>
          </w:tcPr>
          <w:p>
            <w:pPr>
              <w:spacing w:after="0"/>
              <w:jc w:val="right"/>
            </w:pPr>
            <w:r/>
            <w:r>
              <w:rPr>
                <w:rFonts w:ascii="Calibri" w:hAnsi="Calibri"/>
                <w:b/>
                <w:color w:val="173042"/>
                <w:sz w:val="18"/>
              </w:rPr>
              <w:t>Kasir dan gudang memilih barang yang tepat; kesalahan varian berkurang.</w:t>
            </w:r>
          </w:p>
        </w:tc>
      </w:tr>
      <w:tr>
        <w:tc>
          <w:tcPr>
            <w:tcW w:type="dxa" w:w="1750"/>
            <w:tcMar>
              <w:top w:w="100" w:type="dxa"/>
              <w:start w:w="120" w:type="dxa"/>
              <w:bottom w:w="100" w:type="dxa"/>
              <w:end w:w="120" w:type="dxa"/>
            </w:tcMar>
            <w:vAlign w:val="center"/>
          </w:tcPr>
          <w:p>
            <w:pPr>
              <w:spacing w:after="0"/>
              <w:jc w:val="center"/>
            </w:pPr>
            <w:r/>
            <w:r>
              <w:rPr>
                <w:rFonts w:ascii="Calibri" w:hAnsi="Calibri"/>
                <w:b/>
                <w:color w:val="173042"/>
                <w:sz w:val="18"/>
              </w:rPr>
              <w:t>Lokasi usaha</w:t>
            </w:r>
          </w:p>
        </w:tc>
        <w:tc>
          <w:tcPr>
            <w:tcW w:type="dxa" w:w="4100"/>
            <w:tcMar>
              <w:top w:w="100" w:type="dxa"/>
              <w:start w:w="120" w:type="dxa"/>
              <w:bottom w:w="100" w:type="dxa"/>
              <w:end w:w="120" w:type="dxa"/>
            </w:tcMar>
            <w:vAlign w:val="center"/>
          </w:tcPr>
          <w:p>
            <w:pPr>
              <w:spacing w:after="0"/>
              <w:jc w:val="left"/>
            </w:pPr>
            <w:r/>
            <w:r>
              <w:rPr>
                <w:rFonts w:ascii="Calibri" w:hAnsi="Calibri"/>
                <w:b w:val="0"/>
                <w:color w:val="173042"/>
                <w:sz w:val="18"/>
              </w:rPr>
              <w:t>Mencatat gudang utama, outlet, booth, atau lokasi lain beserta status aktifnya.</w:t>
            </w:r>
          </w:p>
        </w:tc>
        <w:tc>
          <w:tcPr>
            <w:tcW w:type="dxa" w:w="3510"/>
            <w:tcMar>
              <w:top w:w="100" w:type="dxa"/>
              <w:start w:w="120" w:type="dxa"/>
              <w:bottom w:w="100" w:type="dxa"/>
              <w:end w:w="120" w:type="dxa"/>
            </w:tcMar>
            <w:vAlign w:val="center"/>
          </w:tcPr>
          <w:p>
            <w:pPr>
              <w:spacing w:after="0"/>
              <w:jc w:val="right"/>
            </w:pPr>
            <w:r/>
            <w:r>
              <w:rPr>
                <w:rFonts w:ascii="Calibri" w:hAnsi="Calibri"/>
                <w:b/>
                <w:color w:val="173042"/>
                <w:sz w:val="18"/>
              </w:rPr>
              <w:t>Stok tidak tercampur antar lokasi dan owner bisa melihat posisi barang.</w:t>
            </w:r>
          </w:p>
        </w:tc>
      </w:tr>
      <w:tr>
        <w:tc>
          <w:tcPr>
            <w:tcW w:type="dxa" w:w="1750"/>
            <w:shd w:fill="F4F8FB"/>
            <w:tcMar>
              <w:top w:w="100" w:type="dxa"/>
              <w:start w:w="120" w:type="dxa"/>
              <w:bottom w:w="100" w:type="dxa"/>
              <w:end w:w="120" w:type="dxa"/>
            </w:tcMar>
            <w:vAlign w:val="center"/>
          </w:tcPr>
          <w:p>
            <w:pPr>
              <w:spacing w:after="0"/>
              <w:jc w:val="center"/>
            </w:pPr>
            <w:r/>
            <w:r>
              <w:rPr>
                <w:rFonts w:ascii="Calibri" w:hAnsi="Calibri"/>
                <w:b/>
                <w:color w:val="173042"/>
                <w:sz w:val="18"/>
              </w:rPr>
              <w:t>Akun &amp; hak akses</w:t>
            </w:r>
          </w:p>
        </w:tc>
        <w:tc>
          <w:tcPr>
            <w:tcW w:type="dxa" w:w="4100"/>
            <w:shd w:fill="F4F8FB"/>
            <w:tcMar>
              <w:top w:w="100" w:type="dxa"/>
              <w:start w:w="120" w:type="dxa"/>
              <w:bottom w:w="100" w:type="dxa"/>
              <w:end w:w="120" w:type="dxa"/>
            </w:tcMar>
            <w:vAlign w:val="center"/>
          </w:tcPr>
          <w:p>
            <w:pPr>
              <w:spacing w:after="0"/>
              <w:jc w:val="left"/>
            </w:pPr>
            <w:r/>
            <w:r>
              <w:rPr>
                <w:rFonts w:ascii="Calibri" w:hAnsi="Calibri"/>
                <w:b w:val="0"/>
                <w:color w:val="173042"/>
                <w:sz w:val="18"/>
              </w:rPr>
              <w:t>Akun berbeda untuk owner, admin, PIC outlet, kasir, gudang, keuangan, dan karyawan; setiap akun hanya melihat/menjalankan tugas yang relevan.</w:t>
            </w:r>
          </w:p>
        </w:tc>
        <w:tc>
          <w:tcPr>
            <w:tcW w:type="dxa" w:w="3510"/>
            <w:shd w:fill="F4F8FB"/>
            <w:tcMar>
              <w:top w:w="100" w:type="dxa"/>
              <w:start w:w="120" w:type="dxa"/>
              <w:bottom w:w="100" w:type="dxa"/>
              <w:end w:w="120" w:type="dxa"/>
            </w:tcMar>
            <w:vAlign w:val="center"/>
          </w:tcPr>
          <w:p>
            <w:pPr>
              <w:spacing w:after="0"/>
              <w:jc w:val="right"/>
            </w:pPr>
            <w:r/>
            <w:r>
              <w:rPr>
                <w:rFonts w:ascii="Calibri" w:hAnsi="Calibri"/>
                <w:b/>
                <w:color w:val="173042"/>
                <w:sz w:val="18"/>
              </w:rPr>
              <w:t>Data penting lebih aman dan pekerjaan tiap tim lebih terarah.</w:t>
            </w:r>
          </w:p>
        </w:tc>
      </w:tr>
      <w:tr>
        <w:tc>
          <w:tcPr>
            <w:tcW w:type="dxa" w:w="1750"/>
            <w:tcMar>
              <w:top w:w="100" w:type="dxa"/>
              <w:start w:w="120" w:type="dxa"/>
              <w:bottom w:w="100" w:type="dxa"/>
              <w:end w:w="120" w:type="dxa"/>
            </w:tcMar>
            <w:vAlign w:val="center"/>
          </w:tcPr>
          <w:p>
            <w:pPr>
              <w:spacing w:after="0"/>
              <w:jc w:val="center"/>
            </w:pPr>
            <w:r/>
            <w:r>
              <w:rPr>
                <w:rFonts w:ascii="Calibri" w:hAnsi="Calibri"/>
                <w:b/>
                <w:color w:val="173042"/>
                <w:sz w:val="18"/>
              </w:rPr>
              <w:t>Stok masuk &amp; supplier</w:t>
            </w:r>
          </w:p>
        </w:tc>
        <w:tc>
          <w:tcPr>
            <w:tcW w:type="dxa" w:w="4100"/>
            <w:tcMar>
              <w:top w:w="100" w:type="dxa"/>
              <w:start w:w="120" w:type="dxa"/>
              <w:bottom w:w="100" w:type="dxa"/>
              <w:end w:w="120" w:type="dxa"/>
            </w:tcMar>
            <w:vAlign w:val="center"/>
          </w:tcPr>
          <w:p>
            <w:pPr>
              <w:spacing w:after="0"/>
              <w:jc w:val="left"/>
            </w:pPr>
            <w:r/>
            <w:r>
              <w:rPr>
                <w:rFonts w:ascii="Calibri" w:hAnsi="Calibri"/>
                <w:b w:val="0"/>
                <w:color w:val="173042"/>
                <w:sz w:val="18"/>
              </w:rPr>
              <w:t>Mencatat barang yang datang, asal supplier, jumlah, harga beli, catatan, serta bukti foto bila diperlukan.</w:t>
            </w:r>
          </w:p>
        </w:tc>
        <w:tc>
          <w:tcPr>
            <w:tcW w:type="dxa" w:w="3510"/>
            <w:tcMar>
              <w:top w:w="100" w:type="dxa"/>
              <w:start w:w="120" w:type="dxa"/>
              <w:bottom w:w="100" w:type="dxa"/>
              <w:end w:w="120" w:type="dxa"/>
            </w:tcMar>
            <w:vAlign w:val="center"/>
          </w:tcPr>
          <w:p>
            <w:pPr>
              <w:spacing w:after="0"/>
              <w:jc w:val="right"/>
            </w:pPr>
            <w:r/>
            <w:r>
              <w:rPr>
                <w:rFonts w:ascii="Calibri" w:hAnsi="Calibri"/>
                <w:b/>
                <w:color w:val="173042"/>
                <w:sz w:val="18"/>
              </w:rPr>
              <w:t>Riwayat pembelian lebih rapi dan stok bertambah dengan dasar yang jelas.</w:t>
            </w:r>
          </w:p>
        </w:tc>
      </w:tr>
      <w:tr>
        <w:tc>
          <w:tcPr>
            <w:tcW w:type="dxa" w:w="1750"/>
            <w:shd w:fill="F4F8FB"/>
            <w:tcMar>
              <w:top w:w="100" w:type="dxa"/>
              <w:start w:w="120" w:type="dxa"/>
              <w:bottom w:w="100" w:type="dxa"/>
              <w:end w:w="120" w:type="dxa"/>
            </w:tcMar>
            <w:vAlign w:val="center"/>
          </w:tcPr>
          <w:p>
            <w:pPr>
              <w:spacing w:after="0"/>
              <w:jc w:val="center"/>
            </w:pPr>
            <w:r/>
            <w:r>
              <w:rPr>
                <w:rFonts w:ascii="Calibri" w:hAnsi="Calibri"/>
                <w:b/>
                <w:color w:val="173042"/>
                <w:sz w:val="18"/>
              </w:rPr>
              <w:t>Stok per lokasi</w:t>
            </w:r>
          </w:p>
        </w:tc>
        <w:tc>
          <w:tcPr>
            <w:tcW w:type="dxa" w:w="4100"/>
            <w:shd w:fill="F4F8FB"/>
            <w:tcMar>
              <w:top w:w="100" w:type="dxa"/>
              <w:start w:w="120" w:type="dxa"/>
              <w:bottom w:w="100" w:type="dxa"/>
              <w:end w:w="120" w:type="dxa"/>
            </w:tcMar>
            <w:vAlign w:val="center"/>
          </w:tcPr>
          <w:p>
            <w:pPr>
              <w:spacing w:after="0"/>
              <w:jc w:val="left"/>
            </w:pPr>
            <w:r/>
            <w:r>
              <w:rPr>
                <w:rFonts w:ascii="Calibri" w:hAnsi="Calibri"/>
                <w:b w:val="0"/>
                <w:color w:val="173042"/>
                <w:sz w:val="18"/>
              </w:rPr>
              <w:t>Menampilkan saldo stok aktual per produk dan per lokasi, termasuk batas stok minimum.</w:t>
            </w:r>
          </w:p>
        </w:tc>
        <w:tc>
          <w:tcPr>
            <w:tcW w:type="dxa" w:w="3510"/>
            <w:shd w:fill="F4F8FB"/>
            <w:tcMar>
              <w:top w:w="100" w:type="dxa"/>
              <w:start w:w="120" w:type="dxa"/>
              <w:bottom w:w="100" w:type="dxa"/>
              <w:end w:w="120" w:type="dxa"/>
            </w:tcMar>
            <w:vAlign w:val="center"/>
          </w:tcPr>
          <w:p>
            <w:pPr>
              <w:spacing w:after="0"/>
              <w:jc w:val="right"/>
            </w:pPr>
            <w:r/>
            <w:r>
              <w:rPr>
                <w:rFonts w:ascii="Calibri" w:hAnsi="Calibri"/>
                <w:b/>
                <w:color w:val="173042"/>
                <w:sz w:val="18"/>
              </w:rPr>
              <w:t>Tim cepat tahu barang mana yang perlu dikirim atau dibeli ulang.</w:t>
            </w:r>
          </w:p>
        </w:tc>
      </w:tr>
      <w:tr>
        <w:tc>
          <w:tcPr>
            <w:tcW w:type="dxa" w:w="1750"/>
            <w:tcMar>
              <w:top w:w="100" w:type="dxa"/>
              <w:start w:w="120" w:type="dxa"/>
              <w:bottom w:w="100" w:type="dxa"/>
              <w:end w:w="120" w:type="dxa"/>
            </w:tcMar>
            <w:vAlign w:val="center"/>
          </w:tcPr>
          <w:p>
            <w:pPr>
              <w:spacing w:after="0"/>
              <w:jc w:val="center"/>
            </w:pPr>
            <w:r/>
            <w:r>
              <w:rPr>
                <w:rFonts w:ascii="Calibri" w:hAnsi="Calibri"/>
                <w:b/>
                <w:color w:val="173042"/>
                <w:sz w:val="18"/>
              </w:rPr>
              <w:t>Transfer antar lokasi</w:t>
            </w:r>
          </w:p>
        </w:tc>
        <w:tc>
          <w:tcPr>
            <w:tcW w:type="dxa" w:w="4100"/>
            <w:tcMar>
              <w:top w:w="100" w:type="dxa"/>
              <w:start w:w="120" w:type="dxa"/>
              <w:bottom w:w="100" w:type="dxa"/>
              <w:end w:w="120" w:type="dxa"/>
            </w:tcMar>
            <w:vAlign w:val="center"/>
          </w:tcPr>
          <w:p>
            <w:pPr>
              <w:spacing w:after="0"/>
              <w:jc w:val="left"/>
            </w:pPr>
            <w:r/>
            <w:r>
              <w:rPr>
                <w:rFonts w:ascii="Calibri" w:hAnsi="Calibri"/>
                <w:b w:val="0"/>
                <w:color w:val="173042"/>
                <w:sz w:val="18"/>
              </w:rPr>
              <w:t>Membuat satu dokumen transfer berisi banyak barang, kode transfer, status perjalanan, bukti, dan konfirmasi penerimaan oleh tujuan.</w:t>
            </w:r>
          </w:p>
        </w:tc>
        <w:tc>
          <w:tcPr>
            <w:tcW w:type="dxa" w:w="3510"/>
            <w:tcMar>
              <w:top w:w="100" w:type="dxa"/>
              <w:start w:w="120" w:type="dxa"/>
              <w:bottom w:w="100" w:type="dxa"/>
              <w:end w:w="120" w:type="dxa"/>
            </w:tcMar>
            <w:vAlign w:val="center"/>
          </w:tcPr>
          <w:p>
            <w:pPr>
              <w:spacing w:after="0"/>
              <w:jc w:val="right"/>
            </w:pPr>
            <w:r/>
            <w:r>
              <w:rPr>
                <w:rFonts w:ascii="Calibri" w:hAnsi="Calibri"/>
                <w:b/>
                <w:color w:val="173042"/>
                <w:sz w:val="18"/>
              </w:rPr>
              <w:t>Pengiriman gudang ke outlet dapat ditelusuri dan stok tujuan hanya bertambah setelah diterima.</w:t>
            </w:r>
          </w:p>
        </w:tc>
      </w:tr>
      <w:tr>
        <w:tc>
          <w:tcPr>
            <w:tcW w:type="dxa" w:w="1750"/>
            <w:shd w:fill="F4F8FB"/>
            <w:tcMar>
              <w:top w:w="100" w:type="dxa"/>
              <w:start w:w="120" w:type="dxa"/>
              <w:bottom w:w="100" w:type="dxa"/>
              <w:end w:w="120" w:type="dxa"/>
            </w:tcMar>
            <w:vAlign w:val="center"/>
          </w:tcPr>
          <w:p>
            <w:pPr>
              <w:spacing w:after="0"/>
              <w:jc w:val="center"/>
            </w:pPr>
            <w:r/>
            <w:r>
              <w:rPr>
                <w:rFonts w:ascii="Calibri" w:hAnsi="Calibri"/>
                <w:b/>
                <w:color w:val="173042"/>
                <w:sz w:val="18"/>
              </w:rPr>
              <w:t>Stock opname &amp; retur</w:t>
            </w:r>
          </w:p>
        </w:tc>
        <w:tc>
          <w:tcPr>
            <w:tcW w:type="dxa" w:w="4100"/>
            <w:shd w:fill="F4F8FB"/>
            <w:tcMar>
              <w:top w:w="100" w:type="dxa"/>
              <w:start w:w="120" w:type="dxa"/>
              <w:bottom w:w="100" w:type="dxa"/>
              <w:end w:w="120" w:type="dxa"/>
            </w:tcMar>
            <w:vAlign w:val="center"/>
          </w:tcPr>
          <w:p>
            <w:pPr>
              <w:spacing w:after="0"/>
              <w:jc w:val="left"/>
            </w:pPr>
            <w:r/>
            <w:r>
              <w:rPr>
                <w:rFonts w:ascii="Calibri" w:hAnsi="Calibri"/>
                <w:b w:val="0"/>
                <w:color w:val="173042"/>
                <w:sz w:val="18"/>
              </w:rPr>
              <w:t>Mencatat hasil hitung fisik, selisih, alasan penyesuaian, serta barang yang dikembalikan.</w:t>
            </w:r>
          </w:p>
        </w:tc>
        <w:tc>
          <w:tcPr>
            <w:tcW w:type="dxa" w:w="3510"/>
            <w:shd w:fill="F4F8FB"/>
            <w:tcMar>
              <w:top w:w="100" w:type="dxa"/>
              <w:start w:w="120" w:type="dxa"/>
              <w:bottom w:w="100" w:type="dxa"/>
              <w:end w:w="120" w:type="dxa"/>
            </w:tcMar>
            <w:vAlign w:val="center"/>
          </w:tcPr>
          <w:p>
            <w:pPr>
              <w:spacing w:after="0"/>
              <w:jc w:val="right"/>
            </w:pPr>
            <w:r/>
            <w:r>
              <w:rPr>
                <w:rFonts w:ascii="Calibri" w:hAnsi="Calibri"/>
                <w:b/>
                <w:color w:val="173042"/>
                <w:sz w:val="18"/>
              </w:rPr>
              <w:t>Selisih stok tidak hilang begitu saja dan dapat ditinjau kembali.</w:t>
            </w:r>
          </w:p>
        </w:tc>
      </w:tr>
      <w:tr>
        <w:tc>
          <w:tcPr>
            <w:tcW w:type="dxa" w:w="1750"/>
            <w:tcMar>
              <w:top w:w="100" w:type="dxa"/>
              <w:start w:w="120" w:type="dxa"/>
              <w:bottom w:w="100" w:type="dxa"/>
              <w:end w:w="120" w:type="dxa"/>
            </w:tcMar>
            <w:vAlign w:val="center"/>
          </w:tcPr>
          <w:p>
            <w:pPr>
              <w:spacing w:after="0"/>
              <w:jc w:val="center"/>
            </w:pPr>
            <w:r/>
            <w:r>
              <w:rPr>
                <w:rFonts w:ascii="Calibri" w:hAnsi="Calibri"/>
                <w:b/>
                <w:color w:val="173042"/>
                <w:sz w:val="18"/>
              </w:rPr>
              <w:t>Riwayat pergerakan stok</w:t>
            </w:r>
          </w:p>
        </w:tc>
        <w:tc>
          <w:tcPr>
            <w:tcW w:type="dxa" w:w="4100"/>
            <w:tcMar>
              <w:top w:w="100" w:type="dxa"/>
              <w:start w:w="120" w:type="dxa"/>
              <w:bottom w:w="100" w:type="dxa"/>
              <w:end w:w="120" w:type="dxa"/>
            </w:tcMar>
            <w:vAlign w:val="center"/>
          </w:tcPr>
          <w:p>
            <w:pPr>
              <w:spacing w:after="0"/>
              <w:jc w:val="left"/>
            </w:pPr>
            <w:r/>
            <w:r>
              <w:rPr>
                <w:rFonts w:ascii="Calibri" w:hAnsi="Calibri"/>
                <w:b w:val="0"/>
                <w:color w:val="173042"/>
                <w:sz w:val="18"/>
              </w:rPr>
              <w:t>Riwayat barang masuk, keluar, terjual, ditransfer, atau disesuaikan beserta waktu dan referensinya.</w:t>
            </w:r>
          </w:p>
        </w:tc>
        <w:tc>
          <w:tcPr>
            <w:tcW w:type="dxa" w:w="3510"/>
            <w:tcMar>
              <w:top w:w="100" w:type="dxa"/>
              <w:start w:w="120" w:type="dxa"/>
              <w:bottom w:w="100" w:type="dxa"/>
              <w:end w:w="120" w:type="dxa"/>
            </w:tcMar>
            <w:vAlign w:val="center"/>
          </w:tcPr>
          <w:p>
            <w:pPr>
              <w:spacing w:after="0"/>
              <w:jc w:val="right"/>
            </w:pPr>
            <w:r/>
            <w:r>
              <w:rPr>
                <w:rFonts w:ascii="Calibri" w:hAnsi="Calibri"/>
                <w:b/>
                <w:color w:val="173042"/>
                <w:sz w:val="18"/>
              </w:rPr>
              <w:t>Memudahkan pengecekan saat ada pertanyaan mengenai perubahan stok.</w:t>
            </w:r>
          </w:p>
        </w:tc>
      </w:tr>
      <w:tr>
        <w:tc>
          <w:tcPr>
            <w:tcW w:type="dxa" w:w="1750"/>
            <w:shd w:fill="F4F8FB"/>
            <w:tcMar>
              <w:top w:w="100" w:type="dxa"/>
              <w:start w:w="120" w:type="dxa"/>
              <w:bottom w:w="100" w:type="dxa"/>
              <w:end w:w="120" w:type="dxa"/>
            </w:tcMar>
            <w:vAlign w:val="center"/>
          </w:tcPr>
          <w:p>
            <w:pPr>
              <w:spacing w:after="0"/>
              <w:jc w:val="center"/>
            </w:pPr>
            <w:r/>
            <w:r>
              <w:rPr>
                <w:rFonts w:ascii="Calibri" w:hAnsi="Calibri"/>
                <w:b/>
                <w:color w:val="173042"/>
                <w:sz w:val="18"/>
              </w:rPr>
              <w:t>Kasir / penjualan outlet</w:t>
            </w:r>
          </w:p>
        </w:tc>
        <w:tc>
          <w:tcPr>
            <w:tcW w:type="dxa" w:w="4100"/>
            <w:shd w:fill="F4F8FB"/>
            <w:tcMar>
              <w:top w:w="100" w:type="dxa"/>
              <w:start w:w="120" w:type="dxa"/>
              <w:bottom w:w="100" w:type="dxa"/>
              <w:end w:w="120" w:type="dxa"/>
            </w:tcMar>
            <w:vAlign w:val="center"/>
          </w:tcPr>
          <w:p>
            <w:pPr>
              <w:spacing w:after="0"/>
              <w:jc w:val="left"/>
            </w:pPr>
            <w:r/>
            <w:r>
              <w:rPr>
                <w:rFonts w:ascii="Calibri" w:hAnsi="Calibri"/>
                <w:b w:val="0"/>
                <w:color w:val="173042"/>
                <w:sz w:val="18"/>
              </w:rPr>
              <w:t>Layar pencatatan penjualan cepat: cari produk atau scan barcode, pilih jumlah, pembayaran tunai/QRIS/transfer, lalu simpan transaksi.</w:t>
            </w:r>
          </w:p>
        </w:tc>
        <w:tc>
          <w:tcPr>
            <w:tcW w:type="dxa" w:w="3510"/>
            <w:shd w:fill="F4F8FB"/>
            <w:tcMar>
              <w:top w:w="100" w:type="dxa"/>
              <w:start w:w="120" w:type="dxa"/>
              <w:bottom w:w="100" w:type="dxa"/>
              <w:end w:w="120" w:type="dxa"/>
            </w:tcMar>
            <w:vAlign w:val="center"/>
          </w:tcPr>
          <w:p>
            <w:pPr>
              <w:spacing w:after="0"/>
              <w:jc w:val="right"/>
            </w:pPr>
            <w:r/>
            <w:r>
              <w:rPr>
                <w:rFonts w:ascii="Calibri" w:hAnsi="Calibri"/>
                <w:b/>
                <w:color w:val="173042"/>
                <w:sz w:val="18"/>
              </w:rPr>
              <w:t>Melayani antrean lebih cepat sambil stok outlet otomatis berkurang.</w:t>
            </w:r>
          </w:p>
        </w:tc>
      </w:tr>
      <w:tr>
        <w:tc>
          <w:tcPr>
            <w:tcW w:type="dxa" w:w="1750"/>
            <w:tcMar>
              <w:top w:w="100" w:type="dxa"/>
              <w:start w:w="120" w:type="dxa"/>
              <w:bottom w:w="100" w:type="dxa"/>
              <w:end w:w="120" w:type="dxa"/>
            </w:tcMar>
            <w:vAlign w:val="center"/>
          </w:tcPr>
          <w:p>
            <w:pPr>
              <w:spacing w:after="0"/>
              <w:jc w:val="center"/>
            </w:pPr>
            <w:r/>
            <w:r>
              <w:rPr>
                <w:rFonts w:ascii="Calibri" w:hAnsi="Calibri"/>
                <w:b/>
                <w:color w:val="173042"/>
                <w:sz w:val="18"/>
              </w:rPr>
              <w:t>Penjualan online &amp; reseller</w:t>
            </w:r>
          </w:p>
        </w:tc>
        <w:tc>
          <w:tcPr>
            <w:tcW w:type="dxa" w:w="4100"/>
            <w:tcMar>
              <w:top w:w="100" w:type="dxa"/>
              <w:start w:w="120" w:type="dxa"/>
              <w:bottom w:w="100" w:type="dxa"/>
              <w:end w:w="120" w:type="dxa"/>
            </w:tcMar>
            <w:vAlign w:val="center"/>
          </w:tcPr>
          <w:p>
            <w:pPr>
              <w:spacing w:after="0"/>
              <w:jc w:val="left"/>
            </w:pPr>
            <w:r/>
            <w:r>
              <w:rPr>
                <w:rFonts w:ascii="Calibri" w:hAnsi="Calibri"/>
                <w:b w:val="0"/>
                <w:color w:val="173042"/>
                <w:sz w:val="18"/>
              </w:rPr>
              <w:t>Mencatat transaksi dari kanal online dan reseller dengan kanal pembayaran yang jelas.</w:t>
            </w:r>
          </w:p>
        </w:tc>
        <w:tc>
          <w:tcPr>
            <w:tcW w:type="dxa" w:w="3510"/>
            <w:tcMar>
              <w:top w:w="100" w:type="dxa"/>
              <w:start w:w="120" w:type="dxa"/>
              <w:bottom w:w="100" w:type="dxa"/>
              <w:end w:w="120" w:type="dxa"/>
            </w:tcMar>
            <w:vAlign w:val="center"/>
          </w:tcPr>
          <w:p>
            <w:pPr>
              <w:spacing w:after="0"/>
              <w:jc w:val="right"/>
            </w:pPr>
            <w:r/>
            <w:r>
              <w:rPr>
                <w:rFonts w:ascii="Calibri" w:hAnsi="Calibri"/>
                <w:b/>
                <w:color w:val="173042"/>
                <w:sz w:val="18"/>
              </w:rPr>
              <w:t>Semua pemasukan tercatat pada satu sistem dan mudah dibandingkan dengan penjualan outlet.</w:t>
            </w:r>
          </w:p>
        </w:tc>
      </w:tr>
      <w:tr>
        <w:tc>
          <w:tcPr>
            <w:tcW w:type="dxa" w:w="1750"/>
            <w:shd w:fill="F4F8FB"/>
            <w:tcMar>
              <w:top w:w="100" w:type="dxa"/>
              <w:start w:w="120" w:type="dxa"/>
              <w:bottom w:w="100" w:type="dxa"/>
              <w:end w:w="120" w:type="dxa"/>
            </w:tcMar>
            <w:vAlign w:val="center"/>
          </w:tcPr>
          <w:p>
            <w:pPr>
              <w:spacing w:after="0"/>
              <w:jc w:val="center"/>
            </w:pPr>
            <w:r/>
            <w:r>
              <w:rPr>
                <w:rFonts w:ascii="Calibri" w:hAnsi="Calibri"/>
                <w:b/>
                <w:color w:val="173042"/>
                <w:sz w:val="18"/>
              </w:rPr>
              <w:t>Dashboard, analitik &amp; laporan</w:t>
            </w:r>
          </w:p>
        </w:tc>
        <w:tc>
          <w:tcPr>
            <w:tcW w:type="dxa" w:w="4100"/>
            <w:shd w:fill="F4F8FB"/>
            <w:tcMar>
              <w:top w:w="100" w:type="dxa"/>
              <w:start w:w="120" w:type="dxa"/>
              <w:bottom w:w="100" w:type="dxa"/>
              <w:end w:w="120" w:type="dxa"/>
            </w:tcMar>
            <w:vAlign w:val="center"/>
          </w:tcPr>
          <w:p>
            <w:pPr>
              <w:spacing w:after="0"/>
              <w:jc w:val="left"/>
            </w:pPr>
            <w:r/>
            <w:r>
              <w:rPr>
                <w:rFonts w:ascii="Calibri" w:hAnsi="Calibri"/>
                <w:b w:val="0"/>
                <w:color w:val="173042"/>
                <w:sz w:val="18"/>
              </w:rPr>
              <w:t>Grafik dan laporan penjualan per kanal, omzet, produk, stok, serta aktivitas operasional. Laporan dapat diunduh untuk kebutuhan evaluasi.</w:t>
            </w:r>
          </w:p>
        </w:tc>
        <w:tc>
          <w:tcPr>
            <w:tcW w:type="dxa" w:w="3510"/>
            <w:shd w:fill="F4F8FB"/>
            <w:tcMar>
              <w:top w:w="100" w:type="dxa"/>
              <w:start w:w="120" w:type="dxa"/>
              <w:bottom w:w="100" w:type="dxa"/>
              <w:end w:w="120" w:type="dxa"/>
            </w:tcMar>
            <w:vAlign w:val="center"/>
          </w:tcPr>
          <w:p>
            <w:pPr>
              <w:spacing w:after="0"/>
              <w:jc w:val="right"/>
            </w:pPr>
            <w:r/>
            <w:r>
              <w:rPr>
                <w:rFonts w:ascii="Calibri" w:hAnsi="Calibri"/>
                <w:b/>
                <w:color w:val="173042"/>
                <w:sz w:val="18"/>
              </w:rPr>
              <w:t>Owner memperoleh bahan keputusan yang mudah dibaca, bukan sekadar data mentah.</w:t>
            </w:r>
          </w:p>
        </w:tc>
      </w:tr>
      <w:tr>
        <w:tc>
          <w:tcPr>
            <w:tcW w:type="dxa" w:w="1750"/>
            <w:tcMar>
              <w:top w:w="100" w:type="dxa"/>
              <w:start w:w="120" w:type="dxa"/>
              <w:bottom w:w="100" w:type="dxa"/>
              <w:end w:w="120" w:type="dxa"/>
            </w:tcMar>
            <w:vAlign w:val="center"/>
          </w:tcPr>
          <w:p>
            <w:pPr>
              <w:spacing w:after="0"/>
              <w:jc w:val="center"/>
            </w:pPr>
            <w:r/>
            <w:r>
              <w:rPr>
                <w:rFonts w:ascii="Calibri" w:hAnsi="Calibri"/>
                <w:b/>
                <w:color w:val="173042"/>
                <w:sz w:val="18"/>
              </w:rPr>
              <w:t>Karyawan, absensi &amp; kasbon</w:t>
            </w:r>
          </w:p>
        </w:tc>
        <w:tc>
          <w:tcPr>
            <w:tcW w:type="dxa" w:w="4100"/>
            <w:tcMar>
              <w:top w:w="100" w:type="dxa"/>
              <w:start w:w="120" w:type="dxa"/>
              <w:bottom w:w="100" w:type="dxa"/>
              <w:end w:w="120" w:type="dxa"/>
            </w:tcMar>
            <w:vAlign w:val="center"/>
          </w:tcPr>
          <w:p>
            <w:pPr>
              <w:spacing w:after="0"/>
              <w:jc w:val="left"/>
            </w:pPr>
            <w:r/>
            <w:r>
              <w:rPr>
                <w:rFonts w:ascii="Calibri" w:hAnsi="Calibri"/>
                <w:b w:val="0"/>
                <w:color w:val="173042"/>
                <w:sz w:val="18"/>
              </w:rPr>
              <w:t>Data karyawan, lokasi penugasan, kehadiran, catatan kasbon/cicilan, dan pencatatan pembayaran gaji beserta bukti transfer.</w:t>
            </w:r>
          </w:p>
        </w:tc>
        <w:tc>
          <w:tcPr>
            <w:tcW w:type="dxa" w:w="3510"/>
            <w:tcMar>
              <w:top w:w="100" w:type="dxa"/>
              <w:start w:w="120" w:type="dxa"/>
              <w:bottom w:w="100" w:type="dxa"/>
              <w:end w:w="120" w:type="dxa"/>
            </w:tcMar>
            <w:vAlign w:val="center"/>
          </w:tcPr>
          <w:p>
            <w:pPr>
              <w:spacing w:after="0"/>
              <w:jc w:val="right"/>
            </w:pPr>
            <w:r/>
            <w:r>
              <w:rPr>
                <w:rFonts w:ascii="Calibri" w:hAnsi="Calibri"/>
                <w:b/>
                <w:color w:val="173042"/>
                <w:sz w:val="18"/>
              </w:rPr>
              <w:t>Administrasi tim lebih tertib dan pembayaran dapat ditelusuri.</w:t>
            </w:r>
          </w:p>
        </w:tc>
      </w:tr>
      <w:tr>
        <w:tc>
          <w:tcPr>
            <w:tcW w:type="dxa" w:w="1750"/>
            <w:shd w:fill="F4F8FB"/>
            <w:tcMar>
              <w:top w:w="100" w:type="dxa"/>
              <w:start w:w="120" w:type="dxa"/>
              <w:bottom w:w="100" w:type="dxa"/>
              <w:end w:w="120" w:type="dxa"/>
            </w:tcMar>
            <w:vAlign w:val="center"/>
          </w:tcPr>
          <w:p>
            <w:pPr>
              <w:spacing w:after="0"/>
              <w:jc w:val="center"/>
            </w:pPr>
            <w:r/>
            <w:r>
              <w:rPr>
                <w:rFonts w:ascii="Calibri" w:hAnsi="Calibri"/>
                <w:b/>
                <w:color w:val="173042"/>
                <w:sz w:val="18"/>
              </w:rPr>
              <w:t>Kalkulator HPP &amp; biaya marketplace</w:t>
            </w:r>
          </w:p>
        </w:tc>
        <w:tc>
          <w:tcPr>
            <w:tcW w:type="dxa" w:w="4100"/>
            <w:shd w:fill="F4F8FB"/>
            <w:tcMar>
              <w:top w:w="100" w:type="dxa"/>
              <w:start w:w="120" w:type="dxa"/>
              <w:bottom w:w="100" w:type="dxa"/>
              <w:end w:w="120" w:type="dxa"/>
            </w:tcMar>
            <w:vAlign w:val="center"/>
          </w:tcPr>
          <w:p>
            <w:pPr>
              <w:spacing w:after="0"/>
              <w:jc w:val="left"/>
            </w:pPr>
            <w:r/>
            <w:r>
              <w:rPr>
                <w:rFonts w:ascii="Calibri" w:hAnsi="Calibri"/>
                <w:b w:val="0"/>
                <w:color w:val="173042"/>
                <w:sz w:val="18"/>
              </w:rPr>
              <w:t>Menghitung bahan baku, biaya kemasan/tenaga kerja, hasil produksi, rekomendasi harga jual, diskon, komisi, dan biaya marketplace.</w:t>
            </w:r>
          </w:p>
        </w:tc>
        <w:tc>
          <w:tcPr>
            <w:tcW w:type="dxa" w:w="3510"/>
            <w:shd w:fill="F4F8FB"/>
            <w:tcMar>
              <w:top w:w="100" w:type="dxa"/>
              <w:start w:w="120" w:type="dxa"/>
              <w:bottom w:w="100" w:type="dxa"/>
              <w:end w:w="120" w:type="dxa"/>
            </w:tcMar>
            <w:vAlign w:val="center"/>
          </w:tcPr>
          <w:p>
            <w:pPr>
              <w:spacing w:after="0"/>
              <w:jc w:val="right"/>
            </w:pPr>
            <w:r/>
            <w:r>
              <w:rPr>
                <w:rFonts w:ascii="Calibri" w:hAnsi="Calibri"/>
                <w:b/>
                <w:color w:val="173042"/>
                <w:sz w:val="18"/>
              </w:rPr>
              <w:t>Menengs dapat menetapkan harga yang tetap menguntungkan setelah biaya platform.</w:t>
            </w:r>
          </w:p>
        </w:tc>
      </w:tr>
      <w:tr>
        <w:tc>
          <w:tcPr>
            <w:tcW w:type="dxa" w:w="1750"/>
            <w:tcMar>
              <w:top w:w="100" w:type="dxa"/>
              <w:start w:w="120" w:type="dxa"/>
              <w:bottom w:w="100" w:type="dxa"/>
              <w:end w:w="120" w:type="dxa"/>
            </w:tcMar>
            <w:vAlign w:val="center"/>
          </w:tcPr>
          <w:p>
            <w:pPr>
              <w:spacing w:after="0"/>
              <w:jc w:val="center"/>
            </w:pPr>
            <w:r/>
            <w:r>
              <w:rPr>
                <w:rFonts w:ascii="Calibri" w:hAnsi="Calibri"/>
                <w:b/>
                <w:color w:val="173042"/>
                <w:sz w:val="18"/>
              </w:rPr>
              <w:t>Akses melalui perangkat</w:t>
            </w:r>
          </w:p>
        </w:tc>
        <w:tc>
          <w:tcPr>
            <w:tcW w:type="dxa" w:w="4100"/>
            <w:tcMar>
              <w:top w:w="100" w:type="dxa"/>
              <w:start w:w="120" w:type="dxa"/>
              <w:bottom w:w="100" w:type="dxa"/>
              <w:end w:w="120" w:type="dxa"/>
            </w:tcMar>
            <w:vAlign w:val="center"/>
          </w:tcPr>
          <w:p>
            <w:pPr>
              <w:spacing w:after="0"/>
              <w:jc w:val="left"/>
            </w:pPr>
            <w:r/>
            <w:r>
              <w:rPr>
                <w:rFonts w:ascii="Calibri" w:hAnsi="Calibri"/>
                <w:b w:val="0"/>
                <w:color w:val="173042"/>
                <w:sz w:val="18"/>
              </w:rPr>
              <w:t>Tampilan menyesuaikan komputer, tablet, dan ponsel; fitur operasional utama dirancang untuk dipakai di lapangan.</w:t>
            </w:r>
          </w:p>
        </w:tc>
        <w:tc>
          <w:tcPr>
            <w:tcW w:type="dxa" w:w="3510"/>
            <w:tcMar>
              <w:top w:w="100" w:type="dxa"/>
              <w:start w:w="120" w:type="dxa"/>
              <w:bottom w:w="100" w:type="dxa"/>
              <w:end w:w="120" w:type="dxa"/>
            </w:tcMar>
            <w:vAlign w:val="center"/>
          </w:tcPr>
          <w:p>
            <w:pPr>
              <w:spacing w:after="0"/>
              <w:jc w:val="right"/>
            </w:pPr>
            <w:r/>
            <w:r>
              <w:rPr>
                <w:rFonts w:ascii="Calibri" w:hAnsi="Calibri"/>
                <w:b/>
                <w:color w:val="173042"/>
                <w:sz w:val="18"/>
              </w:rPr>
              <w:t>Tim outlet tidak harus selalu bergantung pada komputer kantor.</w:t>
            </w:r>
          </w:p>
        </w:tc>
      </w:tr>
    </w:tbl>
    <w:p>
      <w:pPr>
        <w:spacing w:before="200" w:after="120" w:line="264" w:lineRule="auto"/>
        <w:jc w:val="left"/>
      </w:pPr>
      <w:r>
        <w:rPr>
          <w:rFonts w:ascii="Calibri" w:hAnsi="Calibri"/>
          <w:b/>
          <w:color w:val="073B5A"/>
          <w:sz w:val="25"/>
        </w:rPr>
        <w:t>Alur Kerja Sederhana</w:t>
      </w:r>
    </w:p>
    <w:p>
      <w:pPr>
        <w:spacing w:before="0" w:after="120" w:line="264" w:lineRule="auto"/>
        <w:jc w:val="left"/>
      </w:pPr>
      <w:r>
        <w:rPr>
          <w:rFonts w:ascii="Calibri" w:hAnsi="Calibri"/>
          <w:b w:val="0"/>
          <w:color w:val="173042"/>
          <w:sz w:val="21"/>
        </w:rPr>
        <w:t>Secara singkat, barang diterima di gudang atau outlet, stoknya tercatat, lalu barang dapat dijual atau dipindahkan ke lokasi lain. Setiap penjualan mengurangi stok lokasi terkait. Jika barang dikirim antar lokasi, stok tujuan baru bertambah setelah PIC tujuan mengonfirmasi penerimaan. Owner melihat seluruh ringkasan melalui dashboard dan laporan.</w:t>
      </w:r>
    </w:p>
    <w:p>
      <w:pPr>
        <w:spacing w:before="300" w:after="120" w:line="264" w:lineRule="auto"/>
        <w:jc w:val="left"/>
      </w:pPr>
      <w:r>
        <w:rPr>
          <w:rFonts w:ascii="Calibri" w:hAnsi="Calibri"/>
          <w:b/>
          <w:color w:val="087FA9"/>
          <w:sz w:val="32"/>
        </w:rPr>
        <w:t>Bonus Implementasi (Opsional Saat Client Siap)</w:t>
      </w:r>
    </w:p>
    <w:p>
      <w:pPr>
        <w:spacing w:before="0" w:after="120" w:line="264" w:lineRule="auto"/>
        <w:jc w:val="left"/>
      </w:pPr>
      <w:r>
        <w:rPr>
          <w:rFonts w:ascii="Calibri" w:hAnsi="Calibri"/>
          <w:b w:val="0"/>
          <w:color w:val="173042"/>
          <w:sz w:val="20"/>
        </w:rPr>
        <w:t>Sebagai nilai tambah, VeinTech menyediakan sesi pendampingan konfigurasi awal BigSeller tanpa biaya tambahan apabila Menengs memutuskan menggunakannya. Cakupan bonus ini meliputi:</w:t>
      </w:r>
    </w:p>
    <w:p>
      <w:pPr>
        <w:pStyle w:val="ListBullet"/>
        <w:spacing w:after="80" w:line="264" w:lineRule="auto"/>
      </w:pPr>
      <w:r>
        <w:rPr>
          <w:rFonts w:ascii="Calibri" w:hAnsi="Calibri"/>
          <w:b w:val="0"/>
          <w:color w:val="173042"/>
          <w:sz w:val="21"/>
        </w:rPr>
        <w:t>Membantu menghubungkan akun marketplace yang didukung BigSeller ke satu dashboard operasional.</w:t>
      </w:r>
    </w:p>
    <w:p>
      <w:pPr>
        <w:pStyle w:val="ListBullet"/>
        <w:spacing w:after="80" w:line="264" w:lineRule="auto"/>
      </w:pPr>
      <w:r>
        <w:rPr>
          <w:rFonts w:ascii="Calibri" w:hAnsi="Calibri"/>
          <w:b w:val="0"/>
          <w:color w:val="173042"/>
          <w:sz w:val="21"/>
        </w:rPr>
        <w:t>Membantu pengaturan dasar sinkronisasi pesanan masuk dan pemetaan stok agar pembaruan stok dapat dijalankan melalui BigSeller.</w:t>
      </w:r>
    </w:p>
    <w:p>
      <w:pPr>
        <w:pStyle w:val="ListBullet"/>
        <w:spacing w:after="80" w:line="264" w:lineRule="auto"/>
      </w:pPr>
      <w:r>
        <w:rPr>
          <w:rFonts w:ascii="Calibri" w:hAnsi="Calibri"/>
          <w:b w:val="0"/>
          <w:color w:val="173042"/>
          <w:sz w:val="21"/>
        </w:rPr>
        <w:t>Pengujian alur pesanan dan stok bersama PIC client pada kanal yang telah terhubung.</w:t>
      </w:r>
    </w:p>
    <w:p>
      <w:pPr>
        <w:spacing w:before="0" w:after="120" w:line="264" w:lineRule="auto"/>
        <w:jc w:val="left"/>
      </w:pPr>
      <w:r>
        <w:rPr>
          <w:rFonts w:ascii="Calibri" w:hAnsi="Calibri"/>
          <w:b w:val="0"/>
          <w:color w:val="173042"/>
          <w:sz w:val="19"/>
        </w:rPr>
        <w:t>Catatan: bonus ini tidak menjadi ketergantungan aplikasi Menengs dan tidak termasuk integrasi otomatis marketplace pada tahap pengembangan saat ini. Lisensi/langganan BigSeller, akun marketplace aktif, kredensial integrasi, serta kebijakan dan batasan masing-masing marketplace disediakan oleh client.</w:t>
      </w:r>
    </w:p>
    <w:p>
      <w:pPr>
        <w:spacing w:before="200" w:after="120" w:line="264" w:lineRule="auto"/>
        <w:jc w:val="left"/>
      </w:pPr>
      <w:r>
        <w:rPr>
          <w:rFonts w:ascii="Calibri" w:hAnsi="Calibri"/>
          <w:b/>
          <w:color w:val="073B5A"/>
          <w:sz w:val="25"/>
        </w:rPr>
        <w:t>Bonus Infrastruktur</w:t>
      </w:r>
    </w:p>
    <w:p>
      <w:pPr>
        <w:spacing w:before="0" w:after="120" w:line="264" w:lineRule="auto"/>
        <w:jc w:val="left"/>
      </w:pPr>
      <w:r>
        <w:rPr>
          <w:rFonts w:ascii="Calibri" w:hAnsi="Calibri"/>
          <w:b w:val="0"/>
          <w:color w:val="173042"/>
          <w:sz w:val="20"/>
        </w:rPr>
        <w:t>Biaya berikut diberikan sebagai bonus dan sudah termasuk dalam total nilai penawaran Rp 30.800.000. Tidak ada biaya terpisah pada 12 bulan pertama sejak aplikasi go-live.</w:t>
      </w:r>
    </w:p>
    <w:tbl>
      <w:tblPr>
        <w:tblStyle w:val="TableGrid"/>
        <w:tblW w:type="auto" w:w="0"/>
        <w:jc w:val="left"/>
        <w:tblLayout w:type="fixed"/>
        <w:tblLook w:firstColumn="1" w:firstRow="1" w:lastColumn="0" w:lastRow="0" w:noHBand="0" w:noVBand="1" w:val="04A0"/>
        <w:tblW w:w="9360" w:type="dxa"/>
        <w:tblLayout w:type="fixed"/>
      </w:tblPr>
      <w:tblGrid>
        <w:gridCol w:w="2300"/>
        <w:gridCol w:w="4900"/>
        <w:gridCol w:w="2160"/>
      </w:tblGrid>
      <w:tr>
        <w:tc>
          <w:tcPr>
            <w:tcW w:type="dxa" w:w="3331"/>
            <w:tcW w:w="230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Bonus</w:t>
            </w:r>
          </w:p>
        </w:tc>
        <w:tc>
          <w:tcPr>
            <w:tcW w:type="dxa" w:w="3331"/>
            <w:tcW w:w="490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Cakupan</w:t>
            </w:r>
          </w:p>
        </w:tc>
        <w:tc>
          <w:tcPr>
            <w:tcW w:type="dxa" w:w="3331"/>
            <w:tcW w:w="216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Masa berlaku</w:t>
            </w:r>
          </w:p>
        </w:tc>
      </w:tr>
      <w:tr>
        <w:tc>
          <w:tcPr>
            <w:tcW w:type="dxa" w:w="2300"/>
            <w:tcMar>
              <w:top w:w="100" w:type="dxa"/>
              <w:start w:w="120" w:type="dxa"/>
              <w:bottom w:w="100" w:type="dxa"/>
              <w:end w:w="120" w:type="dxa"/>
            </w:tcMar>
            <w:vAlign w:val="center"/>
          </w:tcPr>
          <w:p>
            <w:pPr>
              <w:spacing w:after="0"/>
              <w:jc w:val="center"/>
            </w:pPr>
            <w:r/>
            <w:r>
              <w:rPr>
                <w:rFonts w:ascii="Calibri" w:hAnsi="Calibri"/>
                <w:b/>
                <w:color w:val="173042"/>
                <w:sz w:val="18"/>
              </w:rPr>
              <w:t>Server aplikasi</w:t>
            </w:r>
          </w:p>
        </w:tc>
        <w:tc>
          <w:tcPr>
            <w:tcW w:type="dxa" w:w="4900"/>
            <w:tcMar>
              <w:top w:w="100" w:type="dxa"/>
              <w:start w:w="120" w:type="dxa"/>
              <w:bottom w:w="100" w:type="dxa"/>
              <w:end w:w="120" w:type="dxa"/>
            </w:tcMar>
            <w:vAlign w:val="center"/>
          </w:tcPr>
          <w:p>
            <w:pPr>
              <w:spacing w:after="0"/>
              <w:jc w:val="left"/>
            </w:pPr>
            <w:r/>
            <w:r>
              <w:rPr>
                <w:rFonts w:ascii="Calibri" w:hAnsi="Calibri"/>
                <w:b w:val="0"/>
                <w:color w:val="173042"/>
                <w:sz w:val="18"/>
              </w:rPr>
              <w:t>Penyediaan lingkungan server untuk menjalankan aplikasi Menengs.</w:t>
            </w:r>
          </w:p>
        </w:tc>
        <w:tc>
          <w:tcPr>
            <w:tcW w:type="dxa" w:w="2160"/>
            <w:tcMar>
              <w:top w:w="100" w:type="dxa"/>
              <w:start w:w="120" w:type="dxa"/>
              <w:bottom w:w="100" w:type="dxa"/>
              <w:end w:w="120" w:type="dxa"/>
            </w:tcMar>
            <w:vAlign w:val="center"/>
          </w:tcPr>
          <w:p>
            <w:pPr>
              <w:spacing w:after="0"/>
              <w:jc w:val="right"/>
            </w:pPr>
            <w:r/>
            <w:r>
              <w:rPr>
                <w:rFonts w:ascii="Calibri" w:hAnsi="Calibri"/>
                <w:b/>
                <w:color w:val="173042"/>
                <w:sz w:val="18"/>
              </w:rPr>
              <w:t>12 bulan pertama</w:t>
            </w:r>
          </w:p>
        </w:tc>
      </w:tr>
      <w:tr>
        <w:tc>
          <w:tcPr>
            <w:tcW w:type="dxa" w:w="2300"/>
            <w:shd w:fill="F4F8FB"/>
            <w:tcMar>
              <w:top w:w="100" w:type="dxa"/>
              <w:start w:w="120" w:type="dxa"/>
              <w:bottom w:w="100" w:type="dxa"/>
              <w:end w:w="120" w:type="dxa"/>
            </w:tcMar>
            <w:vAlign w:val="center"/>
          </w:tcPr>
          <w:p>
            <w:pPr>
              <w:spacing w:after="0"/>
              <w:jc w:val="center"/>
            </w:pPr>
            <w:r/>
            <w:r>
              <w:rPr>
                <w:rFonts w:ascii="Calibri" w:hAnsi="Calibri"/>
                <w:b/>
                <w:color w:val="173042"/>
                <w:sz w:val="18"/>
              </w:rPr>
              <w:t>Hosting</w:t>
            </w:r>
          </w:p>
        </w:tc>
        <w:tc>
          <w:tcPr>
            <w:tcW w:type="dxa" w:w="4900"/>
            <w:shd w:fill="F4F8FB"/>
            <w:tcMar>
              <w:top w:w="100" w:type="dxa"/>
              <w:start w:w="120" w:type="dxa"/>
              <w:bottom w:w="100" w:type="dxa"/>
              <w:end w:w="120" w:type="dxa"/>
            </w:tcMar>
            <w:vAlign w:val="center"/>
          </w:tcPr>
          <w:p>
            <w:pPr>
              <w:spacing w:after="0"/>
              <w:jc w:val="left"/>
            </w:pPr>
            <w:r/>
            <w:r>
              <w:rPr>
                <w:rFonts w:ascii="Calibri" w:hAnsi="Calibri"/>
                <w:b w:val="0"/>
                <w:color w:val="173042"/>
                <w:sz w:val="18"/>
              </w:rPr>
              <w:t>Penyimpanan dan akses aplikasi melalui internet untuk kebutuhan operasional Menengs.</w:t>
            </w:r>
          </w:p>
        </w:tc>
        <w:tc>
          <w:tcPr>
            <w:tcW w:type="dxa" w:w="2160"/>
            <w:shd w:fill="F4F8FB"/>
            <w:tcMar>
              <w:top w:w="100" w:type="dxa"/>
              <w:start w:w="120" w:type="dxa"/>
              <w:bottom w:w="100" w:type="dxa"/>
              <w:end w:w="120" w:type="dxa"/>
            </w:tcMar>
            <w:vAlign w:val="center"/>
          </w:tcPr>
          <w:p>
            <w:pPr>
              <w:spacing w:after="0"/>
              <w:jc w:val="right"/>
            </w:pPr>
            <w:r/>
            <w:r>
              <w:rPr>
                <w:rFonts w:ascii="Calibri" w:hAnsi="Calibri"/>
                <w:b/>
                <w:color w:val="173042"/>
                <w:sz w:val="18"/>
              </w:rPr>
              <w:t>12 bulan pertama</w:t>
            </w:r>
          </w:p>
        </w:tc>
      </w:tr>
      <w:tr>
        <w:tc>
          <w:tcPr>
            <w:tcW w:type="dxa" w:w="2300"/>
            <w:tcMar>
              <w:top w:w="100" w:type="dxa"/>
              <w:start w:w="120" w:type="dxa"/>
              <w:bottom w:w="100" w:type="dxa"/>
              <w:end w:w="120" w:type="dxa"/>
            </w:tcMar>
            <w:vAlign w:val="center"/>
          </w:tcPr>
          <w:p>
            <w:pPr>
              <w:spacing w:after="0"/>
              <w:jc w:val="center"/>
            </w:pPr>
            <w:r/>
            <w:r>
              <w:rPr>
                <w:rFonts w:ascii="Calibri" w:hAnsi="Calibri"/>
                <w:b/>
                <w:color w:val="173042"/>
                <w:sz w:val="18"/>
              </w:rPr>
              <w:t>Domain</w:t>
            </w:r>
          </w:p>
        </w:tc>
        <w:tc>
          <w:tcPr>
            <w:tcW w:type="dxa" w:w="4900"/>
            <w:tcMar>
              <w:top w:w="100" w:type="dxa"/>
              <w:start w:w="120" w:type="dxa"/>
              <w:bottom w:w="100" w:type="dxa"/>
              <w:end w:w="120" w:type="dxa"/>
            </w:tcMar>
            <w:vAlign w:val="center"/>
          </w:tcPr>
          <w:p>
            <w:pPr>
              <w:spacing w:after="0"/>
              <w:jc w:val="left"/>
            </w:pPr>
            <w:r/>
            <w:r>
              <w:rPr>
                <w:rFonts w:ascii="Calibri" w:hAnsi="Calibri"/>
                <w:b w:val="0"/>
                <w:color w:val="173042"/>
                <w:sz w:val="18"/>
              </w:rPr>
              <w:t>Satu alamat website/domain untuk akses aplikasi Menengs.</w:t>
            </w:r>
          </w:p>
        </w:tc>
        <w:tc>
          <w:tcPr>
            <w:tcW w:type="dxa" w:w="2160"/>
            <w:tcMar>
              <w:top w:w="100" w:type="dxa"/>
              <w:start w:w="120" w:type="dxa"/>
              <w:bottom w:w="100" w:type="dxa"/>
              <w:end w:w="120" w:type="dxa"/>
            </w:tcMar>
            <w:vAlign w:val="center"/>
          </w:tcPr>
          <w:p>
            <w:pPr>
              <w:spacing w:after="0"/>
              <w:jc w:val="right"/>
            </w:pPr>
            <w:r/>
            <w:r>
              <w:rPr>
                <w:rFonts w:ascii="Calibri" w:hAnsi="Calibri"/>
                <w:b/>
                <w:color w:val="173042"/>
                <w:sz w:val="18"/>
              </w:rPr>
              <w:t>12 bulan pertama</w:t>
            </w:r>
          </w:p>
        </w:tc>
      </w:tr>
    </w:tbl>
    <w:p>
      <w:pPr>
        <w:spacing w:before="0" w:after="120" w:line="264" w:lineRule="auto"/>
        <w:jc w:val="left"/>
      </w:pPr>
      <w:r>
        <w:rPr>
          <w:rFonts w:ascii="Calibri" w:hAnsi="Calibri"/>
          <w:b w:val="0"/>
          <w:color w:val="5F7484"/>
          <w:sz w:val="19"/>
        </w:rPr>
        <w:t>Setelah masa bonus berakhir, biaya perpanjangan server, hosting, dan domain mengikuti harga penyedia layanan pada saat perpanjangan. Biaya tersebut akan diinformasikan terlebih dahulu kepada Menengs sebelum jatuh tempo.</w:t>
      </w:r>
    </w:p>
    <w:p>
      <w:pPr>
        <w:spacing w:before="300" w:after="120" w:line="264" w:lineRule="auto"/>
        <w:jc w:val="left"/>
      </w:pPr>
      <w:r>
        <w:rPr>
          <w:rFonts w:ascii="Calibri" w:hAnsi="Calibri"/>
          <w:b/>
          <w:color w:val="087FA9"/>
          <w:sz w:val="32"/>
        </w:rPr>
        <w:t>Rincian Anggaran Biaya (RAB)</w:t>
      </w:r>
    </w:p>
    <w:p>
      <w:pPr>
        <w:spacing w:before="0" w:after="120" w:line="264" w:lineRule="auto"/>
        <w:jc w:val="left"/>
      </w:pPr>
      <w:r>
        <w:rPr>
          <w:rFonts w:ascii="Calibri" w:hAnsi="Calibri"/>
          <w:b w:val="0"/>
          <w:color w:val="173042"/>
          <w:sz w:val="20"/>
        </w:rPr>
        <w:t>Nilai mencakup analisis, pengembangan, pengujian, dan serah-terima versi 1.0. Sebagai dukungan implementasi Menengs, diberikan diskon pada setiap komponen. Harga bersifat fixed-price selama ruang lingkup tidak berubah.</w:t>
      </w:r>
    </w:p>
    <w:tbl>
      <w:tblPr>
        <w:tblStyle w:val="TableGrid"/>
        <w:tblW w:type="auto" w:w="0"/>
        <w:jc w:val="left"/>
        <w:tblLayout w:type="fixed"/>
        <w:tblLook w:firstColumn="1" w:firstRow="1" w:lastColumn="0" w:lastRow="0" w:noHBand="0" w:noVBand="1" w:val="04A0"/>
        <w:tblW w:w="9360" w:type="dxa"/>
        <w:tblLayout w:type="fixed"/>
      </w:tblPr>
      <w:tblGrid>
        <w:gridCol w:w="500"/>
        <w:gridCol w:w="3850"/>
        <w:gridCol w:w="1650"/>
        <w:gridCol w:w="1550"/>
        <w:gridCol w:w="1810"/>
      </w:tblGrid>
      <w:tr>
        <w:tc>
          <w:tcPr>
            <w:tcW w:type="dxa" w:w="1999"/>
            <w:tcW w:w="50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No.</w:t>
            </w:r>
          </w:p>
        </w:tc>
        <w:tc>
          <w:tcPr>
            <w:tcW w:type="dxa" w:w="1999"/>
            <w:tcW w:w="385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Komponen pekerjaan</w:t>
            </w:r>
          </w:p>
        </w:tc>
        <w:tc>
          <w:tcPr>
            <w:tcW w:type="dxa" w:w="1999"/>
            <w:tcW w:w="165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Nilai awal</w:t>
            </w:r>
          </w:p>
        </w:tc>
        <w:tc>
          <w:tcPr>
            <w:tcW w:type="dxa" w:w="1999"/>
            <w:tcW w:w="155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Diskon</w:t>
            </w:r>
          </w:p>
        </w:tc>
        <w:tc>
          <w:tcPr>
            <w:tcW w:type="dxa" w:w="1999"/>
            <w:tcW w:w="181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Nilai penawaran</w:t>
            </w:r>
          </w:p>
        </w:tc>
      </w:tr>
      <w:tr>
        <w:tc>
          <w:tcPr>
            <w:tcW w:type="dxa" w:w="500"/>
            <w:tcMar>
              <w:top w:w="100" w:type="dxa"/>
              <w:start w:w="120" w:type="dxa"/>
              <w:bottom w:w="100" w:type="dxa"/>
              <w:end w:w="120" w:type="dxa"/>
            </w:tcMar>
            <w:vAlign w:val="center"/>
          </w:tcPr>
          <w:p>
            <w:pPr>
              <w:spacing w:after="0"/>
              <w:jc w:val="center"/>
            </w:pPr>
            <w:r/>
            <w:r>
              <w:rPr>
                <w:rFonts w:ascii="Calibri" w:hAnsi="Calibri"/>
                <w:b/>
                <w:color w:val="173042"/>
                <w:sz w:val="18"/>
              </w:rPr>
              <w:t>1</w:t>
            </w:r>
          </w:p>
        </w:tc>
        <w:tc>
          <w:tcPr>
            <w:tcW w:type="dxa" w:w="3850"/>
            <w:tcMar>
              <w:top w:w="100" w:type="dxa"/>
              <w:start w:w="120" w:type="dxa"/>
              <w:bottom w:w="100" w:type="dxa"/>
              <w:end w:w="120" w:type="dxa"/>
            </w:tcMar>
            <w:vAlign w:val="center"/>
          </w:tcPr>
          <w:p>
            <w:pPr>
              <w:spacing w:after="0"/>
              <w:jc w:val="left"/>
            </w:pPr>
            <w:r/>
            <w:r>
              <w:rPr>
                <w:rFonts w:ascii="Calibri" w:hAnsi="Calibri"/>
                <w:b w:val="0"/>
                <w:color w:val="173042"/>
                <w:sz w:val="18"/>
              </w:rPr>
              <w:t>Analisis kebutuhan, perancangan alur operasional &amp; UI/UX</w:t>
            </w:r>
          </w:p>
        </w:tc>
        <w:tc>
          <w:tcPr>
            <w:tcW w:type="dxa" w:w="1650"/>
            <w:tcMar>
              <w:top w:w="100" w:type="dxa"/>
              <w:start w:w="120" w:type="dxa"/>
              <w:bottom w:w="100" w:type="dxa"/>
              <w:end w:w="120" w:type="dxa"/>
            </w:tcMar>
            <w:vAlign w:val="center"/>
          </w:tcPr>
          <w:p>
            <w:pPr>
              <w:spacing w:after="0"/>
              <w:jc w:val="left"/>
            </w:pPr>
            <w:r/>
            <w:r>
              <w:rPr>
                <w:rFonts w:ascii="Calibri" w:hAnsi="Calibri"/>
                <w:b w:val="0"/>
                <w:color w:val="173042"/>
                <w:sz w:val="18"/>
              </w:rPr>
              <w:t>Rp 4.500.000</w:t>
            </w:r>
          </w:p>
        </w:tc>
        <w:tc>
          <w:tcPr>
            <w:tcW w:type="dxa" w:w="1550"/>
            <w:tcMar>
              <w:top w:w="100" w:type="dxa"/>
              <w:start w:w="120" w:type="dxa"/>
              <w:bottom w:w="100" w:type="dxa"/>
              <w:end w:w="120" w:type="dxa"/>
            </w:tcMar>
            <w:vAlign w:val="center"/>
          </w:tcPr>
          <w:p>
            <w:pPr>
              <w:spacing w:after="0"/>
              <w:jc w:val="left"/>
            </w:pPr>
            <w:r/>
            <w:r>
              <w:rPr>
                <w:rFonts w:ascii="Calibri" w:hAnsi="Calibri"/>
                <w:b w:val="0"/>
                <w:color w:val="173042"/>
                <w:sz w:val="18"/>
              </w:rPr>
              <w:t>Rp 1.800.000</w:t>
            </w:r>
          </w:p>
        </w:tc>
        <w:tc>
          <w:tcPr>
            <w:tcW w:type="dxa" w:w="1810"/>
            <w:tcMar>
              <w:top w:w="100" w:type="dxa"/>
              <w:start w:w="120" w:type="dxa"/>
              <w:bottom w:w="100" w:type="dxa"/>
              <w:end w:w="120" w:type="dxa"/>
            </w:tcMar>
            <w:vAlign w:val="center"/>
          </w:tcPr>
          <w:p>
            <w:pPr>
              <w:spacing w:after="0"/>
              <w:jc w:val="right"/>
            </w:pPr>
            <w:r/>
            <w:r>
              <w:rPr>
                <w:rFonts w:ascii="Calibri" w:hAnsi="Calibri"/>
                <w:b/>
                <w:color w:val="173042"/>
                <w:sz w:val="18"/>
              </w:rPr>
              <w:t>Rp 2.700.000</w:t>
            </w:r>
          </w:p>
        </w:tc>
      </w:tr>
      <w:tr>
        <w:tc>
          <w:tcPr>
            <w:tcW w:type="dxa" w:w="500"/>
            <w:shd w:fill="F4F8FB"/>
            <w:tcMar>
              <w:top w:w="100" w:type="dxa"/>
              <w:start w:w="120" w:type="dxa"/>
              <w:bottom w:w="100" w:type="dxa"/>
              <w:end w:w="120" w:type="dxa"/>
            </w:tcMar>
            <w:vAlign w:val="center"/>
          </w:tcPr>
          <w:p>
            <w:pPr>
              <w:spacing w:after="0"/>
              <w:jc w:val="center"/>
            </w:pPr>
            <w:r/>
            <w:r>
              <w:rPr>
                <w:rFonts w:ascii="Calibri" w:hAnsi="Calibri"/>
                <w:b/>
                <w:color w:val="173042"/>
                <w:sz w:val="18"/>
              </w:rPr>
              <w:t>2</w:t>
            </w:r>
          </w:p>
        </w:tc>
        <w:tc>
          <w:tcPr>
            <w:tcW w:type="dxa" w:w="3850"/>
            <w:shd w:fill="F4F8FB"/>
            <w:tcMar>
              <w:top w:w="100" w:type="dxa"/>
              <w:start w:w="120" w:type="dxa"/>
              <w:bottom w:w="100" w:type="dxa"/>
              <w:end w:w="120" w:type="dxa"/>
            </w:tcMar>
            <w:vAlign w:val="center"/>
          </w:tcPr>
          <w:p>
            <w:pPr>
              <w:spacing w:after="0"/>
              <w:jc w:val="left"/>
            </w:pPr>
            <w:r/>
            <w:r>
              <w:rPr>
                <w:rFonts w:ascii="Calibri" w:hAnsi="Calibri"/>
                <w:b w:val="0"/>
                <w:color w:val="173042"/>
                <w:sz w:val="18"/>
              </w:rPr>
              <w:t>Master data, pengguna, dan RBAC</w:t>
            </w:r>
          </w:p>
        </w:tc>
        <w:tc>
          <w:tcPr>
            <w:tcW w:type="dxa" w:w="1650"/>
            <w:shd w:fill="F4F8FB"/>
            <w:tcMar>
              <w:top w:w="100" w:type="dxa"/>
              <w:start w:w="120" w:type="dxa"/>
              <w:bottom w:w="100" w:type="dxa"/>
              <w:end w:w="120" w:type="dxa"/>
            </w:tcMar>
            <w:vAlign w:val="center"/>
          </w:tcPr>
          <w:p>
            <w:pPr>
              <w:spacing w:after="0"/>
              <w:jc w:val="left"/>
            </w:pPr>
            <w:r/>
            <w:r>
              <w:rPr>
                <w:rFonts w:ascii="Calibri" w:hAnsi="Calibri"/>
                <w:b w:val="0"/>
                <w:color w:val="173042"/>
                <w:sz w:val="18"/>
              </w:rPr>
              <w:t>Rp 7.500.000</w:t>
            </w:r>
          </w:p>
        </w:tc>
        <w:tc>
          <w:tcPr>
            <w:tcW w:type="dxa" w:w="1550"/>
            <w:shd w:fill="F4F8FB"/>
            <w:tcMar>
              <w:top w:w="100" w:type="dxa"/>
              <w:start w:w="120" w:type="dxa"/>
              <w:bottom w:w="100" w:type="dxa"/>
              <w:end w:w="120" w:type="dxa"/>
            </w:tcMar>
            <w:vAlign w:val="center"/>
          </w:tcPr>
          <w:p>
            <w:pPr>
              <w:spacing w:after="0"/>
              <w:jc w:val="left"/>
            </w:pPr>
            <w:r/>
            <w:r>
              <w:rPr>
                <w:rFonts w:ascii="Calibri" w:hAnsi="Calibri"/>
                <w:b w:val="0"/>
                <w:color w:val="173042"/>
                <w:sz w:val="18"/>
              </w:rPr>
              <w:t>Rp 3.000.000</w:t>
            </w:r>
          </w:p>
        </w:tc>
        <w:tc>
          <w:tcPr>
            <w:tcW w:type="dxa" w:w="1810"/>
            <w:shd w:fill="F4F8FB"/>
            <w:tcMar>
              <w:top w:w="100" w:type="dxa"/>
              <w:start w:w="120" w:type="dxa"/>
              <w:bottom w:w="100" w:type="dxa"/>
              <w:end w:w="120" w:type="dxa"/>
            </w:tcMar>
            <w:vAlign w:val="center"/>
          </w:tcPr>
          <w:p>
            <w:pPr>
              <w:spacing w:after="0"/>
              <w:jc w:val="right"/>
            </w:pPr>
            <w:r/>
            <w:r>
              <w:rPr>
                <w:rFonts w:ascii="Calibri" w:hAnsi="Calibri"/>
                <w:b/>
                <w:color w:val="173042"/>
                <w:sz w:val="18"/>
              </w:rPr>
              <w:t>Rp 4.500.000</w:t>
            </w:r>
          </w:p>
        </w:tc>
      </w:tr>
      <w:tr>
        <w:tc>
          <w:tcPr>
            <w:tcW w:type="dxa" w:w="500"/>
            <w:tcMar>
              <w:top w:w="100" w:type="dxa"/>
              <w:start w:w="120" w:type="dxa"/>
              <w:bottom w:w="100" w:type="dxa"/>
              <w:end w:w="120" w:type="dxa"/>
            </w:tcMar>
            <w:vAlign w:val="center"/>
          </w:tcPr>
          <w:p>
            <w:pPr>
              <w:spacing w:after="0"/>
              <w:jc w:val="center"/>
            </w:pPr>
            <w:r/>
            <w:r>
              <w:rPr>
                <w:rFonts w:ascii="Calibri" w:hAnsi="Calibri"/>
                <w:b/>
                <w:color w:val="173042"/>
                <w:sz w:val="18"/>
              </w:rPr>
              <w:t>3</w:t>
            </w:r>
          </w:p>
        </w:tc>
        <w:tc>
          <w:tcPr>
            <w:tcW w:type="dxa" w:w="3850"/>
            <w:tcMar>
              <w:top w:w="100" w:type="dxa"/>
              <w:start w:w="120" w:type="dxa"/>
              <w:bottom w:w="100" w:type="dxa"/>
              <w:end w:w="120" w:type="dxa"/>
            </w:tcMar>
            <w:vAlign w:val="center"/>
          </w:tcPr>
          <w:p>
            <w:pPr>
              <w:spacing w:after="0"/>
              <w:jc w:val="left"/>
            </w:pPr>
            <w:r/>
            <w:r>
              <w:rPr>
                <w:rFonts w:ascii="Calibri" w:hAnsi="Calibri"/>
                <w:b w:val="0"/>
                <w:color w:val="173042"/>
                <w:sz w:val="18"/>
              </w:rPr>
              <w:t>Modul inventaris dan sinkronisasi antar lokasi</w:t>
            </w:r>
          </w:p>
        </w:tc>
        <w:tc>
          <w:tcPr>
            <w:tcW w:type="dxa" w:w="1650"/>
            <w:tcMar>
              <w:top w:w="100" w:type="dxa"/>
              <w:start w:w="120" w:type="dxa"/>
              <w:bottom w:w="100" w:type="dxa"/>
              <w:end w:w="120" w:type="dxa"/>
            </w:tcMar>
            <w:vAlign w:val="center"/>
          </w:tcPr>
          <w:p>
            <w:pPr>
              <w:spacing w:after="0"/>
              <w:jc w:val="left"/>
            </w:pPr>
            <w:r/>
            <w:r>
              <w:rPr>
                <w:rFonts w:ascii="Calibri" w:hAnsi="Calibri"/>
                <w:b w:val="0"/>
                <w:color w:val="173042"/>
                <w:sz w:val="18"/>
              </w:rPr>
              <w:t>Rp 9.500.000</w:t>
            </w:r>
          </w:p>
        </w:tc>
        <w:tc>
          <w:tcPr>
            <w:tcW w:type="dxa" w:w="1550"/>
            <w:tcMar>
              <w:top w:w="100" w:type="dxa"/>
              <w:start w:w="120" w:type="dxa"/>
              <w:bottom w:w="100" w:type="dxa"/>
              <w:end w:w="120" w:type="dxa"/>
            </w:tcMar>
            <w:vAlign w:val="center"/>
          </w:tcPr>
          <w:p>
            <w:pPr>
              <w:spacing w:after="0"/>
              <w:jc w:val="left"/>
            </w:pPr>
            <w:r/>
            <w:r>
              <w:rPr>
                <w:rFonts w:ascii="Calibri" w:hAnsi="Calibri"/>
                <w:b w:val="0"/>
                <w:color w:val="173042"/>
                <w:sz w:val="18"/>
              </w:rPr>
              <w:t>Rp 3.700.000</w:t>
            </w:r>
          </w:p>
        </w:tc>
        <w:tc>
          <w:tcPr>
            <w:tcW w:type="dxa" w:w="1810"/>
            <w:tcMar>
              <w:top w:w="100" w:type="dxa"/>
              <w:start w:w="120" w:type="dxa"/>
              <w:bottom w:w="100" w:type="dxa"/>
              <w:end w:w="120" w:type="dxa"/>
            </w:tcMar>
            <w:vAlign w:val="center"/>
          </w:tcPr>
          <w:p>
            <w:pPr>
              <w:spacing w:after="0"/>
              <w:jc w:val="right"/>
            </w:pPr>
            <w:r/>
            <w:r>
              <w:rPr>
                <w:rFonts w:ascii="Calibri" w:hAnsi="Calibri"/>
                <w:b/>
                <w:color w:val="173042"/>
                <w:sz w:val="18"/>
              </w:rPr>
              <w:t>Rp 5.800.000</w:t>
            </w:r>
          </w:p>
        </w:tc>
      </w:tr>
      <w:tr>
        <w:tc>
          <w:tcPr>
            <w:tcW w:type="dxa" w:w="500"/>
            <w:shd w:fill="F4F8FB"/>
            <w:tcMar>
              <w:top w:w="100" w:type="dxa"/>
              <w:start w:w="120" w:type="dxa"/>
              <w:bottom w:w="100" w:type="dxa"/>
              <w:end w:w="120" w:type="dxa"/>
            </w:tcMar>
            <w:vAlign w:val="center"/>
          </w:tcPr>
          <w:p>
            <w:pPr>
              <w:spacing w:after="0"/>
              <w:jc w:val="center"/>
            </w:pPr>
            <w:r/>
            <w:r>
              <w:rPr>
                <w:rFonts w:ascii="Calibri" w:hAnsi="Calibri"/>
                <w:b/>
                <w:color w:val="173042"/>
                <w:sz w:val="18"/>
              </w:rPr>
              <w:t>4</w:t>
            </w:r>
          </w:p>
        </w:tc>
        <w:tc>
          <w:tcPr>
            <w:tcW w:type="dxa" w:w="3850"/>
            <w:shd w:fill="F4F8FB"/>
            <w:tcMar>
              <w:top w:w="100" w:type="dxa"/>
              <w:start w:w="120" w:type="dxa"/>
              <w:bottom w:w="100" w:type="dxa"/>
              <w:end w:w="120" w:type="dxa"/>
            </w:tcMar>
            <w:vAlign w:val="center"/>
          </w:tcPr>
          <w:p>
            <w:pPr>
              <w:spacing w:after="0"/>
              <w:jc w:val="left"/>
            </w:pPr>
            <w:r/>
            <w:r>
              <w:rPr>
                <w:rFonts w:ascii="Calibri" w:hAnsi="Calibri"/>
                <w:b w:val="0"/>
                <w:color w:val="173042"/>
                <w:sz w:val="18"/>
              </w:rPr>
              <w:t>POS outlet &amp; penjualan multi-kanal</w:t>
            </w:r>
          </w:p>
        </w:tc>
        <w:tc>
          <w:tcPr>
            <w:tcW w:type="dxa" w:w="1650"/>
            <w:shd w:fill="F4F8FB"/>
            <w:tcMar>
              <w:top w:w="100" w:type="dxa"/>
              <w:start w:w="120" w:type="dxa"/>
              <w:bottom w:w="100" w:type="dxa"/>
              <w:end w:w="120" w:type="dxa"/>
            </w:tcMar>
            <w:vAlign w:val="center"/>
          </w:tcPr>
          <w:p>
            <w:pPr>
              <w:spacing w:after="0"/>
              <w:jc w:val="left"/>
            </w:pPr>
            <w:r/>
            <w:r>
              <w:rPr>
                <w:rFonts w:ascii="Calibri" w:hAnsi="Calibri"/>
                <w:b w:val="0"/>
                <w:color w:val="173042"/>
                <w:sz w:val="18"/>
              </w:rPr>
              <w:t>Rp 8.000.000</w:t>
            </w:r>
          </w:p>
        </w:tc>
        <w:tc>
          <w:tcPr>
            <w:tcW w:type="dxa" w:w="1550"/>
            <w:shd w:fill="F4F8FB"/>
            <w:tcMar>
              <w:top w:w="100" w:type="dxa"/>
              <w:start w:w="120" w:type="dxa"/>
              <w:bottom w:w="100" w:type="dxa"/>
              <w:end w:w="120" w:type="dxa"/>
            </w:tcMar>
            <w:vAlign w:val="center"/>
          </w:tcPr>
          <w:p>
            <w:pPr>
              <w:spacing w:after="0"/>
              <w:jc w:val="left"/>
            </w:pPr>
            <w:r/>
            <w:r>
              <w:rPr>
                <w:rFonts w:ascii="Calibri" w:hAnsi="Calibri"/>
                <w:b w:val="0"/>
                <w:color w:val="173042"/>
                <w:sz w:val="18"/>
              </w:rPr>
              <w:t>Rp 3.200.000</w:t>
            </w:r>
          </w:p>
        </w:tc>
        <w:tc>
          <w:tcPr>
            <w:tcW w:type="dxa" w:w="1810"/>
            <w:shd w:fill="F4F8FB"/>
            <w:tcMar>
              <w:top w:w="100" w:type="dxa"/>
              <w:start w:w="120" w:type="dxa"/>
              <w:bottom w:w="100" w:type="dxa"/>
              <w:end w:w="120" w:type="dxa"/>
            </w:tcMar>
            <w:vAlign w:val="center"/>
          </w:tcPr>
          <w:p>
            <w:pPr>
              <w:spacing w:after="0"/>
              <w:jc w:val="right"/>
            </w:pPr>
            <w:r/>
            <w:r>
              <w:rPr>
                <w:rFonts w:ascii="Calibri" w:hAnsi="Calibri"/>
                <w:b/>
                <w:color w:val="173042"/>
                <w:sz w:val="18"/>
              </w:rPr>
              <w:t>Rp 4.800.000</w:t>
            </w:r>
          </w:p>
        </w:tc>
      </w:tr>
      <w:tr>
        <w:tc>
          <w:tcPr>
            <w:tcW w:type="dxa" w:w="500"/>
            <w:tcMar>
              <w:top w:w="100" w:type="dxa"/>
              <w:start w:w="120" w:type="dxa"/>
              <w:bottom w:w="100" w:type="dxa"/>
              <w:end w:w="120" w:type="dxa"/>
            </w:tcMar>
            <w:vAlign w:val="center"/>
          </w:tcPr>
          <w:p>
            <w:pPr>
              <w:spacing w:after="0"/>
              <w:jc w:val="center"/>
            </w:pPr>
            <w:r/>
            <w:r>
              <w:rPr>
                <w:rFonts w:ascii="Calibri" w:hAnsi="Calibri"/>
                <w:b/>
                <w:color w:val="173042"/>
                <w:sz w:val="18"/>
              </w:rPr>
              <w:t>5</w:t>
            </w:r>
          </w:p>
        </w:tc>
        <w:tc>
          <w:tcPr>
            <w:tcW w:type="dxa" w:w="3850"/>
            <w:tcMar>
              <w:top w:w="100" w:type="dxa"/>
              <w:start w:w="120" w:type="dxa"/>
              <w:bottom w:w="100" w:type="dxa"/>
              <w:end w:w="120" w:type="dxa"/>
            </w:tcMar>
            <w:vAlign w:val="center"/>
          </w:tcPr>
          <w:p>
            <w:pPr>
              <w:spacing w:after="0"/>
              <w:jc w:val="left"/>
            </w:pPr>
            <w:r/>
            <w:r>
              <w:rPr>
                <w:rFonts w:ascii="Calibri" w:hAnsi="Calibri"/>
                <w:b w:val="0"/>
                <w:color w:val="173042"/>
                <w:sz w:val="18"/>
              </w:rPr>
              <w:t>Dashboard, analitik, laporan, HPP &amp; marketplace</w:t>
            </w:r>
          </w:p>
        </w:tc>
        <w:tc>
          <w:tcPr>
            <w:tcW w:type="dxa" w:w="1650"/>
            <w:tcMar>
              <w:top w:w="100" w:type="dxa"/>
              <w:start w:w="120" w:type="dxa"/>
              <w:bottom w:w="100" w:type="dxa"/>
              <w:end w:w="120" w:type="dxa"/>
            </w:tcMar>
            <w:vAlign w:val="center"/>
          </w:tcPr>
          <w:p>
            <w:pPr>
              <w:spacing w:after="0"/>
              <w:jc w:val="left"/>
            </w:pPr>
            <w:r/>
            <w:r>
              <w:rPr>
                <w:rFonts w:ascii="Calibri" w:hAnsi="Calibri"/>
                <w:b w:val="0"/>
                <w:color w:val="173042"/>
                <w:sz w:val="18"/>
              </w:rPr>
              <w:t>Rp 6.500.000</w:t>
            </w:r>
          </w:p>
        </w:tc>
        <w:tc>
          <w:tcPr>
            <w:tcW w:type="dxa" w:w="1550"/>
            <w:tcMar>
              <w:top w:w="100" w:type="dxa"/>
              <w:start w:w="120" w:type="dxa"/>
              <w:bottom w:w="100" w:type="dxa"/>
              <w:end w:w="120" w:type="dxa"/>
            </w:tcMar>
            <w:vAlign w:val="center"/>
          </w:tcPr>
          <w:p>
            <w:pPr>
              <w:spacing w:after="0"/>
              <w:jc w:val="left"/>
            </w:pPr>
            <w:r/>
            <w:r>
              <w:rPr>
                <w:rFonts w:ascii="Calibri" w:hAnsi="Calibri"/>
                <w:b w:val="0"/>
                <w:color w:val="173042"/>
                <w:sz w:val="18"/>
              </w:rPr>
              <w:t>Rp 2.600.000</w:t>
            </w:r>
          </w:p>
        </w:tc>
        <w:tc>
          <w:tcPr>
            <w:tcW w:type="dxa" w:w="1810"/>
            <w:tcMar>
              <w:top w:w="100" w:type="dxa"/>
              <w:start w:w="120" w:type="dxa"/>
              <w:bottom w:w="100" w:type="dxa"/>
              <w:end w:w="120" w:type="dxa"/>
            </w:tcMar>
            <w:vAlign w:val="center"/>
          </w:tcPr>
          <w:p>
            <w:pPr>
              <w:spacing w:after="0"/>
              <w:jc w:val="right"/>
            </w:pPr>
            <w:r/>
            <w:r>
              <w:rPr>
                <w:rFonts w:ascii="Calibri" w:hAnsi="Calibri"/>
                <w:b/>
                <w:color w:val="173042"/>
                <w:sz w:val="18"/>
              </w:rPr>
              <w:t>Rp 3.900.000</w:t>
            </w:r>
          </w:p>
        </w:tc>
      </w:tr>
      <w:tr>
        <w:tc>
          <w:tcPr>
            <w:tcW w:type="dxa" w:w="500"/>
            <w:shd w:fill="F4F8FB"/>
            <w:tcMar>
              <w:top w:w="100" w:type="dxa"/>
              <w:start w:w="120" w:type="dxa"/>
              <w:bottom w:w="100" w:type="dxa"/>
              <w:end w:w="120" w:type="dxa"/>
            </w:tcMar>
            <w:vAlign w:val="center"/>
          </w:tcPr>
          <w:p>
            <w:pPr>
              <w:spacing w:after="0"/>
              <w:jc w:val="center"/>
            </w:pPr>
            <w:r/>
            <w:r>
              <w:rPr>
                <w:rFonts w:ascii="Calibri" w:hAnsi="Calibri"/>
                <w:b/>
                <w:color w:val="173042"/>
                <w:sz w:val="18"/>
              </w:rPr>
              <w:t>6</w:t>
            </w:r>
          </w:p>
        </w:tc>
        <w:tc>
          <w:tcPr>
            <w:tcW w:type="dxa" w:w="3850"/>
            <w:shd w:fill="F4F8FB"/>
            <w:tcMar>
              <w:top w:w="100" w:type="dxa"/>
              <w:start w:w="120" w:type="dxa"/>
              <w:bottom w:w="100" w:type="dxa"/>
              <w:end w:w="120" w:type="dxa"/>
            </w:tcMar>
            <w:vAlign w:val="center"/>
          </w:tcPr>
          <w:p>
            <w:pPr>
              <w:spacing w:after="0"/>
              <w:jc w:val="left"/>
            </w:pPr>
            <w:r/>
            <w:r>
              <w:rPr>
                <w:rFonts w:ascii="Calibri" w:hAnsi="Calibri"/>
                <w:b w:val="0"/>
                <w:color w:val="173042"/>
                <w:sz w:val="18"/>
              </w:rPr>
              <w:t>API, database, keamanan, dan integrasi internal</w:t>
            </w:r>
          </w:p>
        </w:tc>
        <w:tc>
          <w:tcPr>
            <w:tcW w:type="dxa" w:w="1650"/>
            <w:shd w:fill="F4F8FB"/>
            <w:tcMar>
              <w:top w:w="100" w:type="dxa"/>
              <w:start w:w="120" w:type="dxa"/>
              <w:bottom w:w="100" w:type="dxa"/>
              <w:end w:w="120" w:type="dxa"/>
            </w:tcMar>
            <w:vAlign w:val="center"/>
          </w:tcPr>
          <w:p>
            <w:pPr>
              <w:spacing w:after="0"/>
              <w:jc w:val="left"/>
            </w:pPr>
            <w:r/>
            <w:r>
              <w:rPr>
                <w:rFonts w:ascii="Calibri" w:hAnsi="Calibri"/>
                <w:b w:val="0"/>
                <w:color w:val="173042"/>
                <w:sz w:val="18"/>
              </w:rPr>
              <w:t>Rp 7.500.000</w:t>
            </w:r>
          </w:p>
        </w:tc>
        <w:tc>
          <w:tcPr>
            <w:tcW w:type="dxa" w:w="1550"/>
            <w:shd w:fill="F4F8FB"/>
            <w:tcMar>
              <w:top w:w="100" w:type="dxa"/>
              <w:start w:w="120" w:type="dxa"/>
              <w:bottom w:w="100" w:type="dxa"/>
              <w:end w:w="120" w:type="dxa"/>
            </w:tcMar>
            <w:vAlign w:val="center"/>
          </w:tcPr>
          <w:p>
            <w:pPr>
              <w:spacing w:after="0"/>
              <w:jc w:val="left"/>
            </w:pPr>
            <w:r/>
            <w:r>
              <w:rPr>
                <w:rFonts w:ascii="Calibri" w:hAnsi="Calibri"/>
                <w:b w:val="0"/>
                <w:color w:val="173042"/>
                <w:sz w:val="18"/>
              </w:rPr>
              <w:t>Rp 3.000.000</w:t>
            </w:r>
          </w:p>
        </w:tc>
        <w:tc>
          <w:tcPr>
            <w:tcW w:type="dxa" w:w="1810"/>
            <w:shd w:fill="F4F8FB"/>
            <w:tcMar>
              <w:top w:w="100" w:type="dxa"/>
              <w:start w:w="120" w:type="dxa"/>
              <w:bottom w:w="100" w:type="dxa"/>
              <w:end w:w="120" w:type="dxa"/>
            </w:tcMar>
            <w:vAlign w:val="center"/>
          </w:tcPr>
          <w:p>
            <w:pPr>
              <w:spacing w:after="0"/>
              <w:jc w:val="right"/>
            </w:pPr>
            <w:r/>
            <w:r>
              <w:rPr>
                <w:rFonts w:ascii="Calibri" w:hAnsi="Calibri"/>
                <w:b/>
                <w:color w:val="173042"/>
                <w:sz w:val="18"/>
              </w:rPr>
              <w:t>Rp 4.500.000</w:t>
            </w:r>
          </w:p>
        </w:tc>
      </w:tr>
      <w:tr>
        <w:tc>
          <w:tcPr>
            <w:tcW w:type="dxa" w:w="500"/>
            <w:tcMar>
              <w:top w:w="100" w:type="dxa"/>
              <w:start w:w="120" w:type="dxa"/>
              <w:bottom w:w="100" w:type="dxa"/>
              <w:end w:w="120" w:type="dxa"/>
            </w:tcMar>
            <w:vAlign w:val="center"/>
          </w:tcPr>
          <w:p>
            <w:pPr>
              <w:spacing w:after="0"/>
              <w:jc w:val="center"/>
            </w:pPr>
            <w:r/>
            <w:r>
              <w:rPr>
                <w:rFonts w:ascii="Calibri" w:hAnsi="Calibri"/>
                <w:b/>
                <w:color w:val="173042"/>
                <w:sz w:val="18"/>
              </w:rPr>
              <w:t>7</w:t>
            </w:r>
          </w:p>
        </w:tc>
        <w:tc>
          <w:tcPr>
            <w:tcW w:type="dxa" w:w="3850"/>
            <w:tcMar>
              <w:top w:w="100" w:type="dxa"/>
              <w:start w:w="120" w:type="dxa"/>
              <w:bottom w:w="100" w:type="dxa"/>
              <w:end w:w="120" w:type="dxa"/>
            </w:tcMar>
            <w:vAlign w:val="center"/>
          </w:tcPr>
          <w:p>
            <w:pPr>
              <w:spacing w:after="0"/>
              <w:jc w:val="left"/>
            </w:pPr>
            <w:r/>
            <w:r>
              <w:rPr>
                <w:rFonts w:ascii="Calibri" w:hAnsi="Calibri"/>
                <w:b w:val="0"/>
                <w:color w:val="173042"/>
                <w:sz w:val="18"/>
              </w:rPr>
              <w:t>QA, UAT, deployment, dan pelatihan</w:t>
            </w:r>
          </w:p>
        </w:tc>
        <w:tc>
          <w:tcPr>
            <w:tcW w:type="dxa" w:w="1650"/>
            <w:tcMar>
              <w:top w:w="100" w:type="dxa"/>
              <w:start w:w="120" w:type="dxa"/>
              <w:bottom w:w="100" w:type="dxa"/>
              <w:end w:w="120" w:type="dxa"/>
            </w:tcMar>
            <w:vAlign w:val="center"/>
          </w:tcPr>
          <w:p>
            <w:pPr>
              <w:spacing w:after="0"/>
              <w:jc w:val="left"/>
            </w:pPr>
            <w:r/>
            <w:r>
              <w:rPr>
                <w:rFonts w:ascii="Calibri" w:hAnsi="Calibri"/>
                <w:b w:val="0"/>
                <w:color w:val="173042"/>
                <w:sz w:val="18"/>
              </w:rPr>
              <w:t>Rp 5.000.000</w:t>
            </w:r>
          </w:p>
        </w:tc>
        <w:tc>
          <w:tcPr>
            <w:tcW w:type="dxa" w:w="1550"/>
            <w:tcMar>
              <w:top w:w="100" w:type="dxa"/>
              <w:start w:w="120" w:type="dxa"/>
              <w:bottom w:w="100" w:type="dxa"/>
              <w:end w:w="120" w:type="dxa"/>
            </w:tcMar>
            <w:vAlign w:val="center"/>
          </w:tcPr>
          <w:p>
            <w:pPr>
              <w:spacing w:after="0"/>
              <w:jc w:val="left"/>
            </w:pPr>
            <w:r/>
            <w:r>
              <w:rPr>
                <w:rFonts w:ascii="Calibri" w:hAnsi="Calibri"/>
                <w:b w:val="0"/>
                <w:color w:val="173042"/>
                <w:sz w:val="18"/>
              </w:rPr>
              <w:t>Rp 2.000.000</w:t>
            </w:r>
          </w:p>
        </w:tc>
        <w:tc>
          <w:tcPr>
            <w:tcW w:type="dxa" w:w="1810"/>
            <w:tcMar>
              <w:top w:w="100" w:type="dxa"/>
              <w:start w:w="120" w:type="dxa"/>
              <w:bottom w:w="100" w:type="dxa"/>
              <w:end w:w="120" w:type="dxa"/>
            </w:tcMar>
            <w:vAlign w:val="center"/>
          </w:tcPr>
          <w:p>
            <w:pPr>
              <w:spacing w:after="0"/>
              <w:jc w:val="right"/>
            </w:pPr>
            <w:r/>
            <w:r>
              <w:rPr>
                <w:rFonts w:ascii="Calibri" w:hAnsi="Calibri"/>
                <w:b/>
                <w:color w:val="173042"/>
                <w:sz w:val="18"/>
              </w:rPr>
              <w:t>Rp 3.000.000</w:t>
            </w:r>
          </w:p>
        </w:tc>
      </w:tr>
      <w:tr>
        <w:tc>
          <w:tcPr>
            <w:tcW w:type="dxa" w:w="500"/>
            <w:shd w:fill="F4F8FB"/>
            <w:tcMar>
              <w:top w:w="100" w:type="dxa"/>
              <w:start w:w="120" w:type="dxa"/>
              <w:bottom w:w="100" w:type="dxa"/>
              <w:end w:w="120" w:type="dxa"/>
            </w:tcMar>
            <w:vAlign w:val="center"/>
          </w:tcPr>
          <w:p>
            <w:pPr>
              <w:spacing w:after="0"/>
              <w:jc w:val="center"/>
            </w:pPr>
            <w:r/>
            <w:r>
              <w:rPr>
                <w:rFonts w:ascii="Calibri" w:hAnsi="Calibri"/>
                <w:b/>
                <w:color w:val="173042"/>
                <w:sz w:val="18"/>
              </w:rPr>
              <w:t>8</w:t>
            </w:r>
          </w:p>
        </w:tc>
        <w:tc>
          <w:tcPr>
            <w:tcW w:type="dxa" w:w="3850"/>
            <w:shd w:fill="F4F8FB"/>
            <w:tcMar>
              <w:top w:w="100" w:type="dxa"/>
              <w:start w:w="120" w:type="dxa"/>
              <w:bottom w:w="100" w:type="dxa"/>
              <w:end w:w="120" w:type="dxa"/>
            </w:tcMar>
            <w:vAlign w:val="center"/>
          </w:tcPr>
          <w:p>
            <w:pPr>
              <w:spacing w:after="0"/>
              <w:jc w:val="left"/>
            </w:pPr>
            <w:r/>
            <w:r>
              <w:rPr>
                <w:rFonts w:ascii="Calibri" w:hAnsi="Calibri"/>
                <w:b w:val="0"/>
                <w:color w:val="173042"/>
                <w:sz w:val="18"/>
              </w:rPr>
              <w:t>Dokumentasi dan serah-terima teknis</w:t>
            </w:r>
          </w:p>
        </w:tc>
        <w:tc>
          <w:tcPr>
            <w:tcW w:type="dxa" w:w="1650"/>
            <w:shd w:fill="F4F8FB"/>
            <w:tcMar>
              <w:top w:w="100" w:type="dxa"/>
              <w:start w:w="120" w:type="dxa"/>
              <w:bottom w:w="100" w:type="dxa"/>
              <w:end w:w="120" w:type="dxa"/>
            </w:tcMar>
            <w:vAlign w:val="center"/>
          </w:tcPr>
          <w:p>
            <w:pPr>
              <w:spacing w:after="0"/>
              <w:jc w:val="left"/>
            </w:pPr>
            <w:r/>
            <w:r>
              <w:rPr>
                <w:rFonts w:ascii="Calibri" w:hAnsi="Calibri"/>
                <w:b w:val="0"/>
                <w:color w:val="173042"/>
                <w:sz w:val="18"/>
              </w:rPr>
              <w:t>Rp 2.300.000</w:t>
            </w:r>
          </w:p>
        </w:tc>
        <w:tc>
          <w:tcPr>
            <w:tcW w:type="dxa" w:w="1550"/>
            <w:shd w:fill="F4F8FB"/>
            <w:tcMar>
              <w:top w:w="100" w:type="dxa"/>
              <w:start w:w="120" w:type="dxa"/>
              <w:bottom w:w="100" w:type="dxa"/>
              <w:end w:w="120" w:type="dxa"/>
            </w:tcMar>
            <w:vAlign w:val="center"/>
          </w:tcPr>
          <w:p>
            <w:pPr>
              <w:spacing w:after="0"/>
              <w:jc w:val="left"/>
            </w:pPr>
            <w:r/>
            <w:r>
              <w:rPr>
                <w:rFonts w:ascii="Calibri" w:hAnsi="Calibri"/>
                <w:b w:val="0"/>
                <w:color w:val="173042"/>
                <w:sz w:val="18"/>
              </w:rPr>
              <w:t>Rp 700.000</w:t>
            </w:r>
          </w:p>
        </w:tc>
        <w:tc>
          <w:tcPr>
            <w:tcW w:type="dxa" w:w="1810"/>
            <w:shd w:fill="F4F8FB"/>
            <w:tcMar>
              <w:top w:w="100" w:type="dxa"/>
              <w:start w:w="120" w:type="dxa"/>
              <w:bottom w:w="100" w:type="dxa"/>
              <w:end w:w="120" w:type="dxa"/>
            </w:tcMar>
            <w:vAlign w:val="center"/>
          </w:tcPr>
          <w:p>
            <w:pPr>
              <w:spacing w:after="0"/>
              <w:jc w:val="right"/>
            </w:pPr>
            <w:r/>
            <w:r>
              <w:rPr>
                <w:rFonts w:ascii="Calibri" w:hAnsi="Calibri"/>
                <w:b/>
                <w:color w:val="173042"/>
                <w:sz w:val="18"/>
              </w:rPr>
              <w:t>Rp 1.600.000</w:t>
            </w:r>
          </w:p>
        </w:tc>
      </w:tr>
      <w:tr>
        <w:tc>
          <w:tcPr>
            <w:tcW w:type="dxa" w:w="500"/>
            <w:shd w:fill="EAF8FB"/>
            <w:tcMar>
              <w:top w:w="100" w:type="dxa"/>
              <w:start w:w="120" w:type="dxa"/>
              <w:bottom w:w="100" w:type="dxa"/>
              <w:end w:w="120" w:type="dxa"/>
            </w:tcMar>
            <w:vAlign w:val="center"/>
          </w:tcPr>
          <w:p>
            <w:pPr>
              <w:spacing w:after="0"/>
              <w:jc w:val="left"/>
            </w:pPr>
            <w:r/>
            <w:r>
              <w:rPr>
                <w:rFonts w:ascii="Calibri" w:hAnsi="Calibri"/>
                <w:b/>
                <w:color w:val="073B5A"/>
                <w:sz w:val="20"/>
              </w:rPr>
            </w:r>
          </w:p>
        </w:tc>
        <w:tc>
          <w:tcPr>
            <w:tcW w:type="dxa" w:w="3850"/>
            <w:shd w:fill="EAF8FB"/>
            <w:tcMar>
              <w:top w:w="100" w:type="dxa"/>
              <w:start w:w="120" w:type="dxa"/>
              <w:bottom w:w="100" w:type="dxa"/>
              <w:end w:w="120" w:type="dxa"/>
            </w:tcMar>
            <w:vAlign w:val="center"/>
          </w:tcPr>
          <w:p>
            <w:pPr>
              <w:spacing w:after="0"/>
              <w:jc w:val="left"/>
            </w:pPr>
            <w:r/>
            <w:r>
              <w:rPr>
                <w:rFonts w:ascii="Calibri" w:hAnsi="Calibri"/>
                <w:b/>
                <w:color w:val="073B5A"/>
                <w:sz w:val="20"/>
              </w:rPr>
              <w:t>TOTAL NILAI PENGEMBANGAN</w:t>
            </w:r>
          </w:p>
        </w:tc>
        <w:tc>
          <w:tcPr>
            <w:tcW w:type="dxa" w:w="1650"/>
            <w:shd w:fill="EAF8FB"/>
            <w:tcMar>
              <w:top w:w="100" w:type="dxa"/>
              <w:start w:w="120" w:type="dxa"/>
              <w:bottom w:w="100" w:type="dxa"/>
              <w:end w:w="120" w:type="dxa"/>
            </w:tcMar>
            <w:vAlign w:val="center"/>
          </w:tcPr>
          <w:p>
            <w:pPr>
              <w:spacing w:after="0"/>
              <w:jc w:val="left"/>
            </w:pPr>
            <w:r/>
            <w:r>
              <w:rPr>
                <w:rFonts w:ascii="Calibri" w:hAnsi="Calibri"/>
                <w:b/>
                <w:color w:val="073B5A"/>
                <w:sz w:val="20"/>
              </w:rPr>
              <w:t>Rp 50.800.000</w:t>
            </w:r>
          </w:p>
        </w:tc>
        <w:tc>
          <w:tcPr>
            <w:tcW w:type="dxa" w:w="1550"/>
            <w:shd w:fill="EAF8FB"/>
            <w:tcMar>
              <w:top w:w="100" w:type="dxa"/>
              <w:start w:w="120" w:type="dxa"/>
              <w:bottom w:w="100" w:type="dxa"/>
              <w:end w:w="120" w:type="dxa"/>
            </w:tcMar>
            <w:vAlign w:val="center"/>
          </w:tcPr>
          <w:p>
            <w:pPr>
              <w:spacing w:after="0"/>
              <w:jc w:val="right"/>
            </w:pPr>
            <w:r/>
            <w:r>
              <w:rPr>
                <w:rFonts w:ascii="Calibri" w:hAnsi="Calibri"/>
                <w:b/>
                <w:color w:val="073B5A"/>
                <w:sz w:val="20"/>
              </w:rPr>
              <w:t>Rp 20.000.000</w:t>
            </w:r>
          </w:p>
        </w:tc>
        <w:tc>
          <w:tcPr>
            <w:tcW w:type="dxa" w:w="1810"/>
            <w:shd w:fill="EAF8FB"/>
            <w:tcMar>
              <w:top w:w="100" w:type="dxa"/>
              <w:start w:w="120" w:type="dxa"/>
              <w:bottom w:w="100" w:type="dxa"/>
              <w:end w:w="120" w:type="dxa"/>
            </w:tcMar>
            <w:vAlign w:val="center"/>
          </w:tcPr>
          <w:p>
            <w:pPr>
              <w:spacing w:after="0"/>
              <w:jc w:val="left"/>
            </w:pPr>
            <w:r/>
            <w:r>
              <w:rPr>
                <w:rFonts w:ascii="Calibri" w:hAnsi="Calibri"/>
                <w:b/>
                <w:color w:val="073B5A"/>
                <w:sz w:val="20"/>
              </w:rPr>
              <w:t>Rp 30.800.000</w:t>
            </w:r>
          </w:p>
        </w:tc>
      </w:tr>
    </w:tbl>
    <w:p>
      <w:pPr>
        <w:spacing w:before="300" w:after="120" w:line="264" w:lineRule="auto"/>
        <w:jc w:val="left"/>
      </w:pPr>
      <w:r>
        <w:rPr>
          <w:rFonts w:ascii="Calibri" w:hAnsi="Calibri"/>
          <w:b/>
          <w:color w:val="087FA9"/>
          <w:sz w:val="32"/>
        </w:rPr>
        <w:t>Tahapan Pembayaran</w:t>
      </w:r>
    </w:p>
    <w:p>
      <w:pPr>
        <w:spacing w:before="0" w:after="120" w:line="264" w:lineRule="auto"/>
        <w:jc w:val="left"/>
      </w:pPr>
      <w:r>
        <w:rPr>
          <w:rFonts w:ascii="Calibri" w:hAnsi="Calibri"/>
          <w:b w:val="0"/>
          <w:color w:val="173042"/>
          <w:sz w:val="20"/>
        </w:rPr>
        <w:t>Pembayaran berbasis hasil kerja agar kedua pihak memiliki kontrol jelas atas progres proyek.</w:t>
      </w:r>
    </w:p>
    <w:tbl>
      <w:tblPr>
        <w:tblStyle w:val="TableGrid"/>
        <w:tblW w:type="auto" w:w="0"/>
        <w:jc w:val="left"/>
        <w:tblLayout w:type="fixed"/>
        <w:tblLook w:firstColumn="1" w:firstRow="1" w:lastColumn="0" w:lastRow="0" w:noHBand="0" w:noVBand="1" w:val="04A0"/>
        <w:tblW w:w="9360" w:type="dxa"/>
        <w:tblLayout w:type="fixed"/>
      </w:tblPr>
      <w:tblGrid>
        <w:gridCol w:w="1000"/>
        <w:gridCol w:w="3600"/>
        <w:gridCol w:w="1700"/>
        <w:gridCol w:w="3060"/>
      </w:tblGrid>
      <w:tr>
        <w:tc>
          <w:tcPr>
            <w:tcW w:type="dxa" w:w="2498"/>
            <w:tcW w:w="100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Tahap</w:t>
            </w:r>
          </w:p>
        </w:tc>
        <w:tc>
          <w:tcPr>
            <w:tcW w:type="dxa" w:w="2498"/>
            <w:tcW w:w="360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Output / dasar penagihan</w:t>
            </w:r>
          </w:p>
        </w:tc>
        <w:tc>
          <w:tcPr>
            <w:tcW w:type="dxa" w:w="2498"/>
            <w:tcW w:w="170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Porsi</w:t>
            </w:r>
          </w:p>
        </w:tc>
        <w:tc>
          <w:tcPr>
            <w:tcW w:type="dxa" w:w="2498"/>
            <w:tcW w:w="306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Nilai</w:t>
            </w:r>
          </w:p>
        </w:tc>
      </w:tr>
      <w:tr>
        <w:tc>
          <w:tcPr>
            <w:tcW w:type="dxa" w:w="1000"/>
            <w:tcMar>
              <w:top w:w="100" w:type="dxa"/>
              <w:start w:w="120" w:type="dxa"/>
              <w:bottom w:w="100" w:type="dxa"/>
              <w:end w:w="120" w:type="dxa"/>
            </w:tcMar>
            <w:vAlign w:val="center"/>
          </w:tcPr>
          <w:p>
            <w:pPr>
              <w:spacing w:after="0"/>
              <w:jc w:val="center"/>
            </w:pPr>
            <w:r/>
            <w:r>
              <w:rPr>
                <w:rFonts w:ascii="Calibri" w:hAnsi="Calibri"/>
                <w:b/>
                <w:color w:val="173042"/>
                <w:sz w:val="18"/>
              </w:rPr>
              <w:t>I</w:t>
            </w:r>
          </w:p>
        </w:tc>
        <w:tc>
          <w:tcPr>
            <w:tcW w:type="dxa" w:w="3600"/>
            <w:tcMar>
              <w:top w:w="100" w:type="dxa"/>
              <w:start w:w="120" w:type="dxa"/>
              <w:bottom w:w="100" w:type="dxa"/>
              <w:end w:w="120" w:type="dxa"/>
            </w:tcMar>
            <w:vAlign w:val="center"/>
          </w:tcPr>
          <w:p>
            <w:pPr>
              <w:spacing w:after="0"/>
              <w:jc w:val="left"/>
            </w:pPr>
            <w:r/>
            <w:r>
              <w:rPr>
                <w:rFonts w:ascii="Calibri" w:hAnsi="Calibri"/>
                <w:b w:val="0"/>
                <w:color w:val="173042"/>
                <w:sz w:val="18"/>
              </w:rPr>
              <w:t>Persetujuan RAB, SOW, dan kickoff</w:t>
            </w:r>
          </w:p>
        </w:tc>
        <w:tc>
          <w:tcPr>
            <w:tcW w:type="dxa" w:w="1700"/>
            <w:tcMar>
              <w:top w:w="100" w:type="dxa"/>
              <w:start w:w="120" w:type="dxa"/>
              <w:bottom w:w="100" w:type="dxa"/>
              <w:end w:w="120" w:type="dxa"/>
            </w:tcMar>
            <w:vAlign w:val="center"/>
          </w:tcPr>
          <w:p>
            <w:pPr>
              <w:spacing w:after="0"/>
              <w:jc w:val="left"/>
            </w:pPr>
            <w:r/>
            <w:r>
              <w:rPr>
                <w:rFonts w:ascii="Calibri" w:hAnsi="Calibri"/>
                <w:b w:val="0"/>
                <w:color w:val="173042"/>
                <w:sz w:val="18"/>
              </w:rPr>
              <w:t>30%</w:t>
            </w:r>
          </w:p>
        </w:tc>
        <w:tc>
          <w:tcPr>
            <w:tcW w:type="dxa" w:w="3060"/>
            <w:tcMar>
              <w:top w:w="100" w:type="dxa"/>
              <w:start w:w="120" w:type="dxa"/>
              <w:bottom w:w="100" w:type="dxa"/>
              <w:end w:w="120" w:type="dxa"/>
            </w:tcMar>
            <w:vAlign w:val="center"/>
          </w:tcPr>
          <w:p>
            <w:pPr>
              <w:spacing w:after="0"/>
              <w:jc w:val="right"/>
            </w:pPr>
            <w:r/>
            <w:r>
              <w:rPr>
                <w:rFonts w:ascii="Calibri" w:hAnsi="Calibri"/>
                <w:b w:val="0"/>
                <w:color w:val="173042"/>
                <w:sz w:val="18"/>
              </w:rPr>
              <w:t>Rp 9.240.000</w:t>
            </w:r>
          </w:p>
        </w:tc>
      </w:tr>
      <w:tr>
        <w:tc>
          <w:tcPr>
            <w:tcW w:type="dxa" w:w="1000"/>
            <w:shd w:fill="F4F8FB"/>
            <w:tcMar>
              <w:top w:w="100" w:type="dxa"/>
              <w:start w:w="120" w:type="dxa"/>
              <w:bottom w:w="100" w:type="dxa"/>
              <w:end w:w="120" w:type="dxa"/>
            </w:tcMar>
            <w:vAlign w:val="center"/>
          </w:tcPr>
          <w:p>
            <w:pPr>
              <w:spacing w:after="0"/>
              <w:jc w:val="center"/>
            </w:pPr>
            <w:r/>
            <w:r>
              <w:rPr>
                <w:rFonts w:ascii="Calibri" w:hAnsi="Calibri"/>
                <w:b/>
                <w:color w:val="173042"/>
                <w:sz w:val="18"/>
              </w:rPr>
              <w:t>II</w:t>
            </w:r>
          </w:p>
        </w:tc>
        <w:tc>
          <w:tcPr>
            <w:tcW w:type="dxa" w:w="3600"/>
            <w:shd w:fill="F4F8FB"/>
            <w:tcMar>
              <w:top w:w="100" w:type="dxa"/>
              <w:start w:w="120" w:type="dxa"/>
              <w:bottom w:w="100" w:type="dxa"/>
              <w:end w:w="120" w:type="dxa"/>
            </w:tcMar>
            <w:vAlign w:val="center"/>
          </w:tcPr>
          <w:p>
            <w:pPr>
              <w:spacing w:after="0"/>
              <w:jc w:val="left"/>
            </w:pPr>
            <w:r/>
            <w:r>
              <w:rPr>
                <w:rFonts w:ascii="Calibri" w:hAnsi="Calibri"/>
                <w:b w:val="0"/>
                <w:color w:val="173042"/>
                <w:sz w:val="18"/>
              </w:rPr>
              <w:t>Master data, RBAC, inventaris, dan POS siap UAT</w:t>
            </w:r>
          </w:p>
        </w:tc>
        <w:tc>
          <w:tcPr>
            <w:tcW w:type="dxa" w:w="1700"/>
            <w:shd w:fill="F4F8FB"/>
            <w:tcMar>
              <w:top w:w="100" w:type="dxa"/>
              <w:start w:w="120" w:type="dxa"/>
              <w:bottom w:w="100" w:type="dxa"/>
              <w:end w:w="120" w:type="dxa"/>
            </w:tcMar>
            <w:vAlign w:val="center"/>
          </w:tcPr>
          <w:p>
            <w:pPr>
              <w:spacing w:after="0"/>
              <w:jc w:val="left"/>
            </w:pPr>
            <w:r/>
            <w:r>
              <w:rPr>
                <w:rFonts w:ascii="Calibri" w:hAnsi="Calibri"/>
                <w:b w:val="0"/>
                <w:color w:val="173042"/>
                <w:sz w:val="18"/>
              </w:rPr>
              <w:t>35%</w:t>
            </w:r>
          </w:p>
        </w:tc>
        <w:tc>
          <w:tcPr>
            <w:tcW w:type="dxa" w:w="3060"/>
            <w:shd w:fill="F4F8FB"/>
            <w:tcMar>
              <w:top w:w="100" w:type="dxa"/>
              <w:start w:w="120" w:type="dxa"/>
              <w:bottom w:w="100" w:type="dxa"/>
              <w:end w:w="120" w:type="dxa"/>
            </w:tcMar>
            <w:vAlign w:val="center"/>
          </w:tcPr>
          <w:p>
            <w:pPr>
              <w:spacing w:after="0"/>
              <w:jc w:val="right"/>
            </w:pPr>
            <w:r/>
            <w:r>
              <w:rPr>
                <w:rFonts w:ascii="Calibri" w:hAnsi="Calibri"/>
                <w:b w:val="0"/>
                <w:color w:val="173042"/>
                <w:sz w:val="18"/>
              </w:rPr>
              <w:t>Rp 10.780.000</w:t>
            </w:r>
          </w:p>
        </w:tc>
      </w:tr>
      <w:tr>
        <w:tc>
          <w:tcPr>
            <w:tcW w:type="dxa" w:w="1000"/>
            <w:tcMar>
              <w:top w:w="100" w:type="dxa"/>
              <w:start w:w="120" w:type="dxa"/>
              <w:bottom w:w="100" w:type="dxa"/>
              <w:end w:w="120" w:type="dxa"/>
            </w:tcMar>
            <w:vAlign w:val="center"/>
          </w:tcPr>
          <w:p>
            <w:pPr>
              <w:spacing w:after="0"/>
              <w:jc w:val="center"/>
            </w:pPr>
            <w:r/>
            <w:r>
              <w:rPr>
                <w:rFonts w:ascii="Calibri" w:hAnsi="Calibri"/>
                <w:b/>
                <w:color w:val="173042"/>
                <w:sz w:val="18"/>
              </w:rPr>
              <w:t>III</w:t>
            </w:r>
          </w:p>
        </w:tc>
        <w:tc>
          <w:tcPr>
            <w:tcW w:type="dxa" w:w="3600"/>
            <w:tcMar>
              <w:top w:w="100" w:type="dxa"/>
              <w:start w:w="120" w:type="dxa"/>
              <w:bottom w:w="100" w:type="dxa"/>
              <w:end w:w="120" w:type="dxa"/>
            </w:tcMar>
            <w:vAlign w:val="center"/>
          </w:tcPr>
          <w:p>
            <w:pPr>
              <w:spacing w:after="0"/>
              <w:jc w:val="left"/>
            </w:pPr>
            <w:r/>
            <w:r>
              <w:rPr>
                <w:rFonts w:ascii="Calibri" w:hAnsi="Calibri"/>
                <w:b w:val="0"/>
                <w:color w:val="173042"/>
                <w:sz w:val="18"/>
              </w:rPr>
              <w:t>Analitik, HPP, marketplace, dan UAT selesai</w:t>
            </w:r>
          </w:p>
        </w:tc>
        <w:tc>
          <w:tcPr>
            <w:tcW w:type="dxa" w:w="1700"/>
            <w:tcMar>
              <w:top w:w="100" w:type="dxa"/>
              <w:start w:w="120" w:type="dxa"/>
              <w:bottom w:w="100" w:type="dxa"/>
              <w:end w:w="120" w:type="dxa"/>
            </w:tcMar>
            <w:vAlign w:val="center"/>
          </w:tcPr>
          <w:p>
            <w:pPr>
              <w:spacing w:after="0"/>
              <w:jc w:val="left"/>
            </w:pPr>
            <w:r/>
            <w:r>
              <w:rPr>
                <w:rFonts w:ascii="Calibri" w:hAnsi="Calibri"/>
                <w:b w:val="0"/>
                <w:color w:val="173042"/>
                <w:sz w:val="18"/>
              </w:rPr>
              <w:t>25%</w:t>
            </w:r>
          </w:p>
        </w:tc>
        <w:tc>
          <w:tcPr>
            <w:tcW w:type="dxa" w:w="3060"/>
            <w:tcMar>
              <w:top w:w="100" w:type="dxa"/>
              <w:start w:w="120" w:type="dxa"/>
              <w:bottom w:w="100" w:type="dxa"/>
              <w:end w:w="120" w:type="dxa"/>
            </w:tcMar>
            <w:vAlign w:val="center"/>
          </w:tcPr>
          <w:p>
            <w:pPr>
              <w:spacing w:after="0"/>
              <w:jc w:val="right"/>
            </w:pPr>
            <w:r/>
            <w:r>
              <w:rPr>
                <w:rFonts w:ascii="Calibri" w:hAnsi="Calibri"/>
                <w:b w:val="0"/>
                <w:color w:val="173042"/>
                <w:sz w:val="18"/>
              </w:rPr>
              <w:t>Rp 7.700.000</w:t>
            </w:r>
          </w:p>
        </w:tc>
      </w:tr>
      <w:tr>
        <w:tc>
          <w:tcPr>
            <w:tcW w:type="dxa" w:w="1000"/>
            <w:shd w:fill="F4F8FB"/>
            <w:tcMar>
              <w:top w:w="100" w:type="dxa"/>
              <w:start w:w="120" w:type="dxa"/>
              <w:bottom w:w="100" w:type="dxa"/>
              <w:end w:w="120" w:type="dxa"/>
            </w:tcMar>
            <w:vAlign w:val="center"/>
          </w:tcPr>
          <w:p>
            <w:pPr>
              <w:spacing w:after="0"/>
              <w:jc w:val="center"/>
            </w:pPr>
            <w:r/>
            <w:r>
              <w:rPr>
                <w:rFonts w:ascii="Calibri" w:hAnsi="Calibri"/>
                <w:b/>
                <w:color w:val="173042"/>
                <w:sz w:val="18"/>
              </w:rPr>
              <w:t>IV</w:t>
            </w:r>
          </w:p>
        </w:tc>
        <w:tc>
          <w:tcPr>
            <w:tcW w:type="dxa" w:w="3600"/>
            <w:shd w:fill="F4F8FB"/>
            <w:tcMar>
              <w:top w:w="100" w:type="dxa"/>
              <w:start w:w="120" w:type="dxa"/>
              <w:bottom w:w="100" w:type="dxa"/>
              <w:end w:w="120" w:type="dxa"/>
            </w:tcMar>
            <w:vAlign w:val="center"/>
          </w:tcPr>
          <w:p>
            <w:pPr>
              <w:spacing w:after="0"/>
              <w:jc w:val="left"/>
            </w:pPr>
            <w:r/>
            <w:r>
              <w:rPr>
                <w:rFonts w:ascii="Calibri" w:hAnsi="Calibri"/>
                <w:b w:val="0"/>
                <w:color w:val="173042"/>
                <w:sz w:val="18"/>
              </w:rPr>
              <w:t>Go-live, pelatihan, dan serah-terima</w:t>
            </w:r>
          </w:p>
        </w:tc>
        <w:tc>
          <w:tcPr>
            <w:tcW w:type="dxa" w:w="1700"/>
            <w:shd w:fill="F4F8FB"/>
            <w:tcMar>
              <w:top w:w="100" w:type="dxa"/>
              <w:start w:w="120" w:type="dxa"/>
              <w:bottom w:w="100" w:type="dxa"/>
              <w:end w:w="120" w:type="dxa"/>
            </w:tcMar>
            <w:vAlign w:val="center"/>
          </w:tcPr>
          <w:p>
            <w:pPr>
              <w:spacing w:after="0"/>
              <w:jc w:val="left"/>
            </w:pPr>
            <w:r/>
            <w:r>
              <w:rPr>
                <w:rFonts w:ascii="Calibri" w:hAnsi="Calibri"/>
                <w:b w:val="0"/>
                <w:color w:val="173042"/>
                <w:sz w:val="18"/>
              </w:rPr>
              <w:t>10%</w:t>
            </w:r>
          </w:p>
        </w:tc>
        <w:tc>
          <w:tcPr>
            <w:tcW w:type="dxa" w:w="3060"/>
            <w:shd w:fill="F4F8FB"/>
            <w:tcMar>
              <w:top w:w="100" w:type="dxa"/>
              <w:start w:w="120" w:type="dxa"/>
              <w:bottom w:w="100" w:type="dxa"/>
              <w:end w:w="120" w:type="dxa"/>
            </w:tcMar>
            <w:vAlign w:val="center"/>
          </w:tcPr>
          <w:p>
            <w:pPr>
              <w:spacing w:after="0"/>
              <w:jc w:val="right"/>
            </w:pPr>
            <w:r/>
            <w:r>
              <w:rPr>
                <w:rFonts w:ascii="Calibri" w:hAnsi="Calibri"/>
                <w:b w:val="0"/>
                <w:color w:val="173042"/>
                <w:sz w:val="18"/>
              </w:rPr>
              <w:t>Rp 3.080.000</w:t>
            </w:r>
          </w:p>
        </w:tc>
      </w:tr>
    </w:tbl>
    <w:p>
      <w:pPr>
        <w:spacing w:before="300" w:after="120" w:line="264" w:lineRule="auto"/>
        <w:jc w:val="left"/>
      </w:pPr>
      <w:r>
        <w:rPr>
          <w:rFonts w:ascii="Calibri" w:hAnsi="Calibri"/>
          <w:b/>
          <w:color w:val="087FA9"/>
          <w:sz w:val="32"/>
        </w:rPr>
        <w:t>Jadwal Pelaksanaan</w:t>
      </w:r>
    </w:p>
    <w:tbl>
      <w:tblPr>
        <w:tblStyle w:val="TableGrid"/>
        <w:tblW w:type="auto" w:w="0"/>
        <w:jc w:val="left"/>
        <w:tblLayout w:type="fixed"/>
        <w:tblLook w:firstColumn="1" w:firstRow="1" w:lastColumn="0" w:lastRow="0" w:noHBand="0" w:noVBand="1" w:val="04A0"/>
        <w:tblW w:w="9360" w:type="dxa"/>
        <w:tblLayout w:type="fixed"/>
      </w:tblPr>
      <w:tblGrid>
        <w:gridCol w:w="1650"/>
        <w:gridCol w:w="5550"/>
        <w:gridCol w:w="2160"/>
      </w:tblGrid>
      <w:tr>
        <w:tc>
          <w:tcPr>
            <w:tcW w:type="dxa" w:w="3331"/>
            <w:tcW w:w="165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Periode</w:t>
            </w:r>
          </w:p>
        </w:tc>
        <w:tc>
          <w:tcPr>
            <w:tcW w:type="dxa" w:w="3331"/>
            <w:tcW w:w="555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Fokus pekerjaan</w:t>
            </w:r>
          </w:p>
        </w:tc>
        <w:tc>
          <w:tcPr>
            <w:tcW w:type="dxa" w:w="3331"/>
            <w:tcW w:w="216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Output utama</w:t>
            </w:r>
          </w:p>
        </w:tc>
      </w:tr>
      <w:tr>
        <w:tc>
          <w:tcPr>
            <w:tcW w:type="dxa" w:w="1650"/>
            <w:tcMar>
              <w:top w:w="100" w:type="dxa"/>
              <w:start w:w="120" w:type="dxa"/>
              <w:bottom w:w="100" w:type="dxa"/>
              <w:end w:w="120" w:type="dxa"/>
            </w:tcMar>
            <w:vAlign w:val="center"/>
          </w:tcPr>
          <w:p>
            <w:pPr>
              <w:spacing w:after="0"/>
              <w:jc w:val="center"/>
            </w:pPr>
            <w:r/>
            <w:r>
              <w:rPr>
                <w:rFonts w:ascii="Calibri" w:hAnsi="Calibri"/>
                <w:b/>
                <w:color w:val="173042"/>
                <w:sz w:val="18"/>
              </w:rPr>
              <w:t>Minggu 1–2</w:t>
            </w:r>
          </w:p>
        </w:tc>
        <w:tc>
          <w:tcPr>
            <w:tcW w:type="dxa" w:w="5550"/>
            <w:tcMar>
              <w:top w:w="100" w:type="dxa"/>
              <w:start w:w="120" w:type="dxa"/>
              <w:bottom w:w="100" w:type="dxa"/>
              <w:end w:w="120" w:type="dxa"/>
            </w:tcMar>
            <w:vAlign w:val="center"/>
          </w:tcPr>
          <w:p>
            <w:pPr>
              <w:spacing w:after="0"/>
              <w:jc w:val="left"/>
            </w:pPr>
            <w:r/>
            <w:r>
              <w:rPr>
                <w:rFonts w:ascii="Calibri" w:hAnsi="Calibri"/>
                <w:b w:val="0"/>
                <w:color w:val="173042"/>
                <w:sz w:val="18"/>
              </w:rPr>
              <w:t>Discovery, data model, UI/UX, dan master data</w:t>
            </w:r>
          </w:p>
        </w:tc>
        <w:tc>
          <w:tcPr>
            <w:tcW w:type="dxa" w:w="2160"/>
            <w:tcMar>
              <w:top w:w="100" w:type="dxa"/>
              <w:start w:w="120" w:type="dxa"/>
              <w:bottom w:w="100" w:type="dxa"/>
              <w:end w:w="120" w:type="dxa"/>
            </w:tcMar>
            <w:vAlign w:val="center"/>
          </w:tcPr>
          <w:p>
            <w:pPr>
              <w:spacing w:after="0"/>
              <w:jc w:val="right"/>
            </w:pPr>
            <w:r/>
            <w:r>
              <w:rPr>
                <w:rFonts w:ascii="Calibri" w:hAnsi="Calibri"/>
                <w:b/>
                <w:color w:val="173042"/>
                <w:sz w:val="18"/>
              </w:rPr>
              <w:t>Prototype disetujui</w:t>
            </w:r>
          </w:p>
        </w:tc>
      </w:tr>
      <w:tr>
        <w:tc>
          <w:tcPr>
            <w:tcW w:type="dxa" w:w="1650"/>
            <w:shd w:fill="F4F8FB"/>
            <w:tcMar>
              <w:top w:w="100" w:type="dxa"/>
              <w:start w:w="120" w:type="dxa"/>
              <w:bottom w:w="100" w:type="dxa"/>
              <w:end w:w="120" w:type="dxa"/>
            </w:tcMar>
            <w:vAlign w:val="center"/>
          </w:tcPr>
          <w:p>
            <w:pPr>
              <w:spacing w:after="0"/>
              <w:jc w:val="center"/>
            </w:pPr>
            <w:r/>
            <w:r>
              <w:rPr>
                <w:rFonts w:ascii="Calibri" w:hAnsi="Calibri"/>
                <w:b/>
                <w:color w:val="173042"/>
                <w:sz w:val="18"/>
              </w:rPr>
              <w:t>Minggu 3–4</w:t>
            </w:r>
          </w:p>
        </w:tc>
        <w:tc>
          <w:tcPr>
            <w:tcW w:type="dxa" w:w="5550"/>
            <w:shd w:fill="F4F8FB"/>
            <w:tcMar>
              <w:top w:w="100" w:type="dxa"/>
              <w:start w:w="120" w:type="dxa"/>
              <w:bottom w:w="100" w:type="dxa"/>
              <w:end w:w="120" w:type="dxa"/>
            </w:tcMar>
            <w:vAlign w:val="center"/>
          </w:tcPr>
          <w:p>
            <w:pPr>
              <w:spacing w:after="0"/>
              <w:jc w:val="left"/>
            </w:pPr>
            <w:r/>
            <w:r>
              <w:rPr>
                <w:rFonts w:ascii="Calibri" w:hAnsi="Calibri"/>
                <w:b w:val="0"/>
                <w:color w:val="173042"/>
                <w:sz w:val="18"/>
              </w:rPr>
              <w:t>Inventaris, transfer, stok masuk, RBAC</w:t>
            </w:r>
          </w:p>
        </w:tc>
        <w:tc>
          <w:tcPr>
            <w:tcW w:type="dxa" w:w="2160"/>
            <w:shd w:fill="F4F8FB"/>
            <w:tcMar>
              <w:top w:w="100" w:type="dxa"/>
              <w:start w:w="120" w:type="dxa"/>
              <w:bottom w:w="100" w:type="dxa"/>
              <w:end w:w="120" w:type="dxa"/>
            </w:tcMar>
            <w:vAlign w:val="center"/>
          </w:tcPr>
          <w:p>
            <w:pPr>
              <w:spacing w:after="0"/>
              <w:jc w:val="right"/>
            </w:pPr>
            <w:r/>
            <w:r>
              <w:rPr>
                <w:rFonts w:ascii="Calibri" w:hAnsi="Calibri"/>
                <w:b/>
                <w:color w:val="173042"/>
                <w:sz w:val="18"/>
              </w:rPr>
              <w:t>Alur stok siap UAT</w:t>
            </w:r>
          </w:p>
        </w:tc>
      </w:tr>
      <w:tr>
        <w:tc>
          <w:tcPr>
            <w:tcW w:type="dxa" w:w="1650"/>
            <w:tcMar>
              <w:top w:w="100" w:type="dxa"/>
              <w:start w:w="120" w:type="dxa"/>
              <w:bottom w:w="100" w:type="dxa"/>
              <w:end w:w="120" w:type="dxa"/>
            </w:tcMar>
            <w:vAlign w:val="center"/>
          </w:tcPr>
          <w:p>
            <w:pPr>
              <w:spacing w:after="0"/>
              <w:jc w:val="center"/>
            </w:pPr>
            <w:r/>
            <w:r>
              <w:rPr>
                <w:rFonts w:ascii="Calibri" w:hAnsi="Calibri"/>
                <w:b/>
                <w:color w:val="173042"/>
                <w:sz w:val="18"/>
              </w:rPr>
              <w:t>Minggu 5–6</w:t>
            </w:r>
          </w:p>
        </w:tc>
        <w:tc>
          <w:tcPr>
            <w:tcW w:type="dxa" w:w="5550"/>
            <w:tcMar>
              <w:top w:w="100" w:type="dxa"/>
              <w:start w:w="120" w:type="dxa"/>
              <w:bottom w:w="100" w:type="dxa"/>
              <w:end w:w="120" w:type="dxa"/>
            </w:tcMar>
            <w:vAlign w:val="center"/>
          </w:tcPr>
          <w:p>
            <w:pPr>
              <w:spacing w:after="0"/>
              <w:jc w:val="left"/>
            </w:pPr>
            <w:r/>
            <w:r>
              <w:rPr>
                <w:rFonts w:ascii="Calibri" w:hAnsi="Calibri"/>
                <w:b w:val="0"/>
                <w:color w:val="173042"/>
                <w:sz w:val="18"/>
              </w:rPr>
              <w:t>POS, penjualan, dashboard, dan analitik</w:t>
            </w:r>
          </w:p>
        </w:tc>
        <w:tc>
          <w:tcPr>
            <w:tcW w:type="dxa" w:w="2160"/>
            <w:tcMar>
              <w:top w:w="100" w:type="dxa"/>
              <w:start w:w="120" w:type="dxa"/>
              <w:bottom w:w="100" w:type="dxa"/>
              <w:end w:w="120" w:type="dxa"/>
            </w:tcMar>
            <w:vAlign w:val="center"/>
          </w:tcPr>
          <w:p>
            <w:pPr>
              <w:spacing w:after="0"/>
              <w:jc w:val="right"/>
            </w:pPr>
            <w:r/>
            <w:r>
              <w:rPr>
                <w:rFonts w:ascii="Calibri" w:hAnsi="Calibri"/>
                <w:b/>
                <w:color w:val="173042"/>
                <w:sz w:val="18"/>
              </w:rPr>
              <w:t>Modul transaksi siap UAT</w:t>
            </w:r>
          </w:p>
        </w:tc>
      </w:tr>
      <w:tr>
        <w:tc>
          <w:tcPr>
            <w:tcW w:type="dxa" w:w="1650"/>
            <w:shd w:fill="F4F8FB"/>
            <w:tcMar>
              <w:top w:w="100" w:type="dxa"/>
              <w:start w:w="120" w:type="dxa"/>
              <w:bottom w:w="100" w:type="dxa"/>
              <w:end w:w="120" w:type="dxa"/>
            </w:tcMar>
            <w:vAlign w:val="center"/>
          </w:tcPr>
          <w:p>
            <w:pPr>
              <w:spacing w:after="0"/>
              <w:jc w:val="center"/>
            </w:pPr>
            <w:r/>
            <w:r>
              <w:rPr>
                <w:rFonts w:ascii="Calibri" w:hAnsi="Calibri"/>
                <w:b/>
                <w:color w:val="173042"/>
                <w:sz w:val="18"/>
              </w:rPr>
              <w:t>Minggu 7–8</w:t>
            </w:r>
          </w:p>
        </w:tc>
        <w:tc>
          <w:tcPr>
            <w:tcW w:type="dxa" w:w="5550"/>
            <w:shd w:fill="F4F8FB"/>
            <w:tcMar>
              <w:top w:w="100" w:type="dxa"/>
              <w:start w:w="120" w:type="dxa"/>
              <w:bottom w:w="100" w:type="dxa"/>
              <w:end w:w="120" w:type="dxa"/>
            </w:tcMar>
            <w:vAlign w:val="center"/>
          </w:tcPr>
          <w:p>
            <w:pPr>
              <w:spacing w:after="0"/>
              <w:jc w:val="left"/>
            </w:pPr>
            <w:r/>
            <w:r>
              <w:rPr>
                <w:rFonts w:ascii="Calibri" w:hAnsi="Calibri"/>
                <w:b w:val="0"/>
                <w:color w:val="173042"/>
                <w:sz w:val="18"/>
              </w:rPr>
              <w:t>HPP, marketplace, QA, deployment, training</w:t>
            </w:r>
          </w:p>
        </w:tc>
        <w:tc>
          <w:tcPr>
            <w:tcW w:type="dxa" w:w="2160"/>
            <w:shd w:fill="F4F8FB"/>
            <w:tcMar>
              <w:top w:w="100" w:type="dxa"/>
              <w:start w:w="120" w:type="dxa"/>
              <w:bottom w:w="100" w:type="dxa"/>
              <w:end w:w="120" w:type="dxa"/>
            </w:tcMar>
            <w:vAlign w:val="center"/>
          </w:tcPr>
          <w:p>
            <w:pPr>
              <w:spacing w:after="0"/>
              <w:jc w:val="right"/>
            </w:pPr>
            <w:r/>
            <w:r>
              <w:rPr>
                <w:rFonts w:ascii="Calibri" w:hAnsi="Calibri"/>
                <w:b/>
                <w:color w:val="173042"/>
                <w:sz w:val="18"/>
              </w:rPr>
              <w:t>Go-live &amp; handover</w:t>
            </w:r>
          </w:p>
        </w:tc>
      </w:tr>
    </w:tbl>
    <w:p>
      <w:pPr>
        <w:spacing w:before="300" w:after="120" w:line="264" w:lineRule="auto"/>
        <w:jc w:val="left"/>
      </w:pPr>
      <w:r>
        <w:rPr>
          <w:rFonts w:ascii="Calibri" w:hAnsi="Calibri"/>
          <w:b/>
          <w:color w:val="087FA9"/>
          <w:sz w:val="32"/>
        </w:rPr>
        <w:t>Garansi, Dukungan, dan Opsi Pemeliharaan</w:t>
      </w:r>
    </w:p>
    <w:p>
      <w:pPr>
        <w:spacing w:before="0" w:after="120" w:line="264" w:lineRule="auto"/>
        <w:jc w:val="left"/>
      </w:pPr>
      <w:r>
        <w:rPr>
          <w:rFonts w:ascii="Calibri" w:hAnsi="Calibri"/>
          <w:b w:val="0"/>
          <w:color w:val="173042"/>
          <w:sz w:val="20"/>
        </w:rPr>
        <w:t>Garansi perbaikan bug selama 3 bulan setelah go-live sudah termasuk. Perubahan proses bisnis baru ditangani melalui change request.</w:t>
      </w:r>
    </w:p>
    <w:tbl>
      <w:tblPr>
        <w:tblStyle w:val="TableGrid"/>
        <w:tblW w:type="auto" w:w="0"/>
        <w:jc w:val="left"/>
        <w:tblLayout w:type="fixed"/>
        <w:tblLook w:firstColumn="1" w:firstRow="1" w:lastColumn="0" w:lastRow="0" w:noHBand="0" w:noVBand="1" w:val="04A0"/>
        <w:tblW w:w="9360" w:type="dxa"/>
        <w:tblLayout w:type="fixed"/>
      </w:tblPr>
      <w:tblGrid>
        <w:gridCol w:w="3150"/>
        <w:gridCol w:w="3700"/>
        <w:gridCol w:w="2510"/>
      </w:tblGrid>
      <w:tr>
        <w:tc>
          <w:tcPr>
            <w:tcW w:type="dxa" w:w="3331"/>
            <w:tcW w:w="315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Pilihan</w:t>
            </w:r>
          </w:p>
        </w:tc>
        <w:tc>
          <w:tcPr>
            <w:tcW w:type="dxa" w:w="3331"/>
            <w:tcW w:w="370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Cakupan</w:t>
            </w:r>
          </w:p>
        </w:tc>
        <w:tc>
          <w:tcPr>
            <w:tcW w:type="dxa" w:w="3331"/>
            <w:tcW w:w="2510" w:type="dxa"/>
            <w:shd w:fill="073B5A"/>
            <w:tcMar>
              <w:top w:w="100" w:type="dxa"/>
              <w:start w:w="120" w:type="dxa"/>
              <w:bottom w:w="100" w:type="dxa"/>
              <w:end w:w="120" w:type="dxa"/>
            </w:tcMar>
            <w:vAlign w:val="center"/>
          </w:tcPr>
          <w:p>
            <w:pPr>
              <w:spacing w:after="0"/>
              <w:jc w:val="center"/>
            </w:pPr>
            <w:r/>
            <w:r>
              <w:rPr>
                <w:rFonts w:ascii="Calibri" w:hAnsi="Calibri"/>
                <w:b/>
                <w:color w:val="FFFFFF"/>
                <w:sz w:val="18"/>
              </w:rPr>
              <w:t>Nilai</w:t>
            </w:r>
          </w:p>
        </w:tc>
      </w:tr>
      <w:tr>
        <w:tc>
          <w:tcPr>
            <w:tcW w:type="dxa" w:w="3150"/>
            <w:tcMar>
              <w:top w:w="100" w:type="dxa"/>
              <w:start w:w="120" w:type="dxa"/>
              <w:bottom w:w="100" w:type="dxa"/>
              <w:end w:w="120" w:type="dxa"/>
            </w:tcMar>
            <w:vAlign w:val="center"/>
          </w:tcPr>
          <w:p>
            <w:pPr>
              <w:spacing w:after="0"/>
              <w:jc w:val="center"/>
            </w:pPr>
            <w:r/>
            <w:r>
              <w:rPr>
                <w:rFonts w:ascii="Calibri" w:hAnsi="Calibri"/>
                <w:b/>
                <w:color w:val="173042"/>
                <w:sz w:val="18"/>
              </w:rPr>
              <w:t>Garansi pasca go-live</w:t>
            </w:r>
          </w:p>
        </w:tc>
        <w:tc>
          <w:tcPr>
            <w:tcW w:type="dxa" w:w="3700"/>
            <w:tcMar>
              <w:top w:w="100" w:type="dxa"/>
              <w:start w:w="120" w:type="dxa"/>
              <w:bottom w:w="100" w:type="dxa"/>
              <w:end w:w="120" w:type="dxa"/>
            </w:tcMar>
            <w:vAlign w:val="center"/>
          </w:tcPr>
          <w:p>
            <w:pPr>
              <w:spacing w:after="0"/>
              <w:jc w:val="left"/>
            </w:pPr>
            <w:r/>
            <w:r>
              <w:rPr>
                <w:rFonts w:ascii="Calibri" w:hAnsi="Calibri"/>
                <w:b w:val="0"/>
                <w:color w:val="173042"/>
                <w:sz w:val="18"/>
              </w:rPr>
              <w:t>Perbaikan bug dalam ruang lingkup selama 3 bulan</w:t>
            </w:r>
          </w:p>
        </w:tc>
        <w:tc>
          <w:tcPr>
            <w:tcW w:type="dxa" w:w="2510"/>
            <w:tcMar>
              <w:top w:w="100" w:type="dxa"/>
              <w:start w:w="120" w:type="dxa"/>
              <w:bottom w:w="100" w:type="dxa"/>
              <w:end w:w="120" w:type="dxa"/>
            </w:tcMar>
            <w:vAlign w:val="center"/>
          </w:tcPr>
          <w:p>
            <w:pPr>
              <w:spacing w:after="0"/>
              <w:jc w:val="right"/>
            </w:pPr>
            <w:r/>
            <w:r>
              <w:rPr>
                <w:rFonts w:ascii="Calibri" w:hAnsi="Calibri"/>
                <w:b/>
                <w:color w:val="173042"/>
                <w:sz w:val="18"/>
              </w:rPr>
              <w:t>Termasuk</w:t>
            </w:r>
          </w:p>
        </w:tc>
      </w:tr>
      <w:tr>
        <w:tc>
          <w:tcPr>
            <w:tcW w:type="dxa" w:w="3150"/>
            <w:shd w:fill="F4F8FB"/>
            <w:tcMar>
              <w:top w:w="100" w:type="dxa"/>
              <w:start w:w="120" w:type="dxa"/>
              <w:bottom w:w="100" w:type="dxa"/>
              <w:end w:w="120" w:type="dxa"/>
            </w:tcMar>
            <w:vAlign w:val="center"/>
          </w:tcPr>
          <w:p>
            <w:pPr>
              <w:spacing w:after="0"/>
              <w:jc w:val="center"/>
            </w:pPr>
            <w:r/>
            <w:r>
              <w:rPr>
                <w:rFonts w:ascii="Calibri" w:hAnsi="Calibri"/>
                <w:b/>
                <w:color w:val="173042"/>
                <w:sz w:val="18"/>
              </w:rPr>
              <w:t>Pemeliharaan bulanan (opsional)</w:t>
            </w:r>
          </w:p>
        </w:tc>
        <w:tc>
          <w:tcPr>
            <w:tcW w:type="dxa" w:w="3700"/>
            <w:shd w:fill="F4F8FB"/>
            <w:tcMar>
              <w:top w:w="100" w:type="dxa"/>
              <w:start w:w="120" w:type="dxa"/>
              <w:bottom w:w="100" w:type="dxa"/>
              <w:end w:w="120" w:type="dxa"/>
            </w:tcMar>
            <w:vAlign w:val="center"/>
          </w:tcPr>
          <w:p>
            <w:pPr>
              <w:spacing w:after="0"/>
              <w:jc w:val="left"/>
            </w:pPr>
            <w:r/>
            <w:r>
              <w:rPr>
                <w:rFonts w:ascii="Calibri" w:hAnsi="Calibri"/>
                <w:b w:val="0"/>
                <w:color w:val="173042"/>
                <w:sz w:val="18"/>
              </w:rPr>
              <w:t>Monitoring, backup review, dan perbaikan minor maksimal 8 jam/bulan</w:t>
            </w:r>
          </w:p>
        </w:tc>
        <w:tc>
          <w:tcPr>
            <w:tcW w:type="dxa" w:w="2510"/>
            <w:shd w:fill="F4F8FB"/>
            <w:tcMar>
              <w:top w:w="100" w:type="dxa"/>
              <w:start w:w="120" w:type="dxa"/>
              <w:bottom w:w="100" w:type="dxa"/>
              <w:end w:w="120" w:type="dxa"/>
            </w:tcMar>
            <w:vAlign w:val="center"/>
          </w:tcPr>
          <w:p>
            <w:pPr>
              <w:spacing w:after="0"/>
              <w:jc w:val="right"/>
            </w:pPr>
            <w:r/>
            <w:r>
              <w:rPr>
                <w:rFonts w:ascii="Calibri" w:hAnsi="Calibri"/>
                <w:b/>
                <w:color w:val="173042"/>
                <w:sz w:val="18"/>
              </w:rPr>
              <w:t>Rp 1.850.000/bulan</w:t>
            </w:r>
          </w:p>
        </w:tc>
      </w:tr>
    </w:tbl>
    <w:p>
      <w:pPr>
        <w:spacing w:before="300" w:after="120" w:line="264" w:lineRule="auto"/>
        <w:jc w:val="left"/>
      </w:pPr>
      <w:r>
        <w:rPr>
          <w:rFonts w:ascii="Calibri" w:hAnsi="Calibri"/>
          <w:b/>
          <w:color w:val="087FA9"/>
          <w:sz w:val="32"/>
        </w:rPr>
        <w:t>Asumsi dan Pengecualian</w:t>
      </w:r>
    </w:p>
    <w:p>
      <w:pPr>
        <w:pStyle w:val="ListBullet"/>
        <w:spacing w:after="80" w:line="264" w:lineRule="auto"/>
      </w:pPr>
      <w:r>
        <w:rPr>
          <w:rFonts w:ascii="Calibri" w:hAnsi="Calibri"/>
          <w:b w:val="0"/>
          <w:color w:val="173042"/>
          <w:sz w:val="21"/>
        </w:rPr>
        <w:t>Nilai belum termasuk PPN, SMS/WhatsApp, biaya payment gateway, atau layanan pihak ketiga lain di luar bonus infrastruktur 12 bulan pertama.</w:t>
      </w:r>
    </w:p>
    <w:p>
      <w:pPr>
        <w:pStyle w:val="ListBullet"/>
        <w:spacing w:after="80" w:line="264" w:lineRule="auto"/>
      </w:pPr>
      <w:r>
        <w:rPr>
          <w:rFonts w:ascii="Calibri" w:hAnsi="Calibri"/>
          <w:b w:val="0"/>
          <w:color w:val="173042"/>
          <w:sz w:val="21"/>
        </w:rPr>
        <w:t>Integrasi otomatis marketplace, kurir, dan payment gateway tidak termasuk kecuali disepakati melalui change request.</w:t>
      </w:r>
    </w:p>
    <w:p>
      <w:pPr>
        <w:pStyle w:val="ListBullet"/>
        <w:spacing w:after="80" w:line="264" w:lineRule="auto"/>
      </w:pPr>
      <w:r>
        <w:rPr>
          <w:rFonts w:ascii="Calibri" w:hAnsi="Calibri"/>
          <w:b w:val="0"/>
          <w:color w:val="173042"/>
          <w:sz w:val="21"/>
        </w:rPr>
        <w:t>Client menyediakan data awal produk, lokasi, pengguna, kebijakan operasional, dan PIC UAT sesuai jadwal.</w:t>
      </w:r>
    </w:p>
    <w:p>
      <w:pPr>
        <w:pStyle w:val="ListBullet"/>
        <w:spacing w:after="80" w:line="264" w:lineRule="auto"/>
      </w:pPr>
      <w:r>
        <w:rPr>
          <w:rFonts w:ascii="Calibri" w:hAnsi="Calibri"/>
          <w:b w:val="0"/>
          <w:color w:val="173042"/>
          <w:sz w:val="21"/>
        </w:rPr>
        <w:t>Perubahan kebutuhan di luar ruang lingkup dihitung melalui change request tertulis.</w:t>
      </w:r>
    </w:p>
    <w:p>
      <w:pPr>
        <w:pStyle w:val="ListBullet"/>
        <w:spacing w:after="80" w:line="264" w:lineRule="auto"/>
      </w:pPr>
      <w:r>
        <w:rPr>
          <w:rFonts w:ascii="Calibri" w:hAnsi="Calibri"/>
          <w:b w:val="0"/>
          <w:color w:val="173042"/>
          <w:sz w:val="21"/>
        </w:rPr>
        <w:t>Penawaran berlaku 14 hari kalender sejak tanggal dokumen ini.</w:t>
      </w:r>
    </w:p>
    <w:p>
      <w:pPr>
        <w:spacing w:before="300" w:after="120" w:line="264" w:lineRule="auto"/>
        <w:jc w:val="left"/>
      </w:pPr>
      <w:r>
        <w:rPr>
          <w:rFonts w:ascii="Calibri" w:hAnsi="Calibri"/>
          <w:b/>
          <w:color w:val="087FA9"/>
          <w:sz w:val="32"/>
        </w:rPr>
        <w:t>Persetujuan</w:t>
      </w:r>
    </w:p>
    <w:p>
      <w:pPr>
        <w:spacing w:before="0" w:after="120" w:line="264" w:lineRule="auto"/>
        <w:jc w:val="left"/>
      </w:pPr>
      <w:r>
        <w:rPr>
          <w:rFonts w:ascii="Calibri" w:hAnsi="Calibri"/>
          <w:b w:val="0"/>
          <w:color w:val="173042"/>
          <w:sz w:val="20"/>
        </w:rPr>
        <w:t>Dengan menandatangani bagian berikut, para pihak menyetujui ruang lingkup, nilai, dan skema pembayaran dalam RAB ini.</w:t>
      </w:r>
    </w:p>
    <w:tbl>
      <w:tblPr>
        <w:tblW w:type="auto" w:w="0"/>
        <w:jc w:val="left"/>
        <w:tblLayout w:type="fixed"/>
        <w:tblLook w:firstColumn="1" w:firstRow="1" w:lastColumn="0" w:lastRow="0" w:noHBand="0" w:noVBand="1" w:val="04A0"/>
        <w:tblW w:w="9360" w:type="dxa"/>
        <w:tblLayout w:type="fixed"/>
      </w:tblPr>
      <w:tblGrid>
        <w:gridCol w:w="4680"/>
        <w:gridCol w:w="4680"/>
      </w:tblGrid>
      <w:tr>
        <w:tc>
          <w:tcPr>
            <w:tcW w:type="dxa" w:w="4997"/>
            <w:tcW w:w="4680" w:type="dxa"/>
            <w:tcMar>
              <w:top w:w="150" w:type="dxa"/>
              <w:start w:w="150" w:type="dxa"/>
              <w:bottom w:w="150" w:type="dxa"/>
              <w:end w:w="150" w:type="dxa"/>
            </w:tcMar>
          </w:tcPr>
          <w:p>
            <w:pPr>
              <w:spacing w:after="0"/>
            </w:pPr>
            <w:r/>
            <w:r>
              <w:rPr>
                <w:rFonts w:ascii="Calibri" w:hAnsi="Calibri"/>
                <w:b/>
                <w:color w:val="073B5A"/>
                <w:sz w:val="22"/>
              </w:rPr>
              <w:t>Pihak Menengs</w:t>
              <w:br/>
              <w:t>(______________________________)</w:t>
            </w:r>
          </w:p>
        </w:tc>
        <w:tc>
          <w:tcPr>
            <w:tcW w:type="dxa" w:w="4997"/>
            <w:tcW w:w="4680" w:type="dxa"/>
            <w:tcMar>
              <w:top w:w="150" w:type="dxa"/>
              <w:start w:w="150" w:type="dxa"/>
              <w:bottom w:w="150" w:type="dxa"/>
              <w:end w:w="150" w:type="dxa"/>
            </w:tcMar>
          </w:tcPr>
          <w:p>
            <w:pPr>
              <w:spacing w:after="0"/>
            </w:pPr>
            <w:r/>
            <w:r>
              <w:rPr>
                <w:rFonts w:ascii="Calibri" w:hAnsi="Calibri"/>
                <w:b/>
                <w:color w:val="073B5A"/>
                <w:sz w:val="22"/>
              </w:rPr>
              <w:t>Penyedia / VeinTech</w:t>
              <w:br/>
              <w:t>(______________________________)</w:t>
            </w:r>
          </w:p>
        </w:tc>
      </w:tr>
    </w:tbl>
    <w:sectPr w:rsidR="00FC693F" w:rsidRPr="0006063C" w:rsidSect="00034616">
      <w:footerReference w:type="default" r:id="rId9"/>
      <w:pgSz w:w="12240" w:h="15840"/>
      <w:pgMar w:top="1037" w:right="1123" w:bottom="1037"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F7484"/>
        <w:sz w:val="17"/>
      </w:rPr>
      <w:t>RAB Pengembangan Sistem Operasional Menengs  |  VeinTech  |  31 Juli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