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360"/>
        <w:jc w:val="center"/>
      </w:pPr>
      <w:r>
        <w:rPr>
          <w:rFonts w:ascii="Sakkal Majalla" w:cs="Sakkal Majalla" w:eastAsia="Sakkal Majalla" w:hAnsi="Sakkal Majalla"/>
          <w:b/>
          <w:bCs/>
          <w:sz w:val="36"/>
          <w:szCs w:val="36"/>
          <w:rtl/>
        </w:rPr>
        <w:t xml:space="preserve">تعليق على حكم محاكم دبي الابتدائية – الدعوى رقم 504 لسنة 2023 مدني</w:t>
      </w:r>
    </w:p>
    <w:p>
      <w:pPr>
        <w:bidi/>
        <w:spacing w:after="240" w:line="360"/>
        <w:jc w:val="center"/>
      </w:pPr>
      <w:r>
        <w:rPr>
          <w:rFonts w:ascii="Sakkal Majalla" w:cs="Sakkal Majalla" w:eastAsia="Sakkal Majalla" w:hAnsi="Sakkal Majalla"/>
          <w:b/>
          <w:bCs/>
          <w:sz w:val="30"/>
          <w:szCs w:val="30"/>
          <w:rtl/>
        </w:rPr>
        <w:t xml:space="preserve">إخلال المزوِّد بعقد مُبرم عبر تطبيق واتساب مع مستهلك وأثره في فسخ العقد واسترداد الدفعة المقدمة</w:t>
      </w:r>
    </w:p>
    <w:p>
      <w:pPr>
        <w:bidi/>
        <w:spacing w:after="60" w:line="360"/>
        <w:jc w:val="right"/>
      </w:pPr>
      <w:r>
        <w:rPr>
          <w:rFonts w:ascii="Sakkal Majalla" w:cs="Sakkal Majalla" w:eastAsia="Sakkal Majalla" w:hAnsi="Sakkal Majalla"/>
          <w:b/>
          <w:bCs/>
          <w:sz w:val="28"/>
          <w:szCs w:val="28"/>
          <w:rtl/>
        </w:rPr>
        <w:t xml:space="preserve">إعداد الطالبة:</w:t>
      </w:r>
    </w:p>
    <w:p>
      <w:pPr>
        <w:bidi/>
        <w:spacing w:after="60" w:line="360"/>
        <w:jc w:val="right"/>
      </w:pPr>
      <w:r>
        <w:rPr>
          <w:rFonts w:ascii="Sakkal Majalla" w:cs="Sakkal Majalla" w:eastAsia="Sakkal Majalla" w:hAnsi="Sakkal Majalla"/>
          <w:b/>
          <w:bCs/>
          <w:sz w:val="28"/>
          <w:szCs w:val="28"/>
          <w:rtl/>
        </w:rPr>
        <w:t xml:space="preserve">الرقم الجامعي:</w:t>
      </w:r>
    </w:p>
    <w:p>
      <w:pPr>
        <w:bidi/>
        <w:spacing w:after="240" w:line="360"/>
        <w:jc w:val="right"/>
      </w:pPr>
      <w:r>
        <w:rPr>
          <w:rFonts w:ascii="Sakkal Majalla" w:cs="Sakkal Majalla" w:eastAsia="Sakkal Majalla" w:hAnsi="Sakkal Majalla"/>
          <w:b/>
          <w:bCs/>
          <w:sz w:val="28"/>
          <w:szCs w:val="28"/>
          <w:rtl/>
        </w:rPr>
        <w:t xml:space="preserve">المساق:</w:t>
      </w:r>
    </w:p>
    <w:p>
      <w:pPr>
        <w:pStyle w:val="Heading1"/>
        <w:keepNext/>
        <w:bidi/>
        <w:spacing w:after="120" w:before="300" w:line="300"/>
        <w:jc w:val="right"/>
      </w:pPr>
      <w:r>
        <w:rPr>
          <w:rFonts w:ascii="Sakkal Majalla" w:cs="Sakkal Majalla" w:eastAsia="Sakkal Majalla" w:hAnsi="Sakkal Majalla"/>
          <w:b/>
          <w:bCs/>
          <w:color w:val="2E74B5"/>
          <w:sz w:val="34"/>
          <w:szCs w:val="34"/>
          <w:rtl/>
        </w:rPr>
        <w:t xml:space="preserve">المقدمة:</w:t>
      </w:r>
    </w:p>
    <w:p>
      <w:pPr>
        <w:bidi/>
        <w:spacing w:after="120" w:line="360"/>
        <w:jc w:val="both"/>
      </w:pPr>
      <w:r>
        <w:rPr>
          <w:rFonts w:ascii="Sakkal Majalla" w:cs="Sakkal Majalla" w:eastAsia="Sakkal Majalla" w:hAnsi="Sakkal Majalla"/>
          <w:sz w:val="28"/>
          <w:szCs w:val="28"/>
          <w:rtl/>
        </w:rPr>
        <w:t xml:space="preserve">يكشف العمل القضائي عن الكيفية التي تتعامل بها المحاكم مع الأنماط الجديدة للتعاقد، ولا سيما التعاقد الذي يتم كلياً أو جزئياً عبر الوسائل الإلكترونية. فقد أصبح كثير من المستهلكين يبرمون عقودهم مع التجار ومقدمي الخدمات عبر تطبيقات المحادثة، دون لقاء مباشر ودون محرر ورقي موقّع، ويدفعون المقابل بتحويل بنكي قبل تنفيذ الخدمة. وتُثار في هذه الحالة مسائل تتعلق بانعقاد العقد وإثباته، وبالحماية التي يوفرها القانون للمستهلك إذا أخلّ المزوّد بالتزامه.</w:t>
      </w:r>
    </w:p>
    <w:p>
      <w:pPr>
        <w:bidi/>
        <w:spacing w:after="120" w:line="360"/>
        <w:jc w:val="both"/>
      </w:pPr>
      <w:r>
        <w:rPr>
          <w:rFonts w:ascii="Sakkal Majalla" w:cs="Sakkal Majalla" w:eastAsia="Sakkal Majalla" w:hAnsi="Sakkal Majalla"/>
          <w:sz w:val="28"/>
          <w:szCs w:val="28"/>
          <w:rtl/>
        </w:rPr>
        <w:t xml:space="preserve">ولقد اخترت للتعليق حكماً صادراً عن محاكم دبي الابتدائية في نزاع بين مستهلك ومزوّد خدمة، أُرسل فيه العقد وعرض السعر عبر تطبيق واتساب، وسدّد المستهلك دفعة مقدمة بتحويل بنكي، ثم امتنع المزوّد عن التنفيذ. ويقع هذا الحكم في صميم موضوع المساق، إذ يتعلق بنزاع بين مستهلك ومزوّد نشأ عن تعامل تم بوسيلة إلكترونية.</w:t>
      </w:r>
    </w:p>
    <w:p>
      <w:pPr>
        <w:bidi/>
        <w:spacing w:after="120" w:line="360"/>
        <w:jc w:val="both"/>
      </w:pPr>
      <w:r>
        <w:rPr>
          <w:rFonts w:ascii="Sakkal Majalla" w:cs="Sakkal Majalla" w:eastAsia="Sakkal Majalla" w:hAnsi="Sakkal Majalla"/>
          <w:sz w:val="28"/>
          <w:szCs w:val="28"/>
          <w:rtl/>
        </w:rPr>
        <w:t xml:space="preserve">وسأستند في تحليلي إلى قانون المعاملات المدنية الاتحادي الذي طبقته المحكمة، وإلى التشريعات الخاصة التي كان يمكن الاستناد إليها، وهي القانون الاتحادي رقم 15 لسنة 2020 في شأن حماية المستهلك، والمرسوم بقانون اتحادي رقم 46 لسنة 2021 بشأن المعاملات الإلكترونية وخدمات الثقة، والمرسوم بقانون اتحادي رقم 35 لسنة 2022 بإصدار قانون الإثبات في المعاملات المدنية والتجارية. وذلك وفق المنهجية المقررة التي تتوزع بين تحديد مضمون الحكم ثم التعليق عليه شكلاً وموضوعاً.</w:t>
      </w:r>
    </w:p>
    <w:p>
      <w:pPr>
        <w:pStyle w:val="Heading1"/>
        <w:keepNext/>
        <w:bidi/>
        <w:spacing w:after="120" w:before="300" w:line="300"/>
        <w:jc w:val="right"/>
      </w:pPr>
      <w:r>
        <w:rPr>
          <w:rFonts w:ascii="Sakkal Majalla" w:cs="Sakkal Majalla" w:eastAsia="Sakkal Majalla" w:hAnsi="Sakkal Majalla"/>
          <w:b/>
          <w:bCs/>
          <w:color w:val="2E74B5"/>
          <w:sz w:val="34"/>
          <w:szCs w:val="34"/>
          <w:rtl/>
        </w:rPr>
        <w:t xml:space="preserve">المبحث الأول: تحديد مضمون الحكم القضائي</w:t>
      </w:r>
    </w:p>
    <w:p>
      <w:pPr>
        <w:pStyle w:val="Heading2"/>
        <w:keepNext/>
        <w:bidi/>
        <w:spacing w:after="120" w:before="200" w:line="300"/>
        <w:jc w:val="right"/>
      </w:pPr>
      <w:r>
        <w:rPr>
          <w:rFonts w:ascii="Sakkal Majalla" w:cs="Sakkal Majalla" w:eastAsia="Sakkal Majalla" w:hAnsi="Sakkal Majalla"/>
          <w:b/>
          <w:bCs/>
          <w:color w:val="2E74B5"/>
          <w:sz w:val="31"/>
          <w:szCs w:val="31"/>
          <w:rtl/>
        </w:rPr>
        <w:t xml:space="preserve">المطلب الأول: تعريف الحكم وتقسيماته</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الأول: تحديد معنى الحكم القضائي</w:t>
      </w:r>
    </w:p>
    <w:p>
      <w:pPr>
        <w:bidi/>
        <w:spacing w:after="120" w:line="360"/>
        <w:jc w:val="both"/>
      </w:pPr>
      <w:r>
        <w:rPr>
          <w:rFonts w:ascii="Sakkal Majalla" w:cs="Sakkal Majalla" w:eastAsia="Sakkal Majalla" w:hAnsi="Sakkal Majalla"/>
          <w:sz w:val="28"/>
          <w:szCs w:val="28"/>
          <w:rtl/>
        </w:rPr>
        <w:t xml:space="preserve">الحكم محل التعليق حكم ابتدائي صادر عن محاكم دبي الابتدائية (الدائرة المدنية) بجلسة 21 مارس 2023، في خصومة قائمة بين شخص طبيعي تعاقد لحاجته الشخصية في منزله، ومقدّم خدمة يعمل في أعمال النجارة والديكور. وهو بذلك يستوفي تعريف الحكم القضائي بوصفه قراراً صادراً عن محكمة مشكلة تشكيلاً صحيحاً ومختصة بإصداره في خصومة قضائية وفقاً لقواعد قانون الإجراءات المدنية. ويختلف عن الحكم التمييزي في أنه يفصل في موضوع النزاع ذاته، فيبحث الوقائع ويقدّر الأدلة ويطبق عليها القانون.</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الثاني: أنواع الأحكام القضائية</w:t>
      </w:r>
    </w:p>
    <w:p>
      <w:pPr>
        <w:bidi/>
        <w:spacing w:after="120" w:line="360"/>
        <w:jc w:val="both"/>
      </w:pPr>
      <w:r>
        <w:rPr>
          <w:rFonts w:ascii="Sakkal Majalla" w:cs="Sakkal Majalla" w:eastAsia="Sakkal Majalla" w:hAnsi="Sakkal Majalla"/>
          <w:sz w:val="28"/>
          <w:szCs w:val="28"/>
          <w:rtl/>
        </w:rPr>
        <w:t xml:space="preserve">يندرج هذا الحكم ضمن التصنيفات التالية: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حكم حضوري: </w:t>
      </w:r>
      <w:r>
        <w:rPr>
          <w:rFonts w:ascii="Sakkal Majalla" w:cs="Sakkal Majalla" w:eastAsia="Sakkal Majalla" w:hAnsi="Sakkal Majalla"/>
          <w:sz w:val="28"/>
          <w:szCs w:val="28"/>
          <w:rtl/>
        </w:rPr>
        <w:t xml:space="preserve">وقد وصفته المحكمة بذلك صراحة استناداً إلى المادة 54 من المرسوم بقانون اتحادي رقم 42 لسنة 2022 بشأن قانون الإجراءات المدنية، إذ مثل المدعي بشخصه وقدّم المدعى عليه مذكرة جوابية.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حكم ابتدائي صادر من محكمة أول درجة: </w:t>
      </w:r>
      <w:r>
        <w:rPr>
          <w:rFonts w:ascii="Sakkal Majalla" w:cs="Sakkal Majalla" w:eastAsia="Sakkal Majalla" w:hAnsi="Sakkal Majalla"/>
          <w:sz w:val="28"/>
          <w:szCs w:val="28"/>
          <w:rtl/>
        </w:rPr>
        <w:t xml:space="preserve">وهو بهذه الصفة قابل للطعن بالطرق المقررة قانوناً، ما لم تكن قيمة الدعوى داخلة في النصاب النهائي لمحكمة أول درجة.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حكم موضوعي قطعي: </w:t>
      </w:r>
      <w:r>
        <w:rPr>
          <w:rFonts w:ascii="Sakkal Majalla" w:cs="Sakkal Majalla" w:eastAsia="Sakkal Majalla" w:hAnsi="Sakkal Majalla"/>
          <w:sz w:val="28"/>
          <w:szCs w:val="28"/>
          <w:rtl/>
        </w:rPr>
        <w:t xml:space="preserve">لأنه حسم موضوع النزاع، فقضى بفسخ العلاقة التعاقدية وبرد الدفعة المقدمة، ولم يقتصر على مسألة إجرائية أو تمهيدية.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حكم صادر بالإلزام: </w:t>
      </w:r>
      <w:r>
        <w:rPr>
          <w:rFonts w:ascii="Sakkal Majalla" w:cs="Sakkal Majalla" w:eastAsia="Sakkal Majalla" w:hAnsi="Sakkal Majalla"/>
          <w:sz w:val="28"/>
          <w:szCs w:val="28"/>
          <w:rtl/>
        </w:rPr>
        <w:t xml:space="preserve">إذ ألزم المدعى عليه بأداء مبلغ محدد مع الفائدة والرسوم والمصاريف.</w:t>
      </w:r>
    </w:p>
    <w:p>
      <w:pPr>
        <w:pStyle w:val="Heading2"/>
        <w:keepNext/>
        <w:bidi/>
        <w:spacing w:after="120" w:before="200" w:line="300"/>
        <w:jc w:val="right"/>
      </w:pPr>
      <w:r>
        <w:rPr>
          <w:rFonts w:ascii="Sakkal Majalla" w:cs="Sakkal Majalla" w:eastAsia="Sakkal Majalla" w:hAnsi="Sakkal Majalla"/>
          <w:b/>
          <w:bCs/>
          <w:color w:val="2E74B5"/>
          <w:sz w:val="31"/>
          <w:szCs w:val="31"/>
          <w:rtl/>
        </w:rPr>
        <w:t xml:space="preserve">المطلب الثاني: عناصر الحكم القضائي</w:t>
      </w:r>
    </w:p>
    <w:p>
      <w:pPr>
        <w:bidi/>
        <w:spacing w:after="120" w:line="360"/>
        <w:jc w:val="both"/>
      </w:pPr>
      <w:r>
        <w:rPr>
          <w:rFonts w:ascii="Sakkal Majalla" w:cs="Sakkal Majalla" w:eastAsia="Sakkal Majalla" w:hAnsi="Sakkal Majalla"/>
          <w:sz w:val="28"/>
          <w:szCs w:val="28"/>
          <w:rtl/>
        </w:rPr>
        <w:t xml:space="preserve">يتضمن الحكم العناصر الأربعة الأساسية التي لا يصح الحكم بدونها، وهي:</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الديباجة: </w:t>
      </w:r>
      <w:r>
        <w:rPr>
          <w:rFonts w:ascii="Sakkal Majalla" w:cs="Sakkal Majalla" w:eastAsia="Sakkal Majalla" w:hAnsi="Sakkal Majalla"/>
          <w:sz w:val="28"/>
          <w:szCs w:val="28"/>
          <w:rtl/>
        </w:rPr>
        <w:t xml:space="preserve">تضمنت صدور الحكم باسم صاحب السمو حاكم دبي، واسم المحكمة (محاكم دبي الابتدائية)، وتاريخ الجلسة العلنية (21 مارس 2023)، ورقم الدعوى (504 لسنة 2023 مدني)، والأحرف الأولى من أسماء الخصوم.</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الوقائع: </w:t>
      </w:r>
      <w:r>
        <w:rPr>
          <w:rFonts w:ascii="Sakkal Majalla" w:cs="Sakkal Majalla" w:eastAsia="Sakkal Majalla" w:hAnsi="Sakkal Majalla"/>
          <w:sz w:val="28"/>
          <w:szCs w:val="28"/>
          <w:rtl/>
        </w:rPr>
        <w:t xml:space="preserve">عرضت المحكمة طلبات المدعي وأسانيده، ومستنداته المتمثلة في عقد عرض الأسعار وصور رسائل واتساب والبريد الإلكتروني والفواتير، ثم دفاع المدعى عليه ومستنداته، وتعقيب المدعي، وحجز الدعوى للحكم بجلسة 9 مارس 2023.</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الأسباب: </w:t>
      </w:r>
      <w:r>
        <w:rPr>
          <w:rFonts w:ascii="Sakkal Majalla" w:cs="Sakkal Majalla" w:eastAsia="Sakkal Majalla" w:hAnsi="Sakkal Majalla"/>
          <w:sz w:val="28"/>
          <w:szCs w:val="28"/>
          <w:rtl/>
        </w:rPr>
        <w:t xml:space="preserve">استندت المحكمة إلى قاعدة العقد شريعة المتعاقدين (المادة 267 من قانون المعاملات المدنية)، ووجوب تنفيذ العقد بحسن نية (المادة 246)، وحق الفسخ في العقود الملزمة للجانبين (المادة 272/1)، وأثر الفسخ في إعادة المتعاقدين إلى الحالة السابقة (المادة 274)، مدعّمة ذلك بأحكام لمحكمة تمييز دبي. ثم طبقت هذه القواعد على ثبوت قبض المدعى عليه للدفعة الأولى وعدم تنفيذه العمل خلال المدة المتفق عليها.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المنطوق: </w:t>
      </w:r>
      <w:r>
        <w:rPr>
          <w:rFonts w:ascii="Sakkal Majalla" w:cs="Sakkal Majalla" w:eastAsia="Sakkal Majalla" w:hAnsi="Sakkal Majalla"/>
          <w:sz w:val="28"/>
          <w:szCs w:val="28"/>
          <w:rtl/>
        </w:rPr>
        <w:t xml:space="preserve">"حكمت المحكمة حضورياً بإلزام المدعى عليه بأن يؤدي للمدعي مبلغ 10500 درهم والفائدة القانونية عنه بواقع 9% من تاريخ المطالبة القضائية وحتى السداد التام وإلزامه بالرسوم والمصاريف".</w:t>
      </w:r>
    </w:p>
    <w:p>
      <w:pPr>
        <w:pStyle w:val="Heading1"/>
        <w:keepNext/>
        <w:bidi/>
        <w:spacing w:after="120" w:before="300" w:line="300"/>
        <w:jc w:val="right"/>
      </w:pPr>
      <w:r>
        <w:rPr>
          <w:rFonts w:ascii="Sakkal Majalla" w:cs="Sakkal Majalla" w:eastAsia="Sakkal Majalla" w:hAnsi="Sakkal Majalla"/>
          <w:b/>
          <w:bCs/>
          <w:color w:val="2E74B5"/>
          <w:sz w:val="34"/>
          <w:szCs w:val="34"/>
          <w:rtl/>
        </w:rPr>
        <w:t xml:space="preserve">المبحث الثاني: التعليق على الحكم</w:t>
      </w:r>
    </w:p>
    <w:p>
      <w:pPr>
        <w:pStyle w:val="Heading2"/>
        <w:keepNext/>
        <w:bidi/>
        <w:spacing w:after="120" w:before="200" w:line="300"/>
        <w:jc w:val="right"/>
      </w:pPr>
      <w:r>
        <w:rPr>
          <w:rFonts w:ascii="Sakkal Majalla" w:cs="Sakkal Majalla" w:eastAsia="Sakkal Majalla" w:hAnsi="Sakkal Majalla"/>
          <w:b/>
          <w:bCs/>
          <w:color w:val="2E74B5"/>
          <w:sz w:val="31"/>
          <w:szCs w:val="31"/>
          <w:rtl/>
        </w:rPr>
        <w:t xml:space="preserve">المطلب الأول: التعليق من الناحية الشكلية</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الأول: وقائع الحكم</w:t>
      </w:r>
    </w:p>
    <w:p>
      <w:pPr>
        <w:bidi/>
        <w:spacing w:after="120" w:line="360"/>
        <w:jc w:val="both"/>
      </w:pPr>
      <w:r>
        <w:rPr>
          <w:rFonts w:ascii="Sakkal Majalla" w:cs="Sakkal Majalla" w:eastAsia="Sakkal Majalla" w:hAnsi="Sakkal Majalla"/>
          <w:sz w:val="28"/>
          <w:szCs w:val="28"/>
          <w:rtl/>
        </w:rPr>
        <w:t xml:space="preserve">تعاقد المدعي مع منشأة تعمل في النجارة والديكور، ممثلة بصاحبها (المدعى عليه)، لتنفيذ أعمال إغلاق شرفة في فيلته بمنطقة دبي هيلز. وأرسل المدعى عليه العقد وعرض السعر إلى المدعي عبر تطبيق واتساب بتاريخ 31 يوليو 2022، وطلب منه دفعة أولى. وتضمن العرض وصف الأعمال، وأن قيمتها الإجمالية 13000 درهم، وأن الدفعة الأولى 10000 درهم، وأن مدة الإنجاز خمسة عشر يوماً من تاريخ استلامها.</w:t>
      </w:r>
    </w:p>
    <w:p>
      <w:pPr>
        <w:bidi/>
        <w:spacing w:after="120" w:line="360"/>
        <w:jc w:val="both"/>
      </w:pPr>
      <w:r>
        <w:rPr>
          <w:rFonts w:ascii="Sakkal Majalla" w:cs="Sakkal Majalla" w:eastAsia="Sakkal Majalla" w:hAnsi="Sakkal Majalla"/>
          <w:sz w:val="28"/>
          <w:szCs w:val="28"/>
          <w:rtl/>
        </w:rPr>
        <w:t xml:space="preserve">حوّل المدعي إلى المدعى عليه مبلغ 10500 درهم، فحضر الأخير لأخذ المقاسات، ثم انقطع عن التواصل ولم ينفذ الأعمال. كما أرسل المدعى عليه للمدعي رخصة تجارية لشركة أخرى قال إنها لشريكه، لاستخراج موافقة إدارة المجمع. وسدّد المدعي لشركة إدارة المجمع مبلغ 7003.40 درهم مقابل الموافقات اللازمة للأعمال.</w:t>
      </w:r>
    </w:p>
    <w:p>
      <w:pPr>
        <w:bidi/>
        <w:spacing w:after="120" w:line="360"/>
        <w:jc w:val="both"/>
      </w:pPr>
      <w:r>
        <w:rPr>
          <w:rFonts w:ascii="Sakkal Majalla" w:cs="Sakkal Majalla" w:eastAsia="Sakkal Majalla" w:hAnsi="Sakkal Majalla"/>
          <w:sz w:val="28"/>
          <w:szCs w:val="28"/>
          <w:rtl/>
        </w:rPr>
        <w:t xml:space="preserve">وبعد مرور سبعة عشر يوماً على التحويل أرسل المدعي للمدعى عليه رسالة يطلب فيها إيقاف العمل واسترداد الدفعة. ثم تقدم بشكوى إلى إدارة حماية المستهلك في دبي، التي تعذر عليها التواصل مع المدعى عليه، كما تعذّر على المصرف استرداد المبلغ دون موافقة صاحب الحساب المحوَّل إليه.</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الثاني: الإجراءات</w:t>
      </w:r>
    </w:p>
    <w:p>
      <w:pPr>
        <w:bidi/>
        <w:spacing w:after="120" w:line="360"/>
        <w:jc w:val="both"/>
      </w:pPr>
      <w:r>
        <w:rPr>
          <w:rFonts w:ascii="Sakkal Majalla" w:cs="Sakkal Majalla" w:eastAsia="Sakkal Majalla" w:hAnsi="Sakkal Majalla"/>
          <w:sz w:val="28"/>
          <w:szCs w:val="28"/>
          <w:rtl/>
        </w:rPr>
        <w:t xml:space="preserve">اتخذت القضية الإجراءات التالية: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قيد الدعوى: </w:t>
      </w:r>
      <w:r>
        <w:rPr>
          <w:rFonts w:ascii="Sakkal Majalla" w:cs="Sakkal Majalla" w:eastAsia="Sakkal Majalla" w:hAnsi="Sakkal Majalla"/>
          <w:sz w:val="28"/>
          <w:szCs w:val="28"/>
          <w:rtl/>
        </w:rPr>
        <w:t xml:space="preserve">أقام المدعي دعواه بصحيفة مودعة إلكترونياً بتاريخ 7 فبراير 2023، طالباً إلزام المدعى عليه بمبلغ 17503.40 درهم، وهو مجموع الدفعة المقدمة ومبلغ الموافقات، مع الفائدة بواقع 9% من تاريخ الاستحقاق.</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مكتب إدارة الدعوى والجلسات: </w:t>
      </w:r>
      <w:r>
        <w:rPr>
          <w:rFonts w:ascii="Sakkal Majalla" w:cs="Sakkal Majalla" w:eastAsia="Sakkal Majalla" w:hAnsi="Sakkal Majalla"/>
          <w:sz w:val="28"/>
          <w:szCs w:val="28"/>
          <w:rtl/>
        </w:rPr>
        <w:t xml:space="preserve">تداولت الدعوى أمام مكتب إدارة الدعوى ثم أمام المحكمة، ومثل المدعي بشخصه، وقدم المدعى عليه مذكرة جوابية ومستندات، ثم عقّب المدعي بمذكرة.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حجز الدعوى والحكم: </w:t>
      </w:r>
      <w:r>
        <w:rPr>
          <w:rFonts w:ascii="Sakkal Majalla" w:cs="Sakkal Majalla" w:eastAsia="Sakkal Majalla" w:hAnsi="Sakkal Majalla"/>
          <w:sz w:val="28"/>
          <w:szCs w:val="28"/>
          <w:rtl/>
        </w:rPr>
        <w:t xml:space="preserve">قررت المحكمة بجلسة 9 مارس 2023 حجز الدعوى للحكم، وأصدرت حكمها بجلسة 21 مارس 2023، أي بعد نحو ستة أسابيع من قيدها.</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الثالث: ادعاءات الخصوم</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المدعي (المستهلك): </w:t>
      </w:r>
      <w:r>
        <w:rPr>
          <w:rFonts w:ascii="Sakkal Majalla" w:cs="Sakkal Majalla" w:eastAsia="Sakkal Majalla" w:hAnsi="Sakkal Majalla"/>
          <w:sz w:val="28"/>
          <w:szCs w:val="28"/>
          <w:rtl/>
        </w:rPr>
        <w:t xml:space="preserve">تمسك بأنه أوفى بالتزامه بسداد الدفعة الأولى، وأن المدعى عليه قبضها وامتنع عن التنفيذ دون مبرر وتهرّب من التواصل، بما يكشف سوء نيته. وطلب رد الدفعة ومبلغ الموافقات مع الفائدة، مستدلاً بعقد عرض الأسعار ورسائل واتساب والبريد الإلكتروني والإيصالات.</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المدعى عليه (المزوّد): </w:t>
      </w:r>
      <w:r>
        <w:rPr>
          <w:rFonts w:ascii="Sakkal Majalla" w:cs="Sakkal Majalla" w:eastAsia="Sakkal Majalla" w:hAnsi="Sakkal Majalla"/>
          <w:sz w:val="28"/>
          <w:szCs w:val="28"/>
          <w:rtl/>
        </w:rPr>
        <w:t xml:space="preserve">طلب رفض الدعوى، ومخاطبة المصرف لرفع الحجز عن المبلغ المحوّل، وإلزام المدعي بمبلغ 4200 درهم قال إنه أنفقه على إعداد المخططات. واحتج بأنه استخرج الموافقات بتاريخ 27 يوليو 2022 قبل استلام أي مبلغ، بما يدل على حرصه على التنفيذ، وقدّم رسالة واتساب من المدعي يطلب فيها إيقاف العمل.</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الرابع: تحديد الشكل القانوني للمسألة</w:t>
      </w:r>
    </w:p>
    <w:p>
      <w:pPr>
        <w:bidi/>
        <w:spacing w:after="120" w:line="360"/>
        <w:jc w:val="both"/>
      </w:pPr>
      <w:r>
        <w:rPr>
          <w:rFonts w:ascii="Sakkal Majalla" w:cs="Sakkal Majalla" w:eastAsia="Sakkal Majalla" w:hAnsi="Sakkal Majalla"/>
          <w:sz w:val="28"/>
          <w:szCs w:val="28"/>
          <w:rtl/>
        </w:rPr>
        <w:t xml:space="preserve">يمكن صياغة الإشكالية القانونية التي عرضت على المحكمة على النحو التالي:</w:t>
      </w:r>
    </w:p>
    <w:p>
      <w:pPr>
        <w:bidi/>
        <w:spacing w:after="120" w:line="360"/>
        <w:jc w:val="both"/>
      </w:pPr>
      <w:r>
        <w:rPr>
          <w:rFonts w:ascii="Sakkal Majalla" w:cs="Sakkal Majalla" w:eastAsia="Sakkal Majalla" w:hAnsi="Sakkal Majalla"/>
          <w:b/>
          <w:bCs/>
          <w:sz w:val="28"/>
          <w:szCs w:val="28"/>
          <w:rtl/>
        </w:rPr>
        <w:t xml:space="preserve">"إذا أُبرم عقد بين مستهلك ومزوّد خدمة عبر تطبيق واتساب، وسدّد المستهلك دفعة مقدمة بتحويل بنكي، ثم امتنع المزوّد عن التنفيذ في المدة المتفق عليها، فهل يحق للمستهلك طلب فسخ العقد واسترداد ما دفعه، وهل يمتد حقه إلى استرداد المبالغ التي أنفقها لدى الغير تحضيراً للتنفيذ؟"</w:t>
      </w:r>
    </w:p>
    <w:p>
      <w:pPr>
        <w:bidi/>
        <w:spacing w:after="120" w:line="360"/>
        <w:jc w:val="both"/>
      </w:pPr>
      <w:r>
        <w:rPr>
          <w:rFonts w:ascii="Sakkal Majalla" w:cs="Sakkal Majalla" w:eastAsia="Sakkal Majalla" w:hAnsi="Sakkal Majalla"/>
          <w:sz w:val="28"/>
          <w:szCs w:val="28"/>
          <w:rtl/>
        </w:rPr>
        <w:t xml:space="preserve">وقد أجابت المحكمة بأن الإخلال ثابت والفسخ مستحق، فقضت برد الدفعة المقدمة مع الفائدة. ورفضت طلب استرداد مبلغ الموافقات لخروجه عن نطاق العقد محل النزاع.</w:t>
      </w:r>
    </w:p>
    <w:p>
      <w:pPr>
        <w:pStyle w:val="Heading2"/>
        <w:keepNext/>
        <w:bidi/>
        <w:spacing w:after="120" w:before="200" w:line="300"/>
        <w:jc w:val="right"/>
      </w:pPr>
      <w:r>
        <w:rPr>
          <w:rFonts w:ascii="Sakkal Majalla" w:cs="Sakkal Majalla" w:eastAsia="Sakkal Majalla" w:hAnsi="Sakkal Majalla"/>
          <w:b/>
          <w:bCs/>
          <w:color w:val="2E74B5"/>
          <w:sz w:val="31"/>
          <w:szCs w:val="31"/>
          <w:rtl/>
        </w:rPr>
        <w:t xml:space="preserve">المطلب الثاني: التعليق من الناحية الموضوعية (تحليل الحل القضائي)</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الأول: موقف الحل بالنسبة للنصوص القانونية</w:t>
      </w:r>
    </w:p>
    <w:p>
      <w:pPr>
        <w:bidi/>
        <w:spacing w:after="120" w:line="360"/>
        <w:jc w:val="both"/>
      </w:pPr>
      <w:r>
        <w:rPr>
          <w:rFonts w:ascii="Sakkal Majalla" w:cs="Sakkal Majalla" w:eastAsia="Sakkal Majalla" w:hAnsi="Sakkal Majalla"/>
          <w:sz w:val="28"/>
          <w:szCs w:val="28"/>
          <w:rtl/>
        </w:rPr>
        <w:t xml:space="preserve">استند الحكم إلى القواعد العامة في قانون المعاملات المدنية، وهي قواعد صحيحة في ذاتها وتكفي لحمل النتيجة التي انتهى إليها. فالعقد ملزم للجانبين، وقد أوفى المدعي بالتزامه وأخلّ المدعى عليه بالتزامه دون مبرر، فتحقق مناط الفسخ وفق المادة 272/1، وترتب عليه رد ما قبضه المدعى عليه وفق المادة 274. كما أصابت المحكمة في احتساب الفائدة من تاريخ المطالبة القضائية، لأن المبلغ معلوم المقدار ولا يخضع لتقديرها.</w:t>
      </w:r>
    </w:p>
    <w:p>
      <w:pPr>
        <w:bidi/>
        <w:spacing w:after="120" w:line="360"/>
        <w:jc w:val="both"/>
      </w:pPr>
      <w:r>
        <w:rPr>
          <w:rFonts w:ascii="Sakkal Majalla" w:cs="Sakkal Majalla" w:eastAsia="Sakkal Majalla" w:hAnsi="Sakkal Majalla"/>
          <w:sz w:val="28"/>
          <w:szCs w:val="28"/>
          <w:rtl/>
        </w:rPr>
        <w:t xml:space="preserve">غير أن الحكم اكتفى بهذه القواعد العامة، ولم يتعرض لثلاث مجموعات من النصوص الخاصة كانت ذات صلة مباشرة بالنزاع:</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أحكام عقد المقاولة: </w:t>
      </w:r>
      <w:r>
        <w:rPr>
          <w:rFonts w:ascii="Sakkal Majalla" w:cs="Sakkal Majalla" w:eastAsia="Sakkal Majalla" w:hAnsi="Sakkal Majalla"/>
          <w:sz w:val="28"/>
          <w:szCs w:val="28"/>
          <w:rtl/>
        </w:rPr>
        <w:t xml:space="preserve">فالعقد محل النزاع يتعهد فيه أحد الطرفين بأداء عمل لقاء بدل، وهو بذلك عقد مقاولة وفق المادة 872 وما بعدها من قانون المعاملات المدنية. ولم تُكيّف المحكمة العقد صراحة، واكتفت بوصفه "علاقة تعاقدية".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قانون حماية المستهلك: </w:t>
      </w:r>
      <w:r>
        <w:rPr>
          <w:rFonts w:ascii="Sakkal Majalla" w:cs="Sakkal Majalla" w:eastAsia="Sakkal Majalla" w:hAnsi="Sakkal Majalla"/>
          <w:sz w:val="28"/>
          <w:szCs w:val="28"/>
          <w:rtl/>
        </w:rPr>
        <w:t xml:space="preserve">فالمدعي تعاقد لإشباع حاجة شخصية في مسكنه، فهو مستهلك، والمدعى عليه مقدّم خدمة، فهو مزوّد بمفهوم القانون الاتحادي رقم 15 لسنة 2020. وقد لجأ المدعي فعلاً إلى إدارة حماية المستهلك قبل رفع الدعوى، وورد ذلك في وقائع الحكم، دون أن تتعرض له الأسباب.</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تشريعات التعامل الإلكتروني: </w:t>
      </w:r>
      <w:r>
        <w:rPr>
          <w:rFonts w:ascii="Sakkal Majalla" w:cs="Sakkal Majalla" w:eastAsia="Sakkal Majalla" w:hAnsi="Sakkal Majalla"/>
          <w:sz w:val="28"/>
          <w:szCs w:val="28"/>
          <w:rtl/>
        </w:rPr>
        <w:t xml:space="preserve">فالعقد أُرسل ووافق عليه الطرفان عبر تطبيق واتساب، وكان المرسوم بقانون اتحادي رقم 46 لسنة 2021 بشأن المعاملات الإلكترونية وخدمات الثقة نافذاً وقت التعاقد في يوليو 2022. كما كان قانون الإثبات الصادر بالمرسوم بقانون اتحادي رقم 35 لسنة 2022 نافذاً وقت قيد الدعوى، وهو يعدّ المراسلات الإلكترونية دليلاً إلكترونياً (المادة 54) له حكم الإثبات بالكتابة (المادة 55).</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الثاني: التعاقد عبر واتساب بين القواعد العامة وقواعد التعامل الإلكتروني</w:t>
      </w:r>
    </w:p>
    <w:p>
      <w:pPr>
        <w:bidi/>
        <w:spacing w:after="120" w:line="360"/>
        <w:jc w:val="both"/>
      </w:pPr>
      <w:r>
        <w:rPr>
          <w:rFonts w:ascii="Sakkal Majalla" w:cs="Sakkal Majalla" w:eastAsia="Sakkal Majalla" w:hAnsi="Sakkal Majalla"/>
          <w:sz w:val="28"/>
          <w:szCs w:val="28"/>
          <w:rtl/>
        </w:rPr>
        <w:t xml:space="preserve">يُظهر الجدول التالي الفرق بين الأساس الذي بنت عليه المحكمة قضاءها، والأساس الخاص الذي كان متاحاً لها في كل مسألة من مسائل النزاع:</w:t>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3700"/>
        <w:gridCol w:w="1900"/>
      </w:tblGrid>
      <w:tr>
        <w:trPr>
          <w:cantSplit/>
          <w:tblHeader/>
        </w:trPr>
        <w:tc>
          <w:tcPr>
            <w:tcW w:type="dxa" w:w="4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ما كان يمكن الاستناد إليه أيضاً</w:t>
            </w:r>
          </w:p>
        </w:tc>
        <w:tc>
          <w:tcPr>
            <w:tcW w:type="dxa" w:w="3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ما طبقته المحكمة</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المسألة</w:t>
            </w:r>
          </w:p>
        </w:tc>
      </w:tr>
      <w:tr>
        <w:trPr>
          <w:cantSplit/>
          <w:tblHeader w:val="off"/>
        </w:trPr>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جواز التعبير عن الإيجاب والقبول بالمراسلات الإلكترونية وفق المرسوم بقانون 46 لسنة 2021</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القواعد العامة في التراضي (المادة 256 معاملات مدنية)، دون التعرض لوسيلة التعاقد</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انعقاد العقد</w:t>
            </w:r>
          </w:p>
        </w:tc>
      </w:tr>
      <w:tr>
        <w:trPr>
          <w:cantSplit/>
          <w:tblHeader w:val="off"/>
        </w:trPr>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عقد مقاولة (المادة 872 وما بعدها معاملات مدنية)</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"علاقة تعاقدية" دون تكييف</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تكييف العقد</w:t>
            </w:r>
          </w:p>
        </w:tc>
      </w:tr>
      <w:tr>
        <w:trPr>
          <w:cantSplit/>
          <w:tblHeader w:val="off"/>
        </w:trPr>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المواد 53 إلى 55 من قانون الإثبات: المراسلة الإلكترونية دليل له حكم الكتابة</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مطالعة عقد عرض الأسعار ضمن المستندات، دون بيان قيمة نسخته المرسلة عبر واتساب</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إثبات العقد</w:t>
            </w:r>
          </w:p>
        </w:tc>
      </w:tr>
      <w:tr>
        <w:trPr>
          <w:cantSplit/>
          <w:tblHeader w:val="off"/>
        </w:trPr>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مستهلك ومزوّد وفق القانون 15 لسنة 2020</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متعاقدان عاديان</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صفة الأطراف</w:t>
            </w:r>
          </w:p>
        </w:tc>
      </w:tr>
      <w:tr>
        <w:trPr>
          <w:cantSplit/>
          <w:tblHeader w:val="off"/>
        </w:trPr>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الجزاء ذاته، مع إمكان بحث التعويض عن الضرر ومسؤولية المزوّد وفق قانون حماية المستهلك</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الفسخ ورد الدفعة مع فائدة 9%</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الجزاء</w:t>
            </w:r>
          </w:p>
        </w:tc>
      </w:tr>
    </w:tbl>
    <w:p>
      <w:pPr>
        <w:bidi/>
        <w:spacing w:after="60" w:line="360"/>
        <w:jc w:val="both"/>
      </w:pPr>
      <w:r>
        <w:rPr>
          <w:rFonts w:ascii="Sakkal Majalla" w:cs="Sakkal Majalla" w:eastAsia="Sakkal Majalla" w:hAnsi="Sakkal Majalla"/>
          <w:sz w:val="28"/>
          <w:szCs w:val="28"/>
          <w:rtl/>
        </w:rPr>
        <w:t xml:space="preserve"/>
      </w:r>
    </w:p>
    <w:p>
      <w:pPr>
        <w:bidi/>
        <w:spacing w:after="120" w:line="360"/>
        <w:jc w:val="both"/>
      </w:pPr>
      <w:r>
        <w:rPr>
          <w:rFonts w:ascii="Sakkal Majalla" w:cs="Sakkal Majalla" w:eastAsia="Sakkal Majalla" w:hAnsi="Sakkal Majalla"/>
          <w:sz w:val="28"/>
          <w:szCs w:val="28"/>
          <w:rtl/>
        </w:rPr>
        <w:t xml:space="preserve">ويتبين من الجدول أن النتيجة التي انتهت إليها المحكمة صحيحة، وأن القواعد العامة كانت تكفي لحملها. لكن الحكم فوّت فرصة تأصيل التعاقد الإلكتروني الاستهلاكي. فلو أشار إلى أن العقد المبرم عبر واتساب صحيح ومنتج لآثاره، وأن نسخته الإلكترونية لها حجية الكتابة، لكان أكثر فائدة كسابقة قضائية. ويُفسَّر هذا الاكتفاء بأن المدعى عليه لم ينازع في انعقاد العقد ولا في صحة المراسلات، بل احتج هو نفسه برسالة واتساب، فلم تكن المسألة محل خلاف.</w:t>
      </w:r>
    </w:p>
    <w:p>
      <w:pPr>
        <w:bidi/>
        <w:spacing w:after="120" w:line="360"/>
        <w:jc w:val="both"/>
      </w:pPr>
      <w:r>
        <w:rPr>
          <w:rFonts w:ascii="Sakkal Majalla" w:cs="Sakkal Majalla" w:eastAsia="Sakkal Majalla" w:hAnsi="Sakkal Majalla"/>
          <w:sz w:val="28"/>
          <w:szCs w:val="28"/>
          <w:rtl/>
        </w:rPr>
        <w:t xml:space="preserve">ومن زاوية حماية المستهلك، تكشف الوقائع أن المزوّد استعمل رخصة تجارية لشركة أخرى، وقبض الثمن مقدماً ثم انقطع عن التواصل. وهذه الوقائع كانت تستحق الإشارة إلى التزامات المزوّد بالإفصاح عن هويته وترخيصه، لأنها من أهم ضمانات المستهلك في التعاقد عن بعد، حيث لا يلتقي الطرفان ولا يتحقق المستهلك بنفسه من صفة من يتعامل معه.</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الثالث: تحليل مقارن مع اجتهاد قضائي مماثل</w:t>
      </w:r>
    </w:p>
    <w:p>
      <w:pPr>
        <w:bidi/>
        <w:spacing w:after="120" w:line="360"/>
        <w:jc w:val="both"/>
      </w:pPr>
      <w:r>
        <w:rPr>
          <w:rFonts w:ascii="Sakkal Majalla" w:cs="Sakkal Majalla" w:eastAsia="Sakkal Majalla" w:hAnsi="Sakkal Majalla"/>
          <w:sz w:val="28"/>
          <w:szCs w:val="28"/>
          <w:rtl/>
        </w:rPr>
        <w:t xml:space="preserve">لاختبار مدى اتساق هذا الحكم مع اتجاه القضاء الإماراتي في المنازعات الناشئة عن التعاقد عبر تطبيقات المحادثة، يمكن مقارنته بحكمين حديثين نُشرت أسبابهما: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الحكم المقارن الأول: </w:t>
      </w:r>
      <w:r>
        <w:rPr>
          <w:rFonts w:ascii="Sakkal Majalla" w:cs="Sakkal Majalla" w:eastAsia="Sakkal Majalla" w:hAnsi="Sakkal Majalla"/>
          <w:sz w:val="28"/>
          <w:szCs w:val="28"/>
          <w:rtl/>
        </w:rPr>
        <w:t xml:space="preserve">حكم المحكمة المدنية الابتدائية في دبي في نزاع على بيع مركبة ولوحة مميزة بمبلغ 1.3 مليون درهم، نُشر ملخصه في صحيفة الإمارات اليوم بتاريخ 23 أغسطس 2026. وقد انعقد البيع برسالة واتساب من المشتري يسأل فيها "هل يوجد تأكيد؟" فرد البائع "نعم.. تم التأكيد"، ثم سدّد المشتري الثمن بشيك صُرف في اليوم التالي.</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الحكم المقارن الثاني: </w:t>
      </w:r>
      <w:r>
        <w:rPr>
          <w:rFonts w:ascii="Sakkal Majalla" w:cs="Sakkal Majalla" w:eastAsia="Sakkal Majalla" w:hAnsi="Sakkal Majalla"/>
          <w:sz w:val="28"/>
          <w:szCs w:val="28"/>
          <w:rtl/>
        </w:rPr>
        <w:t xml:space="preserve">حكم محكمة العين للدعاوى المدنية والتجارية والإدارية في نزاع على مقدم ثمن مركبة قدره 10000 درهم، نُشر ملخصه في صحيفة الإمارات اليوم بتاريخ 11 أغسطس 2026. وقد قضت المحكمة بفسخ العقد الشفوي ورد المقدم، لأن البائع أخفى المسافة الحقيقية المقطوعة وحوادث المركبة.</w:t>
      </w:r>
    </w:p>
    <w:p>
      <w:pPr>
        <w:bidi/>
        <w:spacing w:after="60" w:line="360"/>
        <w:jc w:val="both"/>
      </w:pPr>
      <w:r>
        <w:rPr>
          <w:rFonts w:ascii="Sakkal Majalla" w:cs="Sakkal Majalla" w:eastAsia="Sakkal Majalla" w:hAnsi="Sakkal Majalla"/>
          <w:sz w:val="28"/>
          <w:szCs w:val="28"/>
          <w:rtl/>
        </w:rPr>
        <w:t xml:space="preserve"/>
      </w:r>
    </w:p>
    <w:tbl>
      <w:tblPr>
        <w:bidiVisual/>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500"/>
        <w:gridCol w:w="1900"/>
      </w:tblGrid>
      <w:tr>
        <w:trPr>
          <w:cantSplit/>
          <w:tblHeader/>
        </w:trPr>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حكم العين (مقدم 10000 درهم)</w:t>
            </w:r>
          </w:p>
        </w:tc>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حكم دبي (مركبة 1.3 مليون درهم)</w:t>
            </w:r>
          </w:p>
        </w:tc>
        <w:tc>
          <w:tcPr>
            <w:tcW w:type="dxa" w:w="2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حكم دبي (504 لسنة 2023 مدني)</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عنصر المقارنة</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اتفاق شفوي ومراسلات هاتفية</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رسائل واتساب متبادلة</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عرض سعر وعقد مرسلان عبر واتساب</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وسيلة التعاقد</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بائع ومشترٍ</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بائع ومشترٍ</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مستهلك ومزوّد خدمة</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طبيعة العلاقة</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لا، والخلاف في المواصفات</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نعم، ودُفع بالصورية</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لا</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هل نوزع في انعقاد العقد؟</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اكتفت المحكمة بإقرار البائع</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ندب خبير تقنية معلومات استخرج المحادثة وأثبت صحتها</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لم يُطلب، لعدم المنازعة</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التحقق من الدليل الإلكتروني</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المادة 1 من قانون الإثبات 35 لسنة 2022</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أحكام الإيجاب والقبول، والتعبير عن الإرادة بالكتابة</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المواد 246 و256 و267 و272 و274 معاملات مدنية</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الأساس القانوني المعلن</w:t>
            </w:r>
          </w:p>
        </w:tc>
      </w:tr>
      <w:tr>
        <w:trPr>
          <w:cantSplit/>
          <w:tblHeader w:val="off"/>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فسخ ورد المقدم، ورفض التعويض لعدم إثبات الضرر</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إلزام البائع بالتسليم ونقل الملكية</w:t>
            </w:r>
          </w:p>
        </w:tc>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spacing w:after="0" w:line="276"/>
              <w:jc w:val="right"/>
            </w:pPr>
            <w:r>
              <w:rPr>
                <w:rFonts w:ascii="Sakkal Majalla" w:cs="Sakkal Majalla" w:eastAsia="Sakkal Majalla" w:hAnsi="Sakkal Majalla"/>
                <w:b w:val="false"/>
                <w:sz w:val="24"/>
                <w:szCs w:val="24"/>
                <w:rtl/>
              </w:rPr>
              <w:t xml:space="preserve">فسخ ورد المقدم مع فائدة 9%</w:t>
            </w:r>
          </w:p>
        </w:tc>
        <w:tc>
          <w:tcPr>
            <w:tcW w:type="dxa" w:w="1900"/>
            <w:tcBorders>
              <w:top w:val="single" w:color="8EA9DB" w:sz="4"/>
              <w:left w:val="single" w:color="8EA9DB" w:sz="4"/>
              <w:bottom w:val="single" w:color="8EA9DB" w:sz="4"/>
              <w:right w:val="single" w:color="8EA9DB" w:sz="4"/>
            </w:tcBorders>
            <w:shd w:fill="F2F6FC" w:color="auto" w:val="clear"/>
            <w:tcMar>
              <w:top w:type="dxa" w:w="60"/>
              <w:left w:type="dxa" w:w="100"/>
              <w:bottom w:type="dxa" w:w="60"/>
              <w:right w:type="dxa" w:w="100"/>
            </w:tcMar>
          </w:tcPr>
          <w:p>
            <w:pPr>
              <w:bidi/>
              <w:spacing w:after="0" w:line="276"/>
              <w:jc w:val="right"/>
            </w:pPr>
            <w:r>
              <w:rPr>
                <w:rFonts w:ascii="Sakkal Majalla" w:cs="Sakkal Majalla" w:eastAsia="Sakkal Majalla" w:hAnsi="Sakkal Majalla"/>
                <w:b/>
                <w:bCs/>
                <w:sz w:val="24"/>
                <w:szCs w:val="24"/>
                <w:rtl/>
              </w:rPr>
              <w:t xml:space="preserve">النتيجة</w:t>
            </w:r>
          </w:p>
        </w:tc>
      </w:tr>
    </w:tbl>
    <w:p>
      <w:pPr>
        <w:bidi/>
        <w:spacing w:after="60" w:line="360"/>
        <w:jc w:val="both"/>
      </w:pPr>
      <w:r>
        <w:rPr>
          <w:rFonts w:ascii="Sakkal Majalla" w:cs="Sakkal Majalla" w:eastAsia="Sakkal Majalla" w:hAnsi="Sakkal Majalla"/>
          <w:sz w:val="28"/>
          <w:szCs w:val="28"/>
          <w:rtl/>
        </w:rPr>
        <w:t xml:space="preserve"/>
      </w:r>
    </w:p>
    <w:p>
      <w:pPr>
        <w:bidi/>
        <w:spacing w:after="60" w:line="360"/>
        <w:jc w:val="both"/>
      </w:pPr>
      <w:r>
        <w:rPr>
          <w:rFonts w:ascii="Sakkal Majalla" w:cs="Sakkal Majalla" w:eastAsia="Sakkal Majalla" w:hAnsi="Sakkal Majalla"/>
          <w:b/>
          <w:bCs/>
          <w:sz w:val="28"/>
          <w:szCs w:val="28"/>
          <w:rtl/>
        </w:rPr>
        <w:t xml:space="preserve">التحليل المقارن</w:t>
      </w:r>
    </w:p>
    <w:p>
      <w:pPr>
        <w:bidi/>
        <w:spacing w:after="60" w:line="360"/>
        <w:jc w:val="both"/>
      </w:pPr>
      <w:r>
        <w:rPr>
          <w:rFonts w:ascii="Sakkal Majalla" w:cs="Sakkal Majalla" w:eastAsia="Sakkal Majalla" w:hAnsi="Sakkal Majalla"/>
          <w:b/>
          <w:bCs/>
          <w:sz w:val="28"/>
          <w:szCs w:val="28"/>
          <w:rtl/>
        </w:rPr>
        <w:t xml:space="preserve">أولاً: نقاط الاتفاق:</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الاعتراف بالتعاقد عبر تطبيقات المحادثة: </w:t>
      </w:r>
      <w:r>
        <w:rPr>
          <w:rFonts w:ascii="Sakkal Majalla" w:cs="Sakkal Majalla" w:eastAsia="Sakkal Majalla" w:hAnsi="Sakkal Majalla"/>
          <w:sz w:val="28"/>
          <w:szCs w:val="28"/>
          <w:rtl/>
        </w:rPr>
        <w:t xml:space="preserve">تتفق الأحكام الثلاثة على أن العقد ينعقد صحيحاً بالمراسلات عبر واتساب، دون اشتراط محرر ورقي موقع.</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أثر الإخلال: </w:t>
      </w:r>
      <w:r>
        <w:rPr>
          <w:rFonts w:ascii="Sakkal Majalla" w:cs="Sakkal Majalla" w:eastAsia="Sakkal Majalla" w:hAnsi="Sakkal Majalla"/>
          <w:sz w:val="28"/>
          <w:szCs w:val="28"/>
          <w:rtl/>
        </w:rPr>
        <w:t xml:space="preserve">تتفق الأحكام على أن إخلال أحد المتعاقدين بالتزامه دون مبرر يجيز للآخر طلب الفسخ أو التنفيذ، وأن الفسخ يعيد الطرفين إلى الحالة السابقة على التعاقد.</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الاعتداد بوسائل الدفع الإلكترونية: </w:t>
      </w:r>
      <w:r>
        <w:rPr>
          <w:rFonts w:ascii="Sakkal Majalla" w:cs="Sakkal Majalla" w:eastAsia="Sakkal Majalla" w:hAnsi="Sakkal Majalla"/>
          <w:sz w:val="28"/>
          <w:szCs w:val="28"/>
          <w:rtl/>
        </w:rPr>
        <w:t xml:space="preserve">عُدّ التحويل البنكي أو صرف الشيك في كل منها قرينة على انعقاد العقد وتنفيذ المشتري لالتزامه.</w:t>
      </w:r>
    </w:p>
    <w:p>
      <w:pPr>
        <w:bidi/>
        <w:spacing w:after="60" w:line="360"/>
        <w:jc w:val="both"/>
      </w:pPr>
      <w:r>
        <w:rPr>
          <w:rFonts w:ascii="Sakkal Majalla" w:cs="Sakkal Majalla" w:eastAsia="Sakkal Majalla" w:hAnsi="Sakkal Majalla"/>
          <w:b/>
          <w:bCs/>
          <w:sz w:val="28"/>
          <w:szCs w:val="28"/>
          <w:rtl/>
        </w:rPr>
        <w:t xml:space="preserve">ثانياً: نقاط الاختلاف:</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درجة التأصيل: </w:t>
      </w:r>
      <w:r>
        <w:rPr>
          <w:rFonts w:ascii="Sakkal Majalla" w:cs="Sakkal Majalla" w:eastAsia="Sakkal Majalla" w:hAnsi="Sakkal Majalla"/>
          <w:sz w:val="28"/>
          <w:szCs w:val="28"/>
          <w:rtl/>
        </w:rPr>
        <w:t xml:space="preserve">حكم المركبة كان أكثر وضوحاً، إذ قرر صراحة أن التعبير عن الإرادة يكون بالكتابة كما يكون باللفظ، وكيّف رسالة البائع بأنها قبول. أما الحكم محل التعليق فلم يتعرض لوسيلة التعاقد إطلاقاً.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التحقق الفني: </w:t>
      </w:r>
      <w:r>
        <w:rPr>
          <w:rFonts w:ascii="Sakkal Majalla" w:cs="Sakkal Majalla" w:eastAsia="Sakkal Majalla" w:hAnsi="Sakkal Majalla"/>
          <w:sz w:val="28"/>
          <w:szCs w:val="28"/>
          <w:rtl/>
        </w:rPr>
        <w:t xml:space="preserve">لجأت المحكمة في حكم المركبة إلى خبير تقنية معلومات لأن الانعقاد كان محل منازعة. بينما لم تحتج المحكمة في الحكم محل التعليق إلى ذلك، لأن المدعى عليه لم ينكر المراسلات، بل استدل بها.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الاستناد إلى قانون الإثبات الجديد: </w:t>
      </w:r>
      <w:r>
        <w:rPr>
          <w:rFonts w:ascii="Sakkal Majalla" w:cs="Sakkal Majalla" w:eastAsia="Sakkal Majalla" w:hAnsi="Sakkal Majalla"/>
          <w:sz w:val="28"/>
          <w:szCs w:val="28"/>
          <w:rtl/>
        </w:rPr>
        <w:t xml:space="preserve">استند حكم العين صراحة إلى المادة 1 من قانون الإثبات رقم 35 لسنة 2022 في توزيع عبء الإثبات، بينما خلت أسباب الحكم محل التعليق من أي إشارة إلى هذا القانون، رغم نفاذه وقت قيد الدعوى.</w:t>
      </w:r>
    </w:p>
    <w:p>
      <w:pPr>
        <w:bidi/>
        <w:spacing w:after="60" w:line="360"/>
        <w:jc w:val="both"/>
      </w:pPr>
      <w:r>
        <w:rPr>
          <w:rFonts w:ascii="Sakkal Majalla" w:cs="Sakkal Majalla" w:eastAsia="Sakkal Majalla" w:hAnsi="Sakkal Majalla"/>
          <w:b/>
          <w:bCs/>
          <w:sz w:val="28"/>
          <w:szCs w:val="28"/>
          <w:rtl/>
        </w:rPr>
        <w:t xml:space="preserve">ثالثاً: تعليق شخصي:</w:t>
      </w:r>
    </w:p>
    <w:p>
      <w:pPr>
        <w:bidi/>
        <w:spacing w:after="120" w:line="360"/>
        <w:jc w:val="both"/>
      </w:pPr>
      <w:r>
        <w:rPr>
          <w:rFonts w:ascii="Sakkal Majalla" w:cs="Sakkal Majalla" w:eastAsia="Sakkal Majalla" w:hAnsi="Sakkal Majalla"/>
          <w:sz w:val="28"/>
          <w:szCs w:val="28"/>
          <w:rtl/>
        </w:rPr>
        <w:t xml:space="preserve">لا يعكس هذا الاختلاف تبايناً في المبادئ، بل يعكس اختلاف ما طُرح على كل محكمة. فحيث نوزع في انعقاد العقد أو في صحة الرسائل، تصدّت المحكمة لمسألة الدليل الإلكتروني وأصّلتها. وحيث لم ينازع فيها أحد، اكتفت المحكمة بالقواعد العامة. غير أن حكماً يتعلق بمستهلك ومزوّد كان أولى بأن يشير إلى قانون حماية المستهلك، لأن على المحكمة أن تعطي الدعوى وصفها الحق وتطبق عليها القانون الصحيح من تلقاء نفسها.</w:t>
      </w:r>
    </w:p>
    <w:p>
      <w:pPr>
        <w:bidi/>
        <w:spacing w:after="60" w:line="360"/>
        <w:jc w:val="both"/>
      </w:pPr>
      <w:r>
        <w:rPr>
          <w:rFonts w:ascii="Sakkal Majalla" w:cs="Sakkal Majalla" w:eastAsia="Sakkal Majalla" w:hAnsi="Sakkal Majalla"/>
          <w:b/>
          <w:bCs/>
          <w:sz w:val="28"/>
          <w:szCs w:val="28"/>
          <w:rtl/>
        </w:rPr>
        <w:t xml:space="preserve">الاستنتاج العام من المقارنة</w:t>
      </w:r>
    </w:p>
    <w:p>
      <w:pPr>
        <w:bidi/>
        <w:spacing w:after="120" w:line="360"/>
        <w:jc w:val="both"/>
      </w:pPr>
      <w:r>
        <w:rPr>
          <w:rFonts w:ascii="Sakkal Majalla" w:cs="Sakkal Majalla" w:eastAsia="Sakkal Majalla" w:hAnsi="Sakkal Majalla"/>
          <w:sz w:val="28"/>
          <w:szCs w:val="28"/>
          <w:rtl/>
        </w:rPr>
        <w:t xml:space="preserve">الحكم محل التعليق متسق مع اتجاه القضاء الإماراتي في الاعتداد بالتعاقد عبر تطبيقات المحادثة، وفي ترتيب الفسخ ورد المقدم عند إخلال الطرف الآخر. لكنه أقل منه تأصيلاً، إذ وصل إلى النتيجة الصحيحة بطريق القواعد العامة وحدها، دون أن يضيف مبدأً خاصاً بالتعاقد الإلكتروني أو بحماية المستهلك.</w:t>
      </w:r>
    </w:p>
    <w:p>
      <w:pPr>
        <w:pStyle w:val="Heading3"/>
        <w:keepNext/>
        <w:bidi/>
        <w:spacing w:after="120" w:before="200" w:line="300"/>
        <w:jc w:val="right"/>
      </w:pPr>
      <w:r>
        <w:rPr>
          <w:rFonts w:ascii="Sakkal Majalla" w:cs="Sakkal Majalla" w:eastAsia="Sakkal Majalla" w:hAnsi="Sakkal Majalla"/>
          <w:b/>
          <w:bCs/>
          <w:color w:val="1F4D78"/>
          <w:sz w:val="29"/>
          <w:szCs w:val="29"/>
          <w:rtl/>
        </w:rPr>
        <w:t xml:space="preserve">الفرع الرابع: التقييم الشخصي للحل القضائي</w:t>
      </w:r>
    </w:p>
    <w:p>
      <w:pPr>
        <w:bidi/>
        <w:spacing w:after="60" w:line="360"/>
        <w:jc w:val="both"/>
      </w:pPr>
      <w:r>
        <w:rPr>
          <w:rFonts w:ascii="Sakkal Majalla" w:cs="Sakkal Majalla" w:eastAsia="Sakkal Majalla" w:hAnsi="Sakkal Majalla"/>
          <w:b/>
          <w:bCs/>
          <w:sz w:val="28"/>
          <w:szCs w:val="28"/>
          <w:rtl/>
        </w:rPr>
        <w:t xml:space="preserve">أولاً: إيجابيات الحكم:</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سرعة الفصل: </w:t>
      </w:r>
      <w:r>
        <w:rPr>
          <w:rFonts w:ascii="Sakkal Majalla" w:cs="Sakkal Majalla" w:eastAsia="Sakkal Majalla" w:hAnsi="Sakkal Majalla"/>
          <w:sz w:val="28"/>
          <w:szCs w:val="28"/>
          <w:rtl/>
        </w:rPr>
        <w:t xml:space="preserve">صدر الحكم بعد نحو ستة أسابيع من قيد الدعوى، وهذا مهم في منازعات المستهلكين ذات القيمة الصغيرة، حيث تفقد الحماية معناها إذا طال التقاضي.</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حماية الطرف الذي أوفى بالتزامه: </w:t>
      </w:r>
      <w:r>
        <w:rPr>
          <w:rFonts w:ascii="Sakkal Majalla" w:cs="Sakkal Majalla" w:eastAsia="Sakkal Majalla" w:hAnsi="Sakkal Majalla"/>
          <w:sz w:val="28"/>
          <w:szCs w:val="28"/>
          <w:rtl/>
        </w:rPr>
        <w:t xml:space="preserve">أعاد الحكم للمستهلك ما دفعه مقدماً مع الفائدة، بعد أن عجزت إدارة حماية المستهلك والمصرف عن استرداد المبلغ. وهذا يؤكد أن القضاء هو الضمانة الأخيرة للمستهلك في التعاقد عن بعد.</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الاعتداد الضمني بالعقد الإلكتروني: </w:t>
      </w:r>
      <w:r>
        <w:rPr>
          <w:rFonts w:ascii="Sakkal Majalla" w:cs="Sakkal Majalla" w:eastAsia="Sakkal Majalla" w:hAnsi="Sakkal Majalla"/>
          <w:sz w:val="28"/>
          <w:szCs w:val="28"/>
          <w:rtl/>
        </w:rPr>
        <w:t xml:space="preserve">عامل الحكم عرض السعر المرسل عبر واتساب معاملة العقد الملزم، فاستخلص منه مدة التنفيذ وقيمة الدفعة، دون أن يشترط محرراً ورقياً موقعاً.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ضبط نطاق الالتزام: </w:t>
      </w:r>
      <w:r>
        <w:rPr>
          <w:rFonts w:ascii="Sakkal Majalla" w:cs="Sakkal Majalla" w:eastAsia="Sakkal Majalla" w:hAnsi="Sakkal Majalla"/>
          <w:sz w:val="28"/>
          <w:szCs w:val="28"/>
          <w:rtl/>
        </w:rPr>
        <w:t xml:space="preserve">ميّز الحكم بين ما قبضه المدعى عليه بموجب العقد، فقضى برده، وما دفعه المدعي لطرف ثالث خارج نطاق العقد، فرفض إلزام المدعى عليه به.</w:t>
      </w:r>
    </w:p>
    <w:p>
      <w:pPr>
        <w:bidi/>
        <w:spacing w:after="60" w:line="360"/>
        <w:jc w:val="both"/>
      </w:pPr>
      <w:r>
        <w:rPr>
          <w:rFonts w:ascii="Sakkal Majalla" w:cs="Sakkal Majalla" w:eastAsia="Sakkal Majalla" w:hAnsi="Sakkal Majalla"/>
          <w:b/>
          <w:bCs/>
          <w:sz w:val="28"/>
          <w:szCs w:val="28"/>
          <w:rtl/>
        </w:rPr>
        <w:t xml:space="preserve">ثانياً: سلبيات الحكم ونقاط الضعف:</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إغفال قانون حماية المستهلك: </w:t>
      </w:r>
      <w:r>
        <w:rPr>
          <w:rFonts w:ascii="Sakkal Majalla" w:cs="Sakkal Majalla" w:eastAsia="Sakkal Majalla" w:hAnsi="Sakkal Majalla"/>
          <w:sz w:val="28"/>
          <w:szCs w:val="28"/>
          <w:rtl/>
        </w:rPr>
        <w:t xml:space="preserve">رغم أن الوقائع تكشف علاقة استهلاكية واضحة، وأن المدعي لجأ إلى حماية المستهلك قبل الدعوى، لم يُشر الحكم إلى القانون الاتحادي رقم 15 لسنة 2020 ولا إلى التزامات المزوّد فيه.</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إغفال تشريعات التعامل الإلكتروني: </w:t>
      </w:r>
      <w:r>
        <w:rPr>
          <w:rFonts w:ascii="Sakkal Majalla" w:cs="Sakkal Majalla" w:eastAsia="Sakkal Majalla" w:hAnsi="Sakkal Majalla"/>
          <w:sz w:val="28"/>
          <w:szCs w:val="28"/>
          <w:rtl/>
        </w:rPr>
        <w:t xml:space="preserve">لم يُشر الحكم إلى المرسوم بقانون 46 لسنة 2021 ولا إلى المواد 53 إلى 55 من قانون الإثبات، رغم أن العقد ومستندات الإثبات الرئيسية إلكترونية.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عدم تكييف العقد: </w:t>
      </w:r>
      <w:r>
        <w:rPr>
          <w:rFonts w:ascii="Sakkal Majalla" w:cs="Sakkal Majalla" w:eastAsia="Sakkal Majalla" w:hAnsi="Sakkal Majalla"/>
          <w:sz w:val="28"/>
          <w:szCs w:val="28"/>
          <w:rtl/>
        </w:rPr>
        <w:t xml:space="preserve">لم تُكيّف المحكمة العقد بأنه عقد مقاولة، واكتفت بقواعد العقد عموماً.</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عدم الرد على طلبات المدعى عليه: </w:t>
      </w:r>
      <w:r>
        <w:rPr>
          <w:rFonts w:ascii="Sakkal Majalla" w:cs="Sakkal Majalla" w:eastAsia="Sakkal Majalla" w:hAnsi="Sakkal Majalla"/>
          <w:sz w:val="28"/>
          <w:szCs w:val="28"/>
          <w:rtl/>
        </w:rPr>
        <w:t xml:space="preserve">طلب المدعى عليه مبلغ 4200 درهم مقابل المخططات ورفع الحجز المصرفي، فلم يتناول الحكم هذين الطلبين. ولعل ذلك لأنهما لم يُقدَّما بدعوى متقابلة مستوفية لشروطها، لكن كان يحسن بيان ذلك صراحة.</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عدم تفسير الفرق في مبلغ الدفعة: </w:t>
      </w:r>
      <w:r>
        <w:rPr>
          <w:rFonts w:ascii="Sakkal Majalla" w:cs="Sakkal Majalla" w:eastAsia="Sakkal Majalla" w:hAnsi="Sakkal Majalla"/>
          <w:sz w:val="28"/>
          <w:szCs w:val="28"/>
          <w:rtl/>
        </w:rPr>
        <w:t xml:space="preserve">ورد في عرض السعر أن الدفعة الأولى 10000 درهم، بينما قضت المحكمة برد 10500 درهم وهو المبلغ المحوّل فعلاً، دون أن تبيّن سبب الفرق.</w:t>
      </w:r>
    </w:p>
    <w:p>
      <w:pPr>
        <w:pStyle w:val="ListParagraph"/>
        <w:numPr>
          <w:ilvl w:val="0"/>
          <w:numId w:val="2"/>
        </w:numPr>
        <w:bidi/>
        <w:spacing w:after="80" w:line="360"/>
        <w:jc w:val="both"/>
      </w:pPr>
      <w:r>
        <w:rPr>
          <w:rFonts w:ascii="Sakkal Majalla" w:cs="Sakkal Majalla" w:eastAsia="Sakkal Majalla" w:hAnsi="Sakkal Majalla"/>
          <w:b/>
          <w:bCs/>
          <w:sz w:val="28"/>
          <w:szCs w:val="28"/>
          <w:rtl/>
        </w:rPr>
        <w:t xml:space="preserve">الاقتضاب في رفض مبلغ الموافقات: </w:t>
      </w:r>
      <w:r>
        <w:rPr>
          <w:rFonts w:ascii="Sakkal Majalla" w:cs="Sakkal Majalla" w:eastAsia="Sakkal Majalla" w:hAnsi="Sakkal Majalla"/>
          <w:sz w:val="28"/>
          <w:szCs w:val="28"/>
          <w:rtl/>
        </w:rPr>
        <w:t xml:space="preserve">رفضت المحكمة طلب مبلغ 7003.40 درهم بعبارة موجزة لخروجه عن نطاق العقد. وكان يمكنها بحث ما إذا كان يُستحق بوصفه تعويضاً عن ضرر نشأ عن الإخلال، وهو أمر يتوقف على تكييف الطلب وإثبات عناصر المسؤولية.</w:t>
      </w:r>
    </w:p>
    <w:p>
      <w:pPr>
        <w:pStyle w:val="Heading1"/>
        <w:keepNext/>
        <w:bidi/>
        <w:spacing w:after="120" w:before="300" w:line="300"/>
        <w:jc w:val="right"/>
      </w:pPr>
      <w:r>
        <w:rPr>
          <w:rFonts w:ascii="Sakkal Majalla" w:cs="Sakkal Majalla" w:eastAsia="Sakkal Majalla" w:hAnsi="Sakkal Majalla"/>
          <w:b/>
          <w:bCs/>
          <w:color w:val="2E74B5"/>
          <w:sz w:val="34"/>
          <w:szCs w:val="34"/>
          <w:rtl/>
        </w:rPr>
        <w:t xml:space="preserve">الخاتمة:</w:t>
      </w:r>
    </w:p>
    <w:p>
      <w:pPr>
        <w:bidi/>
        <w:spacing w:after="120" w:line="360"/>
        <w:jc w:val="both"/>
      </w:pPr>
      <w:r>
        <w:rPr>
          <w:rFonts w:ascii="Sakkal Majalla" w:cs="Sakkal Majalla" w:eastAsia="Sakkal Majalla" w:hAnsi="Sakkal Majalla"/>
          <w:sz w:val="28"/>
          <w:szCs w:val="28"/>
          <w:rtl/>
        </w:rPr>
        <w:t xml:space="preserve">في ختام هذا التعليق، تبين لنا أن حكم محاكم دبي الابتدائية في الدعوى رقم 504 لسنة 2023 مدني انتهى إلى نتيجة صحيحة: فسخ العقد ورد الدفعة المقدمة للمستهلك مع الفائدة، بعد أن ثبت قبض المزوّد للدفعة وامتناعه عن التنفيذ في المدة المتفق عليها. وقد بنى الحكم قضاءه على قواعد عامة سليمة في قانون المعاملات المدنية، وعامل العقد المرسل عبر واتساب معاملة العقد الملزم.</w:t>
      </w:r>
    </w:p>
    <w:p>
      <w:pPr>
        <w:bidi/>
        <w:spacing w:after="120" w:line="360"/>
        <w:jc w:val="both"/>
      </w:pPr>
      <w:r>
        <w:rPr>
          <w:rFonts w:ascii="Sakkal Majalla" w:cs="Sakkal Majalla" w:eastAsia="Sakkal Majalla" w:hAnsi="Sakkal Majalla"/>
          <w:sz w:val="28"/>
          <w:szCs w:val="28"/>
          <w:rtl/>
        </w:rPr>
        <w:t xml:space="preserve">غير أن الحكم فوّت فرصة تأصيل مسألتين هما من صميم قانون التجارة الإلكترونية: صحة التعاقد عبر تطبيقات المحادثة وحجية المراسلات الإلكترونية في إثباته، وحماية المستهلك في مواجهة مزوّد يتعاقد عن بعد ويقبض الثمن مقدماً. ونقترح أن تُشير الأحكام في مثل هذه المنازعات صراحة إلى قانون حماية المستهلك وقانون المعاملات الإلكترونية وقواعد الدليل الإلكتروني في قانون الإثبات، لأن ذلك يرسّخ مبادئ واضحة يطمئن إليها المستهلك والتاجر معاً.</w:t>
      </w:r>
    </w:p>
    <w:p>
      <w:pPr>
        <w:pStyle w:val="Heading1"/>
        <w:keepNext/>
        <w:bidi/>
        <w:spacing w:after="120" w:before="300" w:line="300"/>
        <w:jc w:val="right"/>
      </w:pPr>
      <w:r>
        <w:rPr>
          <w:rFonts w:ascii="Sakkal Majalla" w:cs="Sakkal Majalla" w:eastAsia="Sakkal Majalla" w:hAnsi="Sakkal Majalla"/>
          <w:b/>
          <w:bCs/>
          <w:color w:val="2E74B5"/>
          <w:sz w:val="34"/>
          <w:szCs w:val="34"/>
          <w:rtl/>
        </w:rPr>
        <w:t xml:space="preserve">قائمة المراجع:</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حكم محاكم دبي الابتدائية في الدعوى رقم 504 لسنة 2023 مدني، جلسة 21 مارس 2023 (نص الحكم مرفق).</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القانون الاتحادي رقم 5 لسنة 1985 بإصدار قانون المعاملات المدنية وتعديلاته، المواد 246 و256 و267 و272 و274 و872.</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المرسوم بقانون اتحادي رقم 42 لسنة 2022 بإصدار قانون الإجراءات المدنية، المواد 54 و133 و135.</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المرسوم بقانون اتحادي رقم 35 لسنة 2022 بإصدار قانون الإثبات في المعاملات المدنية والتجارية، المواد 1 و53 إلى 55.</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المرسوم بقانون اتحادي رقم 46 لسنة 2021 بشأن المعاملات الإلكترونية وخدمات الثقة.</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القانون الاتحادي رقم 15 لسنة 2020 في شأن حماية المستهلك وتعديلاته، ولائحته التنفيذية الصادرة بقرار مجلس الوزراء رقم 66 لسنة 2023.</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صحيفة الإمارات اليوم، "اتفاق عبر «واتس أب» يحسم نزاعاً حول مركبة ولوحة بـ 1.3 مليون درهم"، 23 أغسطس 2026: https://www.emaratalyoum.com/local-section/accidents/courts/2026-08-23-1.2076186</w:t>
      </w:r>
    </w:p>
    <w:p>
      <w:pPr>
        <w:pStyle w:val="ListParagraph"/>
        <w:numPr>
          <w:ilvl w:val="0"/>
          <w:numId w:val="3"/>
        </w:numPr>
        <w:bidi/>
        <w:spacing w:after="80" w:line="360"/>
        <w:jc w:val="both"/>
      </w:pPr>
      <w:r>
        <w:rPr>
          <w:rFonts w:ascii="Sakkal Majalla" w:cs="Sakkal Majalla" w:eastAsia="Sakkal Majalla" w:hAnsi="Sakkal Majalla"/>
          <w:sz w:val="28"/>
          <w:szCs w:val="28"/>
          <w:rtl/>
        </w:rPr>
        <w:t xml:space="preserve">صحيفة الإمارات اليوم، "إلزام بائع بردّ 10 آلاف درهم لمشترٍ تعرض للتغرير في «حالة المركبة»"، 11 أغسطس 2026: https://www.emaratalyoum.com/local-section/accidents/2026-08-11-1.2072990</w:t>
      </w:r>
    </w:p>
    <w:sectPr>
      <w:footerReference w:type="default" r:id="rId6"/>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kkal Majalla" w:cs="Sakkal Majalla" w:eastAsia="Sakkal Majalla" w:hAnsi="Sakkal Majall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540" w:hanging="360"/>
      </w:pPr>
      <w:rPr>
        <w:rFonts w:ascii="Sakkal Majalla" w:cs="Sakkal Majalla" w:eastAsia="Sakkal Majalla" w:hAnsi="Sakkal Majalla"/>
      </w:rPr>
    </w:lvl>
  </w:abstractNum>
  <w:abstractNum w:abstractNumId="3" w15:restartNumberingAfterBreak="0">
    <w:multiLevelType w:val="hybridMultilevel"/>
    <w:lvl w:ilvl="0" w:tentative="1">
      <w:start w:val="1"/>
      <w:numFmt w:val="decimal"/>
      <w:lvlText w:val="%1."/>
      <w:lvlJc w:val="right"/>
      <w:pPr>
        <w:ind w:right="540" w:hanging="360"/>
      </w:pPr>
      <w:rPr>
        <w:rFonts w:ascii="Sakkal Majalla" w:cs="Sakkal Majalla" w:eastAsia="Sakkal Majalla" w:hAnsi="Sakkal Majall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2026-10-29T06:29:47.001Z</dcterms:created>
  <dcterms:modified xsi:type="dcterms:W3CDTF">2026-10-29T06:29:47.106Z</dcterms:modified>
</cp:coreProperties>
</file>

<file path=docProps/custom.xml><?xml version="1.0" encoding="utf-8"?>
<Properties xmlns="http://schemas.openxmlformats.org/officeDocument/2006/custom-properties" xmlns:vt="http://schemas.openxmlformats.org/officeDocument/2006/docPropsVTypes"/>
</file>