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themeColor="text1"/>
          <w:sz w:val="36"/>
          <w:szCs w:val="36"/>
          <w:rtl/>
        </w:rPr>
        <w:id w:val="-1603642335"/>
        <w:docPartObj>
          <w:docPartGallery w:val="Cover Pages"/>
          <w:docPartUnique/>
        </w:docPartObj>
      </w:sdtPr>
      <w:sdtEndPr>
        <w:rPr>
          <w:lang w:bidi="ar-AE"/>
        </w:rPr>
      </w:sdtEndPr>
      <w:sdtContent>
        <w:p w:rsidR="000D2C52" w:rsidRPr="000D2C52" w:rsidRDefault="0052432B" w:rsidP="009E5C7C">
          <w:pPr>
            <w:bidi/>
            <w:spacing w:line="360" w:lineRule="auto"/>
            <w:jc w:val="center"/>
            <w:rPr>
              <w:color w:val="000000" w:themeColor="text1"/>
              <w:sz w:val="36"/>
              <w:szCs w:val="36"/>
            </w:rPr>
          </w:pPr>
          <w:r>
            <w:rPr>
              <w:noProof/>
              <w:color w:val="000000" w:themeColor="text1"/>
              <w:sz w:val="36"/>
              <w:szCs w:val="36"/>
            </w:rPr>
            <mc:AlternateContent>
              <mc:Choice Requires="wps">
                <w:drawing>
                  <wp:anchor distT="0" distB="0" distL="114300" distR="114300" simplePos="0" relativeHeight="251658240" behindDoc="0" locked="0" layoutInCell="1" allowOverlap="1" wp14:anchorId="21B008B8">
                    <wp:simplePos x="0" y="0"/>
                    <wp:positionH relativeFrom="column">
                      <wp:posOffset>1714500</wp:posOffset>
                    </wp:positionH>
                    <wp:positionV relativeFrom="paragraph">
                      <wp:posOffset>-104775</wp:posOffset>
                    </wp:positionV>
                    <wp:extent cx="2314575" cy="1819275"/>
                    <wp:effectExtent l="9525" t="9525" r="9525" b="95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1819275"/>
                            </a:xfrm>
                            <a:prstGeom prst="rect">
                              <a:avLst/>
                            </a:prstGeom>
                            <a:solidFill>
                              <a:srgbClr val="FFFFFF"/>
                            </a:solidFill>
                            <a:ln w="9525">
                              <a:solidFill>
                                <a:schemeClr val="bg1">
                                  <a:lumMod val="100000"/>
                                  <a:lumOff val="0"/>
                                </a:schemeClr>
                              </a:solidFill>
                              <a:miter lim="800000"/>
                              <a:headEnd/>
                              <a:tailEnd/>
                            </a:ln>
                          </wps:spPr>
                          <wps:txbx>
                            <w:txbxContent>
                              <w:p w:rsidR="005632E9" w:rsidRDefault="005632E9" w:rsidP="00564739">
                                <w:pPr>
                                  <w:jc w:val="center"/>
                                </w:pPr>
                                <w:r>
                                  <w:rPr>
                                    <w:b/>
                                    <w:bCs/>
                                    <w:noProof/>
                                    <w:sz w:val="32"/>
                                    <w:szCs w:val="32"/>
                                    <w:rtl/>
                                  </w:rPr>
                                  <w:drawing>
                                    <wp:inline distT="0" distB="0" distL="0" distR="0" wp14:anchorId="0B4962A3" wp14:editId="1959B6A6">
                                      <wp:extent cx="1863725" cy="1311910"/>
                                      <wp:effectExtent l="0" t="0" r="3175" b="2540"/>
                                      <wp:docPr id="1504238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38418" name="Picture 1504238418"/>
                                              <pic:cNvPicPr/>
                                            </pic:nvPicPr>
                                            <pic:blipFill>
                                              <a:blip r:embed="rId8">
                                                <a:extLst>
                                                  <a:ext uri="{28A0092B-C50C-407E-A947-70E740481C1C}">
                                                    <a14:useLocalDpi xmlns:a14="http://schemas.microsoft.com/office/drawing/2010/main" val="0"/>
                                                  </a:ext>
                                                </a:extLst>
                                              </a:blip>
                                              <a:stretch>
                                                <a:fillRect/>
                                              </a:stretch>
                                            </pic:blipFill>
                                            <pic:spPr>
                                              <a:xfrm>
                                                <a:off x="0" y="0"/>
                                                <a:ext cx="1863725" cy="13119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008B8" id="Rectangle 2" o:spid="_x0000_s1026" style="position:absolute;left:0;text-align:left;margin-left:135pt;margin-top:-8.25pt;width:182.25pt;height:1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" strokecolor="white [3212]">
                    <v:textbox>
                      <w:txbxContent>
                        <w:p w:rsidR="005632E9" w:rsidRDefault="005632E9" w:rsidP="00564739">
                          <w:pPr>
                            <w:jc w:val="center"/>
                          </w:pPr>
                          <w:r>
                            <w:rPr>
                              <w:b/>
                              <w:bCs/>
                              <w:noProof/>
                              <w:sz w:val="32"/>
                              <w:szCs w:val="32"/>
                              <w:rtl/>
                            </w:rPr>
                            <w:drawing>
                              <wp:inline distT="0" distB="0" distL="0" distR="0" wp14:anchorId="0B4962A3" wp14:editId="1959B6A6">
                                <wp:extent cx="1863725" cy="1311910"/>
                                <wp:effectExtent l="0" t="0" r="3175" b="2540"/>
                                <wp:docPr id="1504238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38418" name="Picture 1504238418"/>
                                        <pic:cNvPicPr/>
                                      </pic:nvPicPr>
                                      <pic:blipFill>
                                        <a:blip r:embed="rId8">
                                          <a:extLst>
                                            <a:ext uri="{28A0092B-C50C-407E-A947-70E740481C1C}">
                                              <a14:useLocalDpi xmlns:a14="http://schemas.microsoft.com/office/drawing/2010/main" val="0"/>
                                            </a:ext>
                                          </a:extLst>
                                        </a:blip>
                                        <a:stretch>
                                          <a:fillRect/>
                                        </a:stretch>
                                      </pic:blipFill>
                                      <pic:spPr>
                                        <a:xfrm>
                                          <a:off x="0" y="0"/>
                                          <a:ext cx="1863725" cy="1311910"/>
                                        </a:xfrm>
                                        <a:prstGeom prst="rect">
                                          <a:avLst/>
                                        </a:prstGeom>
                                      </pic:spPr>
                                    </pic:pic>
                                  </a:graphicData>
                                </a:graphic>
                              </wp:inline>
                            </w:drawing>
                          </w:r>
                        </w:p>
                      </w:txbxContent>
                    </v:textbox>
                  </v:rect>
                </w:pict>
              </mc:Fallback>
            </mc:AlternateContent>
          </w:r>
        </w:p>
        <w:p w:rsidR="000D2C52" w:rsidRDefault="000D2C52" w:rsidP="009E5C7C">
          <w:pPr>
            <w:bidi/>
            <w:spacing w:line="360" w:lineRule="auto"/>
            <w:jc w:val="center"/>
            <w:rPr>
              <w:rFonts w:eastAsiaTheme="minorEastAsia"/>
              <w:b/>
              <w:bCs/>
              <w:color w:val="000000" w:themeColor="text1"/>
              <w:sz w:val="36"/>
              <w:szCs w:val="36"/>
              <w:rtl/>
              <w:lang w:bidi="ar-AE"/>
            </w:rPr>
          </w:pPr>
        </w:p>
        <w:p w:rsidR="000D2C52" w:rsidRDefault="000D2C52" w:rsidP="00564739">
          <w:pPr>
            <w:bidi/>
            <w:spacing w:line="360" w:lineRule="auto"/>
            <w:rPr>
              <w:rFonts w:eastAsiaTheme="minorEastAsia"/>
              <w:b/>
              <w:bCs/>
              <w:color w:val="000000" w:themeColor="text1"/>
              <w:sz w:val="36"/>
              <w:szCs w:val="36"/>
              <w:rtl/>
              <w:lang w:bidi="ar-AE"/>
            </w:rPr>
          </w:pPr>
        </w:p>
        <w:p w:rsidR="00DA4D28" w:rsidRDefault="00DA4D28" w:rsidP="009E5C7C">
          <w:pPr>
            <w:bidi/>
            <w:spacing w:line="360" w:lineRule="auto"/>
            <w:jc w:val="center"/>
            <w:rPr>
              <w:rFonts w:eastAsiaTheme="minorEastAsia"/>
              <w:b/>
              <w:bCs/>
              <w:color w:val="000000" w:themeColor="text1"/>
              <w:sz w:val="36"/>
              <w:szCs w:val="36"/>
              <w:rtl/>
              <w:lang w:bidi="ar-AE"/>
            </w:rPr>
          </w:pPr>
          <w:bookmarkStart w:id="0" w:name="_GoBack"/>
          <w:r w:rsidRPr="00DA4D28">
            <w:rPr>
              <w:rFonts w:eastAsiaTheme="minorEastAsia"/>
              <w:b/>
              <w:bCs/>
              <w:color w:val="000000" w:themeColor="text1"/>
              <w:sz w:val="36"/>
              <w:szCs w:val="36"/>
              <w:rtl/>
              <w:lang w:bidi="ar-AE"/>
            </w:rPr>
            <w:t>خطة مشروع تخرج</w:t>
          </w:r>
        </w:p>
        <w:p w:rsidR="00DA4D28" w:rsidRDefault="00DA4D28" w:rsidP="009E5C7C">
          <w:pPr>
            <w:bidi/>
            <w:spacing w:line="360" w:lineRule="auto"/>
            <w:jc w:val="center"/>
            <w:rPr>
              <w:rFonts w:eastAsiaTheme="minorEastAsia"/>
              <w:b/>
              <w:bCs/>
              <w:color w:val="000000" w:themeColor="text1"/>
              <w:sz w:val="36"/>
              <w:szCs w:val="36"/>
              <w:rtl/>
              <w:lang w:bidi="ar-AE"/>
            </w:rPr>
          </w:pPr>
          <w:r>
            <w:rPr>
              <w:rFonts w:eastAsiaTheme="minorEastAsia"/>
              <w:b/>
              <w:bCs/>
              <w:color w:val="000000" w:themeColor="text1"/>
              <w:sz w:val="36"/>
              <w:szCs w:val="36"/>
              <w:rtl/>
              <w:lang w:bidi="ar-AE"/>
            </w:rPr>
            <w:t>فاعلية دور الأخصائي الاجتماعي في الحد من الانحرافات السلوكية لدى الشباب الإماراتي</w:t>
          </w:r>
          <w:bookmarkEnd w:id="0"/>
          <w:r>
            <w:rPr>
              <w:rFonts w:eastAsiaTheme="minorEastAsia"/>
              <w:b/>
              <w:bCs/>
              <w:color w:val="000000" w:themeColor="text1"/>
              <w:sz w:val="36"/>
              <w:szCs w:val="36"/>
              <w:rtl/>
              <w:lang w:bidi="ar-AE"/>
            </w:rPr>
            <w:t>: دراسة وصفية تحليلية</w:t>
          </w:r>
        </w:p>
        <w:p w:rsidR="00D70BB2" w:rsidRDefault="005632E9">
          <w:pPr>
            <w:spacing w:after="60" w:line="360" w:lineRule="auto"/>
            <w:jc w:val="center"/>
          </w:pPr>
          <w:r>
            <w:rPr>
              <w:b/>
              <w:bCs/>
              <w:sz w:val="24"/>
              <w:szCs w:val="24"/>
            </w:rPr>
            <w:t>The Effectiveness of the Social Worker’s Role in Reducing Behavioral Deviations among Emirati Youth: A Descriptive Analytical Study</w:t>
          </w:r>
        </w:p>
        <w:p w:rsidR="00D70BB2" w:rsidRDefault="005632E9">
          <w:pPr>
            <w:bidi/>
            <w:spacing w:line="360" w:lineRule="auto"/>
            <w:jc w:val="center"/>
          </w:pPr>
          <w:r>
            <w:rPr>
              <w:b/>
              <w:bCs/>
              <w:rtl/>
            </w:rPr>
            <w:t>مقترح أطروحة لبرنامج الماجستير في علم الاجتماع التطبيقي</w:t>
          </w:r>
        </w:p>
        <w:p w:rsidR="000D2C52" w:rsidRPr="009E5C7C" w:rsidRDefault="000D2C52" w:rsidP="00DA4D28">
          <w:pPr>
            <w:bidi/>
            <w:spacing w:line="360" w:lineRule="auto"/>
            <w:jc w:val="center"/>
            <w:rPr>
              <w:rFonts w:eastAsiaTheme="minorEastAsia"/>
              <w:b/>
              <w:bCs/>
              <w:color w:val="000000" w:themeColor="text1"/>
              <w:rtl/>
            </w:rPr>
          </w:pPr>
          <w:r>
            <w:rPr>
              <w:rFonts w:eastAsiaTheme="minorEastAsia" w:hint="cs"/>
              <w:b/>
              <w:bCs/>
              <w:color w:val="000000" w:themeColor="text1"/>
              <w:rtl/>
              <w:lang w:bidi="ar-AE"/>
            </w:rPr>
            <w:t>اسم الطالبة: مريم مبارك الكتبي</w:t>
          </w:r>
        </w:p>
        <w:p w:rsidR="00D70BB2" w:rsidRDefault="005632E9">
          <w:pPr>
            <w:spacing w:after="0" w:line="360" w:lineRule="auto"/>
            <w:jc w:val="center"/>
          </w:pPr>
          <w:r>
            <w:rPr>
              <w:b/>
              <w:bCs/>
            </w:rPr>
            <w:t>By: Maryam Mubarak ALketbi</w:t>
          </w:r>
        </w:p>
        <w:p w:rsidR="009E5C7C" w:rsidRPr="009E5C7C" w:rsidRDefault="009E5C7C" w:rsidP="00DA4D28">
          <w:pPr>
            <w:bidi/>
            <w:spacing w:line="360" w:lineRule="auto"/>
            <w:jc w:val="center"/>
            <w:rPr>
              <w:rFonts w:eastAsiaTheme="minorEastAsia"/>
              <w:b/>
              <w:bCs/>
              <w:color w:val="000000" w:themeColor="text1"/>
              <w:lang w:bidi="ar-AE"/>
            </w:rPr>
          </w:pPr>
          <w:r>
            <w:rPr>
              <w:rFonts w:eastAsiaTheme="minorEastAsia" w:hint="cs"/>
              <w:b/>
              <w:bCs/>
              <w:color w:val="000000" w:themeColor="text1"/>
              <w:rtl/>
            </w:rPr>
            <w:t xml:space="preserve">الرقم الجامعي: </w:t>
          </w:r>
          <w:r>
            <w:rPr>
              <w:rFonts w:eastAsiaTheme="minorEastAsia" w:hint="cs"/>
              <w:b/>
              <w:bCs/>
              <w:color w:val="000000" w:themeColor="text1"/>
            </w:rPr>
            <w:t>U24102934</w:t>
          </w:r>
        </w:p>
        <w:p w:rsidR="00D70BB2" w:rsidRDefault="005632E9">
          <w:pPr>
            <w:bidi/>
            <w:spacing w:after="0" w:line="360" w:lineRule="auto"/>
            <w:jc w:val="center"/>
          </w:pPr>
          <w:r>
            <w:rPr>
              <w:b/>
              <w:bCs/>
              <w:rtl/>
            </w:rPr>
            <w:t>اسم المشرفة: د. أسماء حمدان السعدي</w:t>
          </w:r>
        </w:p>
        <w:p w:rsidR="00D70BB2" w:rsidRDefault="005632E9">
          <w:pPr>
            <w:bidi/>
            <w:spacing w:after="0" w:line="360" w:lineRule="auto"/>
            <w:jc w:val="center"/>
          </w:pPr>
          <w:r>
            <w:rPr>
              <w:b/>
              <w:bCs/>
              <w:rtl/>
            </w:rPr>
            <w:t>فصل الخريف 2026/2027</w:t>
          </w:r>
        </w:p>
      </w:sdtContent>
    </w:sdt>
    <w:p w:rsidR="00D70BB2" w:rsidRDefault="005632E9">
      <w:pPr>
        <w:pStyle w:val="Heading1"/>
        <w:keepNext/>
        <w:pageBreakBefore/>
        <w:spacing w:after="120" w:line="360" w:lineRule="auto"/>
      </w:pPr>
      <w:r>
        <w:rPr>
          <w:rtl/>
        </w:rPr>
        <w:lastRenderedPageBreak/>
        <w:t>المقدمة</w:t>
      </w:r>
    </w:p>
    <w:p w:rsidR="00D70BB2" w:rsidRDefault="005632E9">
      <w:pPr>
        <w:bidi/>
        <w:spacing w:line="360" w:lineRule="auto"/>
        <w:jc w:val="both"/>
      </w:pPr>
      <w:r>
        <w:rPr>
          <w:rtl/>
        </w:rPr>
        <w:t xml:space="preserve">تمثل مرحلة الشباب مرحلة انتقالية حاسمة تتشكل فيها الهوية وتتخذ فيها قرارات تعليمية ومهنية وأسرية مصيرية، وقد وصف آرنت الفترة الممتدة من أواخر المراهقة حتى منتصف العشرينيات بمرحلة «الرشد الناشئ» لما تتسم به من عدم استقرار وكثرة التجريب </w:t>
      </w:r>
      <w:r>
        <w:t>(Arnett, 2000, p. 469)</w:t>
      </w:r>
      <w:r>
        <w:rPr>
          <w:rtl/>
        </w:rPr>
        <w:t xml:space="preserve">. ولذلك تعد الفئات الشابة الأكثر عرضة للانخراط في أنماط من السلوك الخطر، إذ تشير بيانات مكتب الأمم المتحدة المعني بالمخدرات والجريمة إلى أن نحو 316 مليون شخص في العالم تعاطوا مادة مخدرة واحدة على الأقل خلال عام 2023، أي ما يقارب 6% من السكان في الفئة العمرية (15–64 سنة)، مقارنة بنسبة 5.2% عام 2013 </w:t>
      </w:r>
      <w:r>
        <w:t>(UNODC, 2025, p. 1)</w:t>
      </w:r>
      <w:r>
        <w:rPr>
          <w:rtl/>
        </w:rPr>
        <w:t>.</w:t>
      </w:r>
    </w:p>
    <w:p w:rsidR="00D70BB2" w:rsidRDefault="005632E9">
      <w:pPr>
        <w:bidi/>
        <w:spacing w:line="360" w:lineRule="auto"/>
        <w:jc w:val="both"/>
      </w:pPr>
      <w:r>
        <w:rPr>
          <w:rtl/>
        </w:rPr>
        <w:t xml:space="preserve">ومن منظور سوسيولوجي، لا يُنظر إلى السلوك المنحرف بوصفه صفة كامنة في الفعل ذاته، بل بوصفه نتاجًا لعلاقة الفرد بالمعايير الاجتماعية ولاستجابة المجتمع لسلوكه </w:t>
      </w:r>
      <w:r>
        <w:t>(Becker, 1963, p. 9)</w:t>
      </w:r>
      <w:r>
        <w:rPr>
          <w:rtl/>
        </w:rPr>
        <w:t xml:space="preserve">. وتفسر نظرية الروابط الاجتماعية الانحراف بضعف الروابط التي تشد الفرد إلى مجتمعه، وهي: التعلق بالآخرين، والالتزام بالأهداف التقليدية، والانخراط في الأنشطة المشروعة، والاعتقاد بالمعايير </w:t>
      </w:r>
      <w:r>
        <w:t>(Hirschi, 1969, pp. 16–26)</w:t>
      </w:r>
      <w:r>
        <w:rPr>
          <w:rtl/>
        </w:rPr>
        <w:t xml:space="preserve">، في حين تؤكد نظرية التعلم الاجتماعي أن جانبًا كبيرًا من السلوك يُكتسب بالملاحظة والنمذجة </w:t>
      </w:r>
      <w:r>
        <w:t>(Bandura, 1977a, p. 22)</w:t>
      </w:r>
      <w:r>
        <w:rPr>
          <w:rtl/>
        </w:rPr>
        <w:t>. ويترتب على هذين المنظورين أن الوقاية الفاعلة لا تقتصر على العقاب أو العلاج بعد وقوع السلوك، بل تقوم على تقوية الروابط الاجتماعية للشباب وتوفير نماذج سلوكية إيجابية لهم، وهو جوهر الدور الوقائي الذي يؤديه الأخصائي الاجتماعي.</w:t>
      </w:r>
    </w:p>
    <w:p w:rsidR="00D70BB2" w:rsidRDefault="005632E9">
      <w:pPr>
        <w:bidi/>
        <w:spacing w:line="360" w:lineRule="auto"/>
        <w:jc w:val="both"/>
      </w:pPr>
      <w:r>
        <w:rPr>
          <w:rtl/>
        </w:rPr>
        <w:lastRenderedPageBreak/>
        <w:t xml:space="preserve">وتكتسب هذه القضية خصوصية في المجتمع الإماراتي لاعتبارات ديموغرافية واجتماعية، فالشباب في الفئة العمرية (15–35 سنة) يمثلون نحو نصف سكان الدولة </w:t>
      </w:r>
      <w:r>
        <w:t>(Strategy&amp;, 2021, p. 3)</w:t>
      </w:r>
      <w:r>
        <w:rPr>
          <w:rtl/>
        </w:rPr>
        <w:t xml:space="preserve">، وقد صاحبت التحولات العمرانية والاقتصادية المتسارعة تغيرات في أنماط التنشئة ومصادر التأثير في الشباب. وتكشف المؤشرات الوطنية المتاحة عن سلوكيات خطرة تبدأ منذ مرحلة المراهقة، إذ أظهر المسح العالمي لصحة طلبة المدارس الحكومية في الدولة عام 2016 أن 37.4% من الطلبة في الفئة العمرية (13–17 سنة) تورطوا في شجار جسدي مرة واحدة على الأقل خلال الاثني عشر شهرًا السابقة للمسح، وأن 26.0% تعرضوا للتنمر خلال الثلاثين يومًا السابقة </w:t>
      </w:r>
      <w:r>
        <w:t>(WHO, 2016, p. 4)</w:t>
      </w:r>
      <w:r>
        <w:rPr>
          <w:rtl/>
        </w:rPr>
        <w:t xml:space="preserve">، وأن 20.4% يستخدمون منتجات التبغ حاليًا، وترتفع النسبة إلى 33.4% بين الذكور </w:t>
      </w:r>
      <w:r>
        <w:t>(WHO, 2016, p. 3)</w:t>
      </w:r>
      <w:r>
        <w:rPr>
          <w:rtl/>
        </w:rPr>
        <w:t xml:space="preserve">. كما بيّنت دراسة أجريت على مرضى من المواطنين في المركز الوطني للتأهيل بأبوظبي أن 84.4% منهم متعددو التعاطي، وأن سوء استخدام الأدوية الموصوفة كان الأعلى في الفئة العمرية دون 30 سنة </w:t>
      </w:r>
      <w:r>
        <w:t>(Alblooshi et al., 2016, p. 1)</w:t>
      </w:r>
      <w:r>
        <w:rPr>
          <w:rtl/>
        </w:rPr>
        <w:t>. وتدل هذه المؤشرات على أن السلوكيات الخطرة التي تظهر في سن المدرسة قد تمتد إلى مرحلة الشباب ما لم تواجَه بتدخلات وقائية مبكرة.</w:t>
      </w:r>
    </w:p>
    <w:p w:rsidR="00D70BB2" w:rsidRDefault="005632E9">
      <w:pPr>
        <w:bidi/>
        <w:spacing w:line="360" w:lineRule="auto"/>
        <w:jc w:val="both"/>
      </w:pPr>
      <w:r>
        <w:rPr>
          <w:rtl/>
        </w:rPr>
        <w:t xml:space="preserve">وفي هذا السياق يحتل الأخصائي الاجتماعي موقعًا محوريًا في منظومة الوقاية داخل المؤسسات التعليمية والمجتمعية، غير أن الأدبيات تشير إلى أن المهام الفعلية للأخصائيين الاجتماعيين في دولة الإمارات وإسهاماتهم المتوقعة ما تزال غير موثقة بصورة كافية </w:t>
      </w:r>
      <w:r>
        <w:t>(Albrithen &amp; Alfalasi, 2024, p. 1)</w:t>
      </w:r>
      <w:r>
        <w:rPr>
          <w:rtl/>
        </w:rPr>
        <w:t xml:space="preserve">، وأن فاعلية تدخلاتهم ترتبط بتوافر الدعم المؤسسي والتعاون مع الأسرة والمعلمين والتدريب المستمر، في مقابل تحديات من أبرزها محدودية الموارد وغموض الدور </w:t>
      </w:r>
      <w:r>
        <w:t>(Alzeyoudi et al., 2026, p. 449)</w:t>
      </w:r>
      <w:r>
        <w:rPr>
          <w:rtl/>
        </w:rPr>
        <w:t>.</w:t>
      </w:r>
    </w:p>
    <w:p w:rsidR="00D70BB2" w:rsidRDefault="005632E9">
      <w:pPr>
        <w:bidi/>
        <w:spacing w:line="360" w:lineRule="auto"/>
        <w:jc w:val="both"/>
      </w:pPr>
      <w:r>
        <w:rPr>
          <w:rtl/>
        </w:rPr>
        <w:lastRenderedPageBreak/>
        <w:t>وانطلاقًا من ذلك، تتحدد العلاقة التي تتناولها الدراسة بين متغيرين رئيسين: فاعلية الدور الوقائي للأخصائي الاجتماعي بوصفها متغيرًا مستقلًا، ودرجة السلوكيات المنحرفة لدى الشباب الإماراتي بوصفها متغيرًا تابعًا، مع مراعاة مستوى مشاركة الشباب في البرامج الوقائية وخصائصهم الديموغرافية، بهدف تقديم دليل ميداني من إمارة الشارقة يسهم في تطوير الممارسة الوقائية على أسس علمية.</w:t>
      </w:r>
    </w:p>
    <w:p w:rsidR="00D70BB2" w:rsidRDefault="005632E9">
      <w:pPr>
        <w:bidi/>
        <w:spacing w:line="360" w:lineRule="auto"/>
        <w:jc w:val="both"/>
      </w:pPr>
      <w:r>
        <w:rPr>
          <w:b/>
          <w:bCs/>
          <w:rtl/>
        </w:rPr>
        <w:t>تحديد متغيرات العنوان:</w:t>
      </w:r>
      <w:r>
        <w:rPr>
          <w:rtl/>
        </w:rPr>
        <w:t xml:space="preserve"> يتناول عنوان الدراسة «فاعلية دور الأخصائي الاجتماعي في الحد من الانحرافات السلوكية لدى الشباب الإماراتي: دراسة وصفية تحليلية» متغيرين رئيسين حُددا إجرائيًا على النحو الآتي: فالمتغير المستقل هو «فاعلية دور الأخصائي الاجتماعي»، ويُقصد به في هذه الدراسة دوره </w:t>
      </w:r>
      <w:r>
        <w:rPr>
          <w:b/>
          <w:bCs/>
          <w:rtl/>
        </w:rPr>
        <w:t>الوقائي</w:t>
      </w:r>
      <w:r>
        <w:rPr>
          <w:rtl/>
        </w:rPr>
        <w:t xml:space="preserve"> تحديدًا، أي درجة تحقق أربعة أبعاد محددة إجرائيًا (التوعوي، والإرشادي، والاكتشاف المبكر والإحالة، والشراكة مع الأسرة والمجتمع) وارتباطها بانخفاض الانحرافات السلوكية، والمتغير التابع هو «الانحرافات السلوكية»، وقد حُصرت – تحقيقًا للدقة وقابلية القياس – في ثلاث صور من السلوكيات المنحرفة هي: السلوك العدواني والعنف، والتنمر بصورتيه التقليدية والإلكترونية، وتعاطي التبغ والمواد المؤثرة عقليًا؛ ولذلك يُستخدم مصطلحا «الانحرافات السلوكية» و«السلوكيات المنحرفة» في الدراسة بمعنى واحد. كما يتحدد «الشباب الإماراتي» إجرائيًا بالمواطنين في الفئة العمرية (18–30 سنة) في المؤسسات التعليمية والمجتمعية بإمارة الشارقة، إلى جانب الأخصائيين الاجتماعيين العاملين فيها. أما وصف الدراسة بأنها «دراسة وصفية تحليلية» فيعني أنها تصف مستوى الانحرافات السلوكية ودرجة فاعلية دور الأخصائي الاجتماعي كما هما في الواقع، وتحلل العلاقات والفروق بينهما إحصائيًا اعتمادًا على بيانات تُجمع من الميدان بالاستبانة والمقابلة.</w:t>
      </w:r>
    </w:p>
    <w:p w:rsidR="00D70BB2" w:rsidRDefault="005632E9">
      <w:pPr>
        <w:keepNext/>
        <w:bidi/>
        <w:spacing w:before="120" w:after="60" w:line="360" w:lineRule="auto"/>
        <w:jc w:val="both"/>
      </w:pPr>
      <w:r>
        <w:rPr>
          <w:b/>
          <w:bCs/>
          <w:rtl/>
        </w:rPr>
        <w:lastRenderedPageBreak/>
        <w:t>أولاً: إشكالية البحث</w:t>
      </w:r>
    </w:p>
    <w:p w:rsidR="00D70BB2" w:rsidRDefault="005632E9">
      <w:pPr>
        <w:bidi/>
        <w:spacing w:line="360" w:lineRule="auto"/>
        <w:jc w:val="both"/>
      </w:pPr>
      <w:r>
        <w:rPr>
          <w:rtl/>
        </w:rPr>
        <w:t xml:space="preserve">تتمثل المشكلة البحثية في وجود فجوة بين الحضور المؤسسي للأخصائي الاجتماعي في المؤسسات التعليمية والمجتمعية بدولة الإمارات وبين الأدلة العلمية المتاحة على فاعلية دوره الوقائي في الحد من السلوكيات المنحرفة لدى الشباب. وتعكس هذه المشكلة مؤشرات واقعية عدة، أبرزها: (1) انتشار سلوكيات خطرة بين طلبة المدارس الحكومية، كالشجار الجسدي (37.4%) والتعرض للتنمر (26.0%) واستخدام التبغ (20.4%) </w:t>
      </w:r>
      <w:r>
        <w:t>(WHO, 2016, pp. 3–4)</w:t>
      </w:r>
      <w:r>
        <w:rPr>
          <w:rtl/>
        </w:rPr>
        <w:t xml:space="preserve">، وهي فئة تنتقل تباعًا إلى مرحلة الشباب، (2) تركّز تعدد التعاطي وسوء استخدام الأدوية الموصوفة في الفئة العمرية دون 30 سنة </w:t>
      </w:r>
      <w:r>
        <w:t>(Alblooshi et al., 2016, p. 1)</w:t>
      </w:r>
      <w:r>
        <w:rPr>
          <w:rtl/>
        </w:rPr>
        <w:t xml:space="preserve">، (3) غموض الدور المهني للأخصائي الاجتماعي ومحدودية الموارد والدعم المؤسسي بوصفها معوقات تحد من فاعليته </w:t>
      </w:r>
      <w:r>
        <w:t>(Alzeyoudi et al., 2026, p. 449)</w:t>
      </w:r>
      <w:r>
        <w:rPr>
          <w:rtl/>
        </w:rPr>
        <w:t>.</w:t>
      </w:r>
    </w:p>
    <w:p w:rsidR="00D70BB2" w:rsidRDefault="005632E9">
      <w:pPr>
        <w:bidi/>
        <w:spacing w:line="360" w:lineRule="auto"/>
        <w:jc w:val="both"/>
      </w:pPr>
      <w:r>
        <w:rPr>
          <w:rtl/>
        </w:rPr>
        <w:t xml:space="preserve">وبمراجعة الدراسات السابقة تتضح عدة أوجه للقصور: فالدراسات الإماراتية التي تناولت دور الأخصائي الاجتماعي اقتصر معظمها على البيئة المدرسية وطلبة ما دون الثامنة عشرة، واعتمد بعضها على التحليل النظري دون بيانات ميدانية </w:t>
      </w:r>
      <w:r>
        <w:t>(Alzeyoudi et al., 2026, p. 449)</w:t>
      </w:r>
      <w:r>
        <w:rPr>
          <w:rtl/>
        </w:rPr>
        <w:t xml:space="preserve">، أو على المقابلات النوعية مع الأخصائيين وحدهم دون قياس أثر تدخلاتهم في سلوك المستفيدين </w:t>
      </w:r>
      <w:r>
        <w:t>(Albrithen &amp; Alfalasi, 2024, p. 1)</w:t>
      </w:r>
      <w:r>
        <w:rPr>
          <w:rtl/>
        </w:rPr>
        <w:t xml:space="preserve">. أما الدراسات الوبائية المتاحة فقد ركزت إما على طلبة المدارس </w:t>
      </w:r>
      <w:r>
        <w:t>(WHO, 2016, pp. 3–4)</w:t>
      </w:r>
      <w:r>
        <w:rPr>
          <w:rtl/>
        </w:rPr>
        <w:t xml:space="preserve"> أو على عينات علاجية من مراكز التأهيل </w:t>
      </w:r>
      <w:r>
        <w:t>(Alblooshi et al., 2016, p. 1)</w:t>
      </w:r>
      <w:r>
        <w:rPr>
          <w:rtl/>
        </w:rPr>
        <w:t xml:space="preserve">، ولم تتناول دور التدخل المهني الوقائي. وعلى المستوى النظري، أجريت معظم اختبارات نظرية الروابط الاجتماعية في مجتمعات غربية وعلى عينات من المراهقين، في حين ما تزال قدرتها على تفسير الانحراف في السياقات العربية المحافظة بحاجة إلى مزيد من الفحص </w:t>
      </w:r>
      <w:r>
        <w:t>(Khoury-Kassabri et al., 2023, p. 1)</w:t>
      </w:r>
      <w:r>
        <w:rPr>
          <w:rtl/>
        </w:rPr>
        <w:t>.</w:t>
      </w:r>
    </w:p>
    <w:p w:rsidR="00D70BB2" w:rsidRDefault="005632E9">
      <w:pPr>
        <w:bidi/>
        <w:spacing w:line="360" w:lineRule="auto"/>
        <w:jc w:val="both"/>
      </w:pPr>
      <w:r>
        <w:rPr>
          <w:rtl/>
        </w:rPr>
        <w:lastRenderedPageBreak/>
        <w:t xml:space="preserve">وبناءً على ذلك تتحدد </w:t>
      </w:r>
      <w:r>
        <w:rPr>
          <w:b/>
          <w:bCs/>
          <w:rtl/>
        </w:rPr>
        <w:t>الفجوة البحثية</w:t>
      </w:r>
      <w:r>
        <w:rPr>
          <w:rtl/>
        </w:rPr>
        <w:t xml:space="preserve"> في غياب دراسة ميدانية تقيس فاعلية الدور الوقائي للأخصائي الاجتماعي بأبعاد محددة، وتختبر إحصائيًا علاقتها بدرجة السلوكيات المنحرفة لدى الشباب الإماراتي الراشد (18–30 سنة) في إمارة الشارقة، مع المقارنة بين وجهتي نظر الشباب المستفيدين والأخصائيين الاجتماعيين المنفذين، ومن ثم تنبثق الإشكالية المحورية للبحث:</w:t>
      </w:r>
    </w:p>
    <w:p w:rsidR="00D70BB2" w:rsidRDefault="005632E9">
      <w:pPr>
        <w:bidi/>
        <w:spacing w:line="360" w:lineRule="auto"/>
        <w:jc w:val="both"/>
      </w:pPr>
      <w:r>
        <w:rPr>
          <w:b/>
          <w:bCs/>
          <w:rtl/>
        </w:rPr>
        <w:t>ما فاعلية الدور الوقائي للأخصائي الاجتماعي في الحد من السلوكيات المنحرفة لدى الشباب الإماراتي (18–30 سنة) في المؤسسات التعليمية والمجتمعية بإمارة الشارقة؟</w:t>
      </w:r>
    </w:p>
    <w:p w:rsidR="00D70BB2" w:rsidRDefault="005632E9">
      <w:pPr>
        <w:bidi/>
        <w:spacing w:line="360" w:lineRule="auto"/>
        <w:jc w:val="both"/>
      </w:pPr>
      <w:r>
        <w:rPr>
          <w:rtl/>
        </w:rPr>
        <w:t>ويتفرع عن هذه الإشكالية الأسئلة الفرعية الآتية:</w:t>
      </w:r>
    </w:p>
    <w:p w:rsidR="00D70BB2" w:rsidRDefault="005632E9">
      <w:pPr>
        <w:bidi/>
        <w:spacing w:line="360" w:lineRule="auto"/>
        <w:jc w:val="both"/>
      </w:pPr>
      <w:r>
        <w:rPr>
          <w:rtl/>
        </w:rPr>
        <w:t>1. ما مستوى السلوكيات المنحرفة بأبعادها الثلاثة (السلوك العدواني والعنف، والتنمر التقليدي والإلكتروني، وتعاطي التبغ والمواد المؤثرة عقليًا) لدى الشباب الإماراتي أفراد العينة؟</w:t>
      </w:r>
    </w:p>
    <w:p w:rsidR="00D70BB2" w:rsidRDefault="005632E9">
      <w:pPr>
        <w:bidi/>
        <w:spacing w:line="360" w:lineRule="auto"/>
        <w:jc w:val="both"/>
      </w:pPr>
      <w:r>
        <w:rPr>
          <w:rtl/>
        </w:rPr>
        <w:t>2. ما درجة فاعلية الدور الوقائي للأخصائي الاجتماعي بأبعاده الأربعة (التوعوي، والإرشادي، والاكتشاف المبكر والإحالة، والشراكة مع الأسرة والمجتمع) من وجهة نظر كل من الشباب والأخصائيين الاجتماعيين؟</w:t>
      </w:r>
    </w:p>
    <w:p w:rsidR="00D70BB2" w:rsidRDefault="005632E9">
      <w:pPr>
        <w:bidi/>
        <w:spacing w:line="360" w:lineRule="auto"/>
        <w:jc w:val="both"/>
      </w:pPr>
      <w:r>
        <w:rPr>
          <w:rtl/>
        </w:rPr>
        <w:t>3. ما طبيعة العلاقة بين فاعلية الدور الوقائي للأخصائي الاجتماعي ودرجة السلوكيات المنحرفة لدى الشباب؟</w:t>
      </w:r>
    </w:p>
    <w:p w:rsidR="00D70BB2" w:rsidRDefault="005632E9">
      <w:pPr>
        <w:bidi/>
        <w:spacing w:line="360" w:lineRule="auto"/>
        <w:jc w:val="both"/>
      </w:pPr>
      <w:r>
        <w:rPr>
          <w:rtl/>
        </w:rPr>
        <w:t>4. ما طبيعة العلاقة بين مستوى مشاركة الشباب في البرامج الوقائية ودرجة السلوكيات المنحرفة لديهم؟ وما مدى إسهام فاعلية الدور ومستوى المشاركة معًا في التنبؤ بها؟</w:t>
      </w:r>
    </w:p>
    <w:p w:rsidR="00D70BB2" w:rsidRDefault="005632E9">
      <w:pPr>
        <w:bidi/>
        <w:spacing w:line="360" w:lineRule="auto"/>
        <w:jc w:val="both"/>
      </w:pPr>
      <w:r>
        <w:rPr>
          <w:rtl/>
        </w:rPr>
        <w:lastRenderedPageBreak/>
        <w:t>5. هل تختلف تقديرات الشباب لفاعلية الدور الوقائي للأخصائي الاجتماعي باختلاف الجنس، والفئة العمرية، والمستوى التعليمي، ونوع المؤسسة (تعليمية/مجتمعية)؟</w:t>
      </w:r>
    </w:p>
    <w:p w:rsidR="00D70BB2" w:rsidRDefault="005632E9">
      <w:pPr>
        <w:bidi/>
        <w:spacing w:line="360" w:lineRule="auto"/>
        <w:jc w:val="both"/>
      </w:pPr>
      <w:r>
        <w:rPr>
          <w:rtl/>
        </w:rPr>
        <w:t>6. ما المعوقات المهنية والمؤسسية التي تحد من فاعلية الدور الوقائي للأخصائي الاجتماعي، وما المقترحات اللازمة لتطويره من وجهة نظر الأخصائيين الاجتماعيين؟</w:t>
      </w:r>
    </w:p>
    <w:p w:rsidR="00D70BB2" w:rsidRDefault="005632E9">
      <w:pPr>
        <w:keepNext/>
        <w:bidi/>
        <w:spacing w:before="120" w:after="60" w:line="360" w:lineRule="auto"/>
        <w:jc w:val="both"/>
      </w:pPr>
      <w:r>
        <w:rPr>
          <w:b/>
          <w:bCs/>
          <w:rtl/>
        </w:rPr>
        <w:t>ثانياً: فرضيات البحث</w:t>
      </w:r>
    </w:p>
    <w:p w:rsidR="00D70BB2" w:rsidRDefault="005632E9">
      <w:pPr>
        <w:bidi/>
        <w:spacing w:line="360" w:lineRule="auto"/>
        <w:jc w:val="both"/>
      </w:pPr>
      <w:r>
        <w:rPr>
          <w:rtl/>
        </w:rPr>
        <w:t>في ضوء الإطار النظري والدراسات السابقة (الفصل الثاني)، صيغت الفرضيات الآتية للإجابة عن الأسئلة القابلة للاختبار الإحصائي (الثالث والرابع والخامس، والشق المقارن من السؤال الثاني)، في حين يجاب عن السؤالين الأول والسادس وصفيًا ونوعيًا لطبيعتهما الاستكشافية. وتختبر جميع الفرضيات عند مستوى دلالة (α ≤ 0.05):</w:t>
      </w:r>
    </w:p>
    <w:p w:rsidR="00D70BB2" w:rsidRDefault="005632E9">
      <w:pPr>
        <w:bidi/>
        <w:spacing w:line="360" w:lineRule="auto"/>
        <w:jc w:val="both"/>
      </w:pPr>
      <w:r>
        <w:rPr>
          <w:b/>
          <w:bCs/>
          <w:rtl/>
        </w:rPr>
        <w:t>الفرضية الأولى (ف1):</w:t>
      </w:r>
      <w:r>
        <w:rPr>
          <w:rtl/>
        </w:rPr>
        <w:t xml:space="preserve"> توجد علاقة ارتباطية عكسية ذات دلالة إحصائية بين درجة فاعلية الدور الوقائي للأخصائي الاجتماعي كما يقدرها الشباب ودرجة السلوكيات المنحرفة لديهم، أي كلما ارتفعت فاعلية الدور انخفضت درجة السلوكيات المنحرفة. [تقابل السؤال الثالث]</w:t>
      </w:r>
    </w:p>
    <w:p w:rsidR="00D70BB2" w:rsidRDefault="005632E9">
      <w:pPr>
        <w:bidi/>
        <w:spacing w:line="360" w:lineRule="auto"/>
        <w:jc w:val="both"/>
      </w:pPr>
      <w:r>
        <w:rPr>
          <w:b/>
          <w:bCs/>
          <w:rtl/>
        </w:rPr>
        <w:t>الفرضية الثانية (ف2):</w:t>
      </w:r>
      <w:r>
        <w:rPr>
          <w:rtl/>
        </w:rPr>
        <w:t xml:space="preserve"> توجد علاقة ارتباطية عكسية ذات دلالة إحصائية بين مستوى مشاركة الشباب في البرامج الوقائية ودرجة السلوكيات المنحرفة لديهم. [تقابل السؤال الرابع]</w:t>
      </w:r>
    </w:p>
    <w:p w:rsidR="00D70BB2" w:rsidRDefault="005632E9">
      <w:pPr>
        <w:bidi/>
        <w:spacing w:line="360" w:lineRule="auto"/>
        <w:jc w:val="both"/>
      </w:pPr>
      <w:r>
        <w:rPr>
          <w:b/>
          <w:bCs/>
          <w:rtl/>
        </w:rPr>
        <w:t>الفرضية الثالثة (ف3):</w:t>
      </w:r>
      <w:r>
        <w:rPr>
          <w:rtl/>
        </w:rPr>
        <w:t xml:space="preserve"> تسهم فاعلية الدور الوقائي للأخصائي الاجتماعي ومستوى المشاركة في البرامج الوقائية إسهامًا ذا دلالة إحصائية في التنبؤ بدرجة السلوكيات المنحرفة لدى الشباب. [تقابل السؤال الرابع]</w:t>
      </w:r>
    </w:p>
    <w:p w:rsidR="00D70BB2" w:rsidRDefault="005632E9">
      <w:pPr>
        <w:bidi/>
        <w:spacing w:line="360" w:lineRule="auto"/>
        <w:jc w:val="both"/>
      </w:pPr>
      <w:r>
        <w:rPr>
          <w:b/>
          <w:bCs/>
          <w:rtl/>
        </w:rPr>
        <w:lastRenderedPageBreak/>
        <w:t>الفرضية الرابعة (ف4):</w:t>
      </w:r>
      <w:r>
        <w:rPr>
          <w:rtl/>
        </w:rPr>
        <w:t xml:space="preserve"> توجد فروق ذات دلالة إحصائية بين متوسطات تقديرات الشباب لفاعلية الدور الوقائي للأخصائي الاجتماعي تعزى إلى متغيري الجنس (ذكور/إناث) ونوع المؤسسة (تعليمية/مجتمعية). [تقابل السؤال الخامس]</w:t>
      </w:r>
    </w:p>
    <w:p w:rsidR="00D70BB2" w:rsidRDefault="005632E9">
      <w:pPr>
        <w:bidi/>
        <w:spacing w:line="360" w:lineRule="auto"/>
        <w:jc w:val="both"/>
      </w:pPr>
      <w:r>
        <w:rPr>
          <w:b/>
          <w:bCs/>
          <w:rtl/>
        </w:rPr>
        <w:t>الفرضية الخامسة (ف5):</w:t>
      </w:r>
      <w:r>
        <w:rPr>
          <w:rtl/>
        </w:rPr>
        <w:t xml:space="preserve"> توجد فروق ذات دلالة إحصائية بين متوسطات تقديرات الشباب لفاعلية الدور الوقائي تعزى إلى متغيري الفئة العمرية (18–21، 22–25، 26–30 سنة) والمستوى التعليمي (ثانوي فأقل، دبلوم/جامعي، دراسات عليا). [تقابل السؤال الخامس]</w:t>
      </w:r>
    </w:p>
    <w:p w:rsidR="00D70BB2" w:rsidRDefault="005632E9">
      <w:pPr>
        <w:bidi/>
        <w:spacing w:line="360" w:lineRule="auto"/>
        <w:jc w:val="both"/>
      </w:pPr>
      <w:r>
        <w:rPr>
          <w:b/>
          <w:bCs/>
          <w:rtl/>
        </w:rPr>
        <w:t>الفرضية السادسة (ف6):</w:t>
      </w:r>
      <w:r>
        <w:rPr>
          <w:rtl/>
        </w:rPr>
        <w:t xml:space="preserve"> توجد فروق ذات دلالة إحصائية بين متوسط تقديرات الشباب ومتوسط تقديرات الأخصائيين الاجتماعيين لدرجة فاعلية الدور الوقائي. [تقابل الشق المقارن من السؤال الثاني]</w:t>
      </w:r>
    </w:p>
    <w:p w:rsidR="00D70BB2" w:rsidRDefault="005632E9">
      <w:pPr>
        <w:keepNext/>
        <w:bidi/>
        <w:spacing w:before="120" w:after="60" w:line="360" w:lineRule="auto"/>
        <w:jc w:val="both"/>
      </w:pPr>
      <w:r>
        <w:rPr>
          <w:b/>
          <w:bCs/>
          <w:rtl/>
        </w:rPr>
        <w:t>ثالثاً: أهمية البحث</w:t>
      </w:r>
    </w:p>
    <w:p w:rsidR="00D70BB2" w:rsidRDefault="005632E9">
      <w:pPr>
        <w:bidi/>
        <w:spacing w:line="360" w:lineRule="auto"/>
        <w:jc w:val="both"/>
      </w:pPr>
      <w:r>
        <w:rPr>
          <w:b/>
          <w:bCs/>
          <w:rtl/>
        </w:rPr>
        <w:t>الأهمية العلمية:</w:t>
      </w:r>
      <w:r>
        <w:rPr>
          <w:rtl/>
        </w:rPr>
        <w:t xml:space="preserve"> تتجلى الأهمية العلمية للبحث في أنه:</w:t>
      </w:r>
    </w:p>
    <w:p w:rsidR="00D70BB2" w:rsidRDefault="005632E9">
      <w:pPr>
        <w:bidi/>
        <w:spacing w:line="360" w:lineRule="auto"/>
        <w:jc w:val="both"/>
      </w:pPr>
      <w:r>
        <w:rPr>
          <w:rtl/>
        </w:rPr>
        <w:t xml:space="preserve">1. يقدم – في حدود اطلاع الباحثة – اختبارًا ميدانيًا في إمارة الشارقة للعلاقة بين فاعلية الدور الوقائي للأخصائي الاجتماعي ودرجة السلوكيات المنحرفة لدى الشباب الراشد (18–30 سنة)، متجاوزًا الدراسات الإماراتية التي اقتصرت على البيئة المدرسية أو على التحليل النظري </w:t>
      </w:r>
      <w:r>
        <w:t>(Alzeyoudi et al., 2026, p. 449; Albrithen &amp; Alfalasi, 2024, p. 1)</w:t>
      </w:r>
      <w:r>
        <w:rPr>
          <w:rtl/>
        </w:rPr>
        <w:t>.</w:t>
      </w:r>
    </w:p>
    <w:p w:rsidR="00D70BB2" w:rsidRDefault="005632E9">
      <w:pPr>
        <w:bidi/>
        <w:spacing w:line="360" w:lineRule="auto"/>
        <w:jc w:val="both"/>
      </w:pPr>
      <w:r>
        <w:rPr>
          <w:rtl/>
        </w:rPr>
        <w:t xml:space="preserve">2. يختبر قدرة نظرية الروابط الاجتماعية – مدعومة بنظرية التعلم الاجتماعي – على تفسير السلوك المنحرف في سياق عربي خليجي، وهو ما تشير الأدبيات إلى ندرته مقارنة بالسياقات الغربية </w:t>
      </w:r>
      <w:r>
        <w:t>(Khoury-Kassabri et al., 2023, p. 1)</w:t>
      </w:r>
      <w:r>
        <w:rPr>
          <w:rtl/>
        </w:rPr>
        <w:t>.</w:t>
      </w:r>
    </w:p>
    <w:p w:rsidR="00D70BB2" w:rsidRDefault="005632E9">
      <w:pPr>
        <w:bidi/>
        <w:spacing w:line="360" w:lineRule="auto"/>
        <w:jc w:val="both"/>
      </w:pPr>
      <w:r>
        <w:rPr>
          <w:rtl/>
        </w:rPr>
        <w:lastRenderedPageBreak/>
        <w:t>3. يقدم تعريفًا إجرائيًا لمفهوم «فاعلية الدور الوقائي للأخصائي الاجتماعي» بأربعة أبعاد قابلة للقياس، ويبني مقياسًا مقننًا له يمكن أن يفيد منه الباحثون لاحقًا.</w:t>
      </w:r>
    </w:p>
    <w:p w:rsidR="00D70BB2" w:rsidRDefault="005632E9">
      <w:pPr>
        <w:bidi/>
        <w:spacing w:line="360" w:lineRule="auto"/>
        <w:jc w:val="both"/>
      </w:pPr>
      <w:r>
        <w:rPr>
          <w:rtl/>
        </w:rPr>
        <w:t>4. يسهم في ضبط التمييز المفاهيمي بين الانحراف السلوكي والجنوح والجريمة في البحوث الاجتماعية الإماراتية، بما يحد من استخدام هذه المفاهيم بصورة مترادفة.</w:t>
      </w:r>
    </w:p>
    <w:p w:rsidR="00D70BB2" w:rsidRDefault="005632E9">
      <w:pPr>
        <w:bidi/>
        <w:spacing w:line="360" w:lineRule="auto"/>
        <w:jc w:val="both"/>
      </w:pPr>
      <w:r>
        <w:rPr>
          <w:b/>
          <w:bCs/>
          <w:rtl/>
        </w:rPr>
        <w:t>الأهمية العملية:</w:t>
      </w:r>
      <w:r>
        <w:rPr>
          <w:rtl/>
        </w:rPr>
        <w:t xml:space="preserve"> تتجلى الأهمية العملية في الجهات المستفيدة من النتائج وأوجه توظيفها، على النحو الآتي:</w:t>
      </w:r>
    </w:p>
    <w:p w:rsidR="00D70BB2" w:rsidRDefault="005632E9">
      <w:pPr>
        <w:bidi/>
        <w:spacing w:line="360" w:lineRule="auto"/>
        <w:jc w:val="both"/>
      </w:pPr>
      <w:r>
        <w:rPr>
          <w:rtl/>
        </w:rPr>
        <w:t xml:space="preserve">1. </w:t>
      </w:r>
      <w:r>
        <w:rPr>
          <w:b/>
          <w:bCs/>
          <w:rtl/>
        </w:rPr>
        <w:t>الأخصائيون الاجتماعيون في المؤسسات التعليمية والمجتمعية:</w:t>
      </w:r>
      <w:r>
        <w:rPr>
          <w:rtl/>
        </w:rPr>
        <w:t xml:space="preserve"> استخدام مقياس الفاعلية أداةً للتقويم الذاتي الدوري، وتحديد الأبعاد الأضعف في الأداء (كالاكتشاف المبكر أو الشراكة مع الأسرة) لتوجيه الجهود المهنية نحوها.</w:t>
      </w:r>
    </w:p>
    <w:p w:rsidR="00D70BB2" w:rsidRDefault="005632E9">
      <w:pPr>
        <w:bidi/>
        <w:spacing w:line="360" w:lineRule="auto"/>
        <w:jc w:val="both"/>
      </w:pPr>
      <w:r>
        <w:rPr>
          <w:rtl/>
        </w:rPr>
        <w:t xml:space="preserve">2. </w:t>
      </w:r>
      <w:r>
        <w:rPr>
          <w:b/>
          <w:bCs/>
          <w:rtl/>
        </w:rPr>
        <w:t>إدارات شؤون الطلبة ووحدات الإرشاد في الجامعات والكليات بإمارة الشارقة:</w:t>
      </w:r>
      <w:r>
        <w:rPr>
          <w:rtl/>
        </w:rPr>
        <w:t xml:space="preserve"> توظيف النتائج في تصميم برامج وقائية موجهة إلى الفئات الأعلى خطرًا بحسب الجنس والعمر والمستوى التعليمي.</w:t>
      </w:r>
    </w:p>
    <w:p w:rsidR="00D70BB2" w:rsidRDefault="005632E9">
      <w:pPr>
        <w:bidi/>
        <w:spacing w:line="360" w:lineRule="auto"/>
        <w:jc w:val="both"/>
      </w:pPr>
      <w:r>
        <w:rPr>
          <w:rtl/>
        </w:rPr>
        <w:t xml:space="preserve">3. </w:t>
      </w:r>
      <w:r>
        <w:rPr>
          <w:b/>
          <w:bCs/>
          <w:rtl/>
        </w:rPr>
        <w:t>الجهات المحلية والاتحادية المعنية بالشباب والخدمات الاجتماعية والتأهيل</w:t>
      </w:r>
      <w:r>
        <w:rPr>
          <w:rtl/>
        </w:rPr>
        <w:t xml:space="preserve"> (مثل دائرة الخدمات الاجتماعية بالشارقة، والمؤسسة الاتحادية للشباب، والمركز الوطني للتأهيل): الإفادة من النتائج في توجيه السياسات والبرامج الوقائية، وتطوير آليات الإحالة المبكرة بين المؤسسات التعليمية ومراكز الدعم والتأهيل.</w:t>
      </w:r>
    </w:p>
    <w:p w:rsidR="00D70BB2" w:rsidRDefault="005632E9">
      <w:pPr>
        <w:bidi/>
        <w:spacing w:line="360" w:lineRule="auto"/>
        <w:jc w:val="both"/>
      </w:pPr>
      <w:r>
        <w:rPr>
          <w:rtl/>
        </w:rPr>
        <w:t xml:space="preserve">4. </w:t>
      </w:r>
      <w:r>
        <w:rPr>
          <w:b/>
          <w:bCs/>
          <w:rtl/>
        </w:rPr>
        <w:t>جهات التدريب والتأهيل المهني للأخصائيين الاجتماعيين:</w:t>
      </w:r>
      <w:r>
        <w:rPr>
          <w:rtl/>
        </w:rPr>
        <w:t xml:space="preserve"> بناء برامج تدريبية على الاحتياجات التي تكشفها النتائج، استجابةً لما أشارت إليه الأدبيات من ارتباط فاعلية الأخصائي بالتدريب المستمر والدعم المؤسسي </w:t>
      </w:r>
      <w:r>
        <w:t>(Alzeyoudi et al., 2026, p. 449)</w:t>
      </w:r>
      <w:r>
        <w:rPr>
          <w:rtl/>
        </w:rPr>
        <w:t>.</w:t>
      </w:r>
    </w:p>
    <w:p w:rsidR="00D70BB2" w:rsidRDefault="005632E9">
      <w:pPr>
        <w:bidi/>
        <w:spacing w:line="360" w:lineRule="auto"/>
        <w:jc w:val="both"/>
      </w:pPr>
      <w:r>
        <w:rPr>
          <w:rtl/>
        </w:rPr>
        <w:lastRenderedPageBreak/>
        <w:t xml:space="preserve">وتنسجم الدراسة في مجملها مع توجه الدولة نحو تمكين الشباب الذين يمثلون نحو نصف السكان </w:t>
      </w:r>
      <w:r>
        <w:t>(Strategy&amp;, 2021, p. 3)</w:t>
      </w:r>
      <w:r>
        <w:rPr>
          <w:rtl/>
        </w:rPr>
        <w:t>، إذ تقدم أدلة ميدانية يمكن البناء عليها في تطوير الخدمات الوقائية الموجهة إليهم.</w:t>
      </w:r>
    </w:p>
    <w:p w:rsidR="00D70BB2" w:rsidRDefault="005632E9">
      <w:pPr>
        <w:keepNext/>
        <w:bidi/>
        <w:spacing w:before="120" w:after="60" w:line="360" w:lineRule="auto"/>
        <w:jc w:val="both"/>
      </w:pPr>
      <w:r>
        <w:rPr>
          <w:b/>
          <w:bCs/>
          <w:rtl/>
        </w:rPr>
        <w:t>الدوافع الموضوعية لإجراء الدراسة</w:t>
      </w:r>
    </w:p>
    <w:p w:rsidR="00D70BB2" w:rsidRDefault="005632E9">
      <w:pPr>
        <w:pStyle w:val="ListParagraph"/>
        <w:numPr>
          <w:ilvl w:val="0"/>
          <w:numId w:val="12"/>
        </w:numPr>
        <w:bidi/>
        <w:spacing w:line="360" w:lineRule="auto"/>
        <w:jc w:val="both"/>
      </w:pPr>
      <w:r>
        <w:rPr>
          <w:b/>
          <w:bCs/>
          <w:rtl/>
        </w:rPr>
        <w:t>نقص الدراسات التطبيقية في السياق الإماراتي:</w:t>
      </w:r>
      <w:r>
        <w:rPr>
          <w:rtl/>
        </w:rPr>
        <w:t xml:space="preserve"> هناك نقص واضح في الدراسات التطبيقية التي تناولت دور العمل الاجتماعي في الوقاية من السلوكيات المنحرفة لدى الشباب في السياق الإماراتي، مما يبرز الحاجة إلى سد هذه الفجوة البحثية.</w:t>
      </w:r>
    </w:p>
    <w:p w:rsidR="00D70BB2" w:rsidRDefault="005632E9">
      <w:pPr>
        <w:pStyle w:val="ListParagraph"/>
        <w:numPr>
          <w:ilvl w:val="0"/>
          <w:numId w:val="12"/>
        </w:numPr>
        <w:bidi/>
        <w:spacing w:line="360" w:lineRule="auto"/>
        <w:jc w:val="both"/>
      </w:pPr>
      <w:r>
        <w:rPr>
          <w:b/>
          <w:bCs/>
          <w:rtl/>
        </w:rPr>
        <w:t>أولوية القضية مجتمعيًا:</w:t>
      </w:r>
      <w:r>
        <w:rPr>
          <w:rtl/>
        </w:rPr>
        <w:t xml:space="preserve"> تعد معالجة السلوكيات المنحرفة لدى الشباب من أولويات المجتمع الإماراتي، نظرًا لارتباطها المباشر باستقرار الأسرة والمجتمع، وتحقيق رؤية الدولة في بناء مجتمع متماسك وآمن.</w:t>
      </w:r>
    </w:p>
    <w:p w:rsidR="00D70BB2" w:rsidRDefault="005632E9">
      <w:pPr>
        <w:pStyle w:val="ListParagraph"/>
        <w:numPr>
          <w:ilvl w:val="0"/>
          <w:numId w:val="12"/>
        </w:numPr>
        <w:bidi/>
        <w:spacing w:line="360" w:lineRule="auto"/>
        <w:jc w:val="both"/>
      </w:pPr>
      <w:r>
        <w:rPr>
          <w:b/>
          <w:bCs/>
          <w:rtl/>
        </w:rPr>
        <w:t>الحاجة إلى أدوات وبرامج قائمة على الأدلة:</w:t>
      </w:r>
      <w:r>
        <w:rPr>
          <w:rtl/>
        </w:rPr>
        <w:t xml:space="preserve"> يتوقع أن تسهم نتائج الدراسة في تطوير برامج وقائية أكثر فاعلية داخل المؤسسات التعليمية والاجتماعية، وتزويد الأخصائيين الاجتماعيين بأدوات علمية تساعدهم في أداء دورهم الوقائي، وتعزيز دور العمل الاجتماعي في حماية الشباب بما يتماشى مع السياسات الوطنية التي تركز على الاستثمار في الإنسان بوصفه محور التنمية (عبد الحميد، 2019؛ </w:t>
      </w:r>
      <w:r>
        <w:t>Neuman, 2020</w:t>
      </w:r>
      <w:r>
        <w:rPr>
          <w:rtl/>
        </w:rPr>
        <w:t>).</w:t>
      </w:r>
    </w:p>
    <w:p w:rsidR="00D70BB2" w:rsidRDefault="005632E9">
      <w:pPr>
        <w:keepNext/>
        <w:bidi/>
        <w:spacing w:before="120" w:after="60" w:line="360" w:lineRule="auto"/>
        <w:jc w:val="both"/>
      </w:pPr>
      <w:r>
        <w:rPr>
          <w:b/>
          <w:bCs/>
          <w:rtl/>
        </w:rPr>
        <w:t>الدوافع الذاتية لإجراء الدراسة</w:t>
      </w:r>
    </w:p>
    <w:p w:rsidR="00D70BB2" w:rsidRDefault="005632E9">
      <w:pPr>
        <w:pStyle w:val="ListParagraph"/>
        <w:numPr>
          <w:ilvl w:val="0"/>
          <w:numId w:val="12"/>
        </w:numPr>
        <w:bidi/>
        <w:spacing w:line="360" w:lineRule="auto"/>
        <w:jc w:val="both"/>
      </w:pPr>
      <w:r>
        <w:rPr>
          <w:rtl/>
        </w:rPr>
        <w:t xml:space="preserve">ينبع اختيار الموضوع من اهتمام الباحثة بمجال علم الاجتماع التطبيقي والعمل الاجتماعي، ورغبتها في المساهمة في تطوير هذا المجال بما يخدم المجتمع العربي عامة والإماراتي خاصة، إذ تمثل دراسة هذا </w:t>
      </w:r>
      <w:r>
        <w:rPr>
          <w:rtl/>
        </w:rPr>
        <w:lastRenderedPageBreak/>
        <w:t>الموضوع امتدادًا طبيعيًا لمسيرتها الأكاديمية، وتسعى من خلالها إلى تطبيق ما اكتسبته من معارف نظرية على قضية واقعية تمس المجتمع.</w:t>
      </w:r>
    </w:p>
    <w:p w:rsidR="00D70BB2" w:rsidRDefault="005632E9">
      <w:pPr>
        <w:pStyle w:val="ListParagraph"/>
        <w:numPr>
          <w:ilvl w:val="0"/>
          <w:numId w:val="12"/>
        </w:numPr>
        <w:bidi/>
        <w:spacing w:line="360" w:lineRule="auto"/>
        <w:jc w:val="both"/>
      </w:pPr>
      <w:r>
        <w:rPr>
          <w:rtl/>
        </w:rPr>
        <w:t>إيمان الباحثة العميق بأن العمل الاجتماعي ليس مجرد نشاط مهني، بل هو رسالة إنسانية تهدف إلى حماية الشباب من المخاطر، وتعزيز قيم الانتماء والمسؤولية لديهم.</w:t>
      </w:r>
    </w:p>
    <w:p w:rsidR="00D70BB2" w:rsidRDefault="005632E9">
      <w:pPr>
        <w:pStyle w:val="ListParagraph"/>
        <w:numPr>
          <w:ilvl w:val="0"/>
          <w:numId w:val="12"/>
        </w:numPr>
        <w:bidi/>
        <w:spacing w:line="360" w:lineRule="auto"/>
        <w:jc w:val="both"/>
      </w:pPr>
      <w:r>
        <w:rPr>
          <w:rtl/>
        </w:rPr>
        <w:t>تمثل هذه الدراسة خطوة مهمة نحو تحقيق طموح الباحثة في التخصص الدقيق في مجال الإرشاد الأسري والعمل الاجتماعي، والمساهمة في إثراء الأدبيات العربية في هذا المجال.</w:t>
      </w:r>
    </w:p>
    <w:p w:rsidR="00D70BB2" w:rsidRDefault="005632E9">
      <w:pPr>
        <w:keepNext/>
        <w:bidi/>
        <w:spacing w:before="120" w:after="60" w:line="360" w:lineRule="auto"/>
        <w:jc w:val="both"/>
      </w:pPr>
      <w:r>
        <w:rPr>
          <w:b/>
          <w:bCs/>
          <w:rtl/>
        </w:rPr>
        <w:t>مبررات الدراسة</w:t>
      </w:r>
    </w:p>
    <w:p w:rsidR="00D70BB2" w:rsidRDefault="005632E9">
      <w:pPr>
        <w:bidi/>
        <w:spacing w:line="360" w:lineRule="auto"/>
        <w:jc w:val="both"/>
      </w:pPr>
      <w:r>
        <w:rPr>
          <w:rtl/>
        </w:rPr>
        <w:t>تشهد المجتمعات المعاصرة تحولات اجتماعية وثقافية واقتصادية متسارعة قد ترتبط بتغير بعض أنماط السلوك لدى الشباب، مما يعزز الحاجة إلى دراسة مظاهر السلوك المنحرف والعوامل المرتبطة به وسبل الوقاية منه. ويمكن تلخيص مبررات الدراسة فيما يلي:</w:t>
      </w:r>
    </w:p>
    <w:p w:rsidR="00D70BB2" w:rsidRDefault="005632E9">
      <w:pPr>
        <w:pStyle w:val="ListParagraph"/>
        <w:numPr>
          <w:ilvl w:val="0"/>
          <w:numId w:val="12"/>
        </w:numPr>
        <w:bidi/>
        <w:spacing w:line="360" w:lineRule="auto"/>
        <w:jc w:val="both"/>
      </w:pPr>
      <w:r>
        <w:rPr>
          <w:b/>
          <w:bCs/>
          <w:rtl/>
        </w:rPr>
        <w:t>الحاجة إلى تقويم البرامج الوقائية القائمة:</w:t>
      </w:r>
      <w:r>
        <w:rPr>
          <w:rtl/>
        </w:rPr>
        <w:t xml:space="preserve"> رغم وجود العديد من البرامج الاجتماعية والتعليمية التي تستهدف الشباب، ما تزال هناك حاجة إلى تقويم مدى فاعليتها في الوقاية من السلوكيات المنحرفة، والكشف عن نقاط القوة والضعف فيها، بهدف تطويرها وتحسينها.</w:t>
      </w:r>
    </w:p>
    <w:p w:rsidR="00D70BB2" w:rsidRDefault="005632E9">
      <w:pPr>
        <w:pStyle w:val="ListParagraph"/>
        <w:numPr>
          <w:ilvl w:val="0"/>
          <w:numId w:val="12"/>
        </w:numPr>
        <w:bidi/>
        <w:spacing w:line="360" w:lineRule="auto"/>
        <w:jc w:val="both"/>
      </w:pPr>
      <w:r>
        <w:rPr>
          <w:b/>
          <w:bCs/>
          <w:rtl/>
        </w:rPr>
        <w:t>أهمية دور الأخصائي الاجتماعي:</w:t>
      </w:r>
      <w:r>
        <w:rPr>
          <w:rtl/>
        </w:rPr>
        <w:t xml:space="preserve"> يعد الأخصائي الاجتماعي عنصرًا أساسيًا في مواجهة السلوكيات المنحرفة، إذ يصمم البرامج الوقائية والإرشادية وينفذها، ويعمل على تعزيز القيم الإيجابية لدى الشباب، ومن هنا تأتي ضرورة دراسة دوره علميًا لتوضيح مدى فاعليته، وتحديد المهارات التي يحتاج إلى تطويرها (أبو زيد، 2015).</w:t>
      </w:r>
    </w:p>
    <w:p w:rsidR="00D70BB2" w:rsidRDefault="005632E9">
      <w:pPr>
        <w:pStyle w:val="ListParagraph"/>
        <w:numPr>
          <w:ilvl w:val="0"/>
          <w:numId w:val="12"/>
        </w:numPr>
        <w:bidi/>
        <w:spacing w:line="360" w:lineRule="auto"/>
        <w:jc w:val="both"/>
      </w:pPr>
      <w:r>
        <w:rPr>
          <w:b/>
          <w:bCs/>
          <w:rtl/>
        </w:rPr>
        <w:lastRenderedPageBreak/>
        <w:t>الفجوة البحثية:</w:t>
      </w:r>
      <w:r>
        <w:rPr>
          <w:rtl/>
        </w:rPr>
        <w:t xml:space="preserve"> ركزت معظم الدراسات السابقة على الجوانب النظرية أو على تجارب محدودة، ولم تتناول بصورة كافية السياق الإماراتي، ومن هنا تأتي أهمية هذه الدراسة في سد هذه الفجوة، وتقديم نتائج تطبيقية يمكن الاستفادة منها في الواقع العملي.</w:t>
      </w:r>
    </w:p>
    <w:p w:rsidR="00D70BB2" w:rsidRDefault="005632E9">
      <w:pPr>
        <w:pStyle w:val="ListParagraph"/>
        <w:numPr>
          <w:ilvl w:val="0"/>
          <w:numId w:val="12"/>
        </w:numPr>
        <w:bidi/>
        <w:spacing w:line="360" w:lineRule="auto"/>
        <w:jc w:val="both"/>
      </w:pPr>
      <w:r>
        <w:rPr>
          <w:b/>
          <w:bCs/>
          <w:rtl/>
        </w:rPr>
        <w:t>الدافع الشخصي والعلمي:</w:t>
      </w:r>
      <w:r>
        <w:rPr>
          <w:rtl/>
        </w:rPr>
        <w:t xml:space="preserve"> يرتبط اختيار الموضوع باهتمام الباحثة بعلم الاجتماع التطبيقي والعمل الاجتماعي، وقناعتها بأن العمل الاجتماعي رسالة إنسانية تهدف إلى حماية الشباب وتعزيز قيم الانتماء والمسؤولية لديهم.</w:t>
      </w:r>
    </w:p>
    <w:p w:rsidR="00D70BB2" w:rsidRDefault="005632E9">
      <w:pPr>
        <w:bidi/>
        <w:spacing w:line="360" w:lineRule="auto"/>
        <w:jc w:val="both"/>
      </w:pPr>
      <w:r>
        <w:rPr>
          <w:rtl/>
        </w:rPr>
        <w:t>وتتجلى أهمية هذه الدراسة ومبرراتها في كونها استجابة لحاجة علمية ومجتمعية ملحة، ورغبة ذاتية صادقة في خدمة المجتمع الإماراتي، فهي لا تقتصر على كونها عملًا أكاديميًا، بل تمثل مساهمة عملية في تطوير برامج وقائية تستهدف الشباب، وتعزيز دور الأخصائي الاجتماعي في مواجهة السلوكيات المنحرفة، بما يحقق أهداف التنمية المستدامة ويعزز تماسك المجتمع الإماراتي.</w:t>
      </w:r>
    </w:p>
    <w:p w:rsidR="00D70BB2" w:rsidRDefault="005632E9">
      <w:pPr>
        <w:keepNext/>
        <w:bidi/>
        <w:spacing w:before="120" w:after="60" w:line="360" w:lineRule="auto"/>
        <w:jc w:val="both"/>
      </w:pPr>
      <w:r>
        <w:rPr>
          <w:b/>
          <w:bCs/>
          <w:rtl/>
        </w:rPr>
        <w:t>رابعاً: أهداف البحث</w:t>
      </w:r>
    </w:p>
    <w:p w:rsidR="00D70BB2" w:rsidRDefault="005632E9">
      <w:pPr>
        <w:bidi/>
        <w:spacing w:line="360" w:lineRule="auto"/>
        <w:jc w:val="both"/>
      </w:pPr>
      <w:r>
        <w:rPr>
          <w:rtl/>
        </w:rPr>
        <w:t>يهدف البحث بصورة رئيسة إلى قياس فاعلية الدور الوقائي للأخصائي الاجتماعي في الحد من السلوكيات المنحرفة لدى الشباب الإماراتي (18–30 سنة) في إمارة الشارقة، ويقصد بقياس الفاعلية هنا الجمع بين مؤشرين: درجة تحقق أبعاد الدور الأربعة كما يقدرها المستفيدون والمنفذون، واتجاه علاقة هذه الدرجة بدرجة السلوكيات المنحرفة وقوتها. ويتفرع عن الهدف الرئيس الأهداف الإجرائية الآتية:</w:t>
      </w:r>
    </w:p>
    <w:p w:rsidR="00D70BB2" w:rsidRDefault="005632E9">
      <w:pPr>
        <w:bidi/>
        <w:spacing w:line="360" w:lineRule="auto"/>
        <w:jc w:val="both"/>
      </w:pPr>
      <w:r>
        <w:rPr>
          <w:rtl/>
        </w:rPr>
        <w:lastRenderedPageBreak/>
        <w:t>1. تحديد مستوى السلوكيات المنحرفة بأبعادها الثلاثة لدى أفراد العينة، بحساب المتوسطات الحسابية والانحرافات المعيارية والنسب المئوية لتكرار كل سلوك خلال الاثني عشر شهرًا السابقة (هدف وصفي – يقابل السؤال الأول).</w:t>
      </w:r>
    </w:p>
    <w:p w:rsidR="00D70BB2" w:rsidRDefault="005632E9">
      <w:pPr>
        <w:bidi/>
        <w:spacing w:line="360" w:lineRule="auto"/>
        <w:jc w:val="both"/>
      </w:pPr>
      <w:r>
        <w:rPr>
          <w:rtl/>
        </w:rPr>
        <w:t>2. قياس درجة فاعلية الدور الوقائي للأخصائي الاجتماعي بأبعاده الأربعة من وجهة نظر الشباب والأخصائيين الاجتماعيين، والكشف عن الفروق بين التقديرين (هدف وصفي مقارن – يقابل السؤال الثاني والفرضية السادسة).</w:t>
      </w:r>
    </w:p>
    <w:p w:rsidR="00D70BB2" w:rsidRDefault="005632E9">
      <w:pPr>
        <w:bidi/>
        <w:spacing w:line="360" w:lineRule="auto"/>
        <w:jc w:val="both"/>
      </w:pPr>
      <w:r>
        <w:rPr>
          <w:rtl/>
        </w:rPr>
        <w:t>3. تحديد اتجاه العلاقة وقوتها بين فاعلية الدور الوقائي للأخصائي الاجتماعي ودرجة السلوكيات المنحرفة لدى الشباب (هدف تفسيري – يقابل السؤال الثالث والفرضية الأولى).</w:t>
      </w:r>
    </w:p>
    <w:p w:rsidR="00D70BB2" w:rsidRDefault="005632E9">
      <w:pPr>
        <w:bidi/>
        <w:spacing w:line="360" w:lineRule="auto"/>
        <w:jc w:val="both"/>
      </w:pPr>
      <w:r>
        <w:rPr>
          <w:rtl/>
        </w:rPr>
        <w:t>4. تحديد العلاقة بين مستوى المشاركة في البرامج الوقائية ودرجة السلوكيات المنحرفة، وتقدير نسبة التباين في السلوكيات المنحرفة التي تفسرها فاعلية الدور ومستوى المشاركة معًا (هدف تفسيري – يقابل السؤال الرابع والفرضيتين الثانية والثالثة).</w:t>
      </w:r>
    </w:p>
    <w:p w:rsidR="00D70BB2" w:rsidRDefault="005632E9">
      <w:pPr>
        <w:bidi/>
        <w:spacing w:line="360" w:lineRule="auto"/>
        <w:jc w:val="both"/>
      </w:pPr>
      <w:r>
        <w:rPr>
          <w:rtl/>
        </w:rPr>
        <w:t>5. الكشف عن الفروق في تقديرات الشباب لفاعلية الدور الوقائي تبعًا للجنس والفئة العمرية والمستوى التعليمي ونوع المؤسسة (هدف مقارن – يقابل السؤال الخامس والفرضيتين الرابعة والخامسة).</w:t>
      </w:r>
    </w:p>
    <w:p w:rsidR="00D70BB2" w:rsidRDefault="005632E9">
      <w:pPr>
        <w:bidi/>
        <w:spacing w:line="360" w:lineRule="auto"/>
        <w:jc w:val="both"/>
      </w:pPr>
      <w:r>
        <w:rPr>
          <w:rtl/>
        </w:rPr>
        <w:t>6. حصر المعوقات المهنية والمؤسسية التي تحد من فاعلية الدور الوقائي للأخصائي الاجتماعي، وصياغة تصور مقترح لتطويره في ضوء النتائج (هدف تطبيقي – يقابل السؤال السادس).</w:t>
      </w:r>
    </w:p>
    <w:p w:rsidR="00D70BB2" w:rsidRDefault="005632E9">
      <w:pPr>
        <w:keepNext/>
        <w:bidi/>
        <w:spacing w:before="120" w:after="60" w:line="360" w:lineRule="auto"/>
        <w:jc w:val="center"/>
      </w:pPr>
      <w:r>
        <w:rPr>
          <w:b/>
          <w:bCs/>
          <w:rtl/>
        </w:rPr>
        <w:lastRenderedPageBreak/>
        <w:t>جدول (1): مصفوفة الاتساق بين أسئلة البحث وأهدافه وفرضياته وأساليب التحليل</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600"/>
        <w:gridCol w:w="1250"/>
        <w:gridCol w:w="1200"/>
        <w:gridCol w:w="2350"/>
        <w:gridCol w:w="2960"/>
      </w:tblGrid>
      <w:tr w:rsidR="00D70BB2">
        <w:trPr>
          <w:cantSplit/>
          <w:tblHeader/>
          <w:jc w:val="center"/>
        </w:trPr>
        <w:tc>
          <w:tcPr>
            <w:tcW w:w="1600" w:type="dxa"/>
            <w:shd w:val="clear" w:color="auto" w:fill="D9E2F3"/>
          </w:tcPr>
          <w:p w:rsidR="00D70BB2" w:rsidRDefault="005632E9">
            <w:pPr>
              <w:bidi/>
              <w:spacing w:after="0" w:line="240" w:lineRule="auto"/>
              <w:jc w:val="center"/>
            </w:pPr>
            <w:r>
              <w:rPr>
                <w:b/>
                <w:bCs/>
                <w:sz w:val="22"/>
                <w:szCs w:val="22"/>
                <w:rtl/>
              </w:rPr>
              <w:t>السؤال</w:t>
            </w:r>
          </w:p>
        </w:tc>
        <w:tc>
          <w:tcPr>
            <w:tcW w:w="1250" w:type="dxa"/>
            <w:shd w:val="clear" w:color="auto" w:fill="D9E2F3"/>
          </w:tcPr>
          <w:p w:rsidR="00D70BB2" w:rsidRDefault="005632E9">
            <w:pPr>
              <w:bidi/>
              <w:spacing w:after="0" w:line="240" w:lineRule="auto"/>
              <w:jc w:val="center"/>
            </w:pPr>
            <w:r>
              <w:rPr>
                <w:b/>
                <w:bCs/>
                <w:sz w:val="22"/>
                <w:szCs w:val="22"/>
                <w:rtl/>
              </w:rPr>
              <w:t>الهدف</w:t>
            </w:r>
          </w:p>
        </w:tc>
        <w:tc>
          <w:tcPr>
            <w:tcW w:w="1200" w:type="dxa"/>
            <w:shd w:val="clear" w:color="auto" w:fill="D9E2F3"/>
          </w:tcPr>
          <w:p w:rsidR="00D70BB2" w:rsidRDefault="005632E9">
            <w:pPr>
              <w:bidi/>
              <w:spacing w:after="0" w:line="240" w:lineRule="auto"/>
              <w:jc w:val="center"/>
            </w:pPr>
            <w:r>
              <w:rPr>
                <w:b/>
                <w:bCs/>
                <w:sz w:val="22"/>
                <w:szCs w:val="22"/>
                <w:rtl/>
              </w:rPr>
              <w:t>الفرضية</w:t>
            </w:r>
          </w:p>
        </w:tc>
        <w:tc>
          <w:tcPr>
            <w:tcW w:w="2350" w:type="dxa"/>
            <w:shd w:val="clear" w:color="auto" w:fill="D9E2F3"/>
          </w:tcPr>
          <w:p w:rsidR="00D70BB2" w:rsidRDefault="005632E9">
            <w:pPr>
              <w:bidi/>
              <w:spacing w:after="0" w:line="240" w:lineRule="auto"/>
              <w:jc w:val="center"/>
            </w:pPr>
            <w:r>
              <w:rPr>
                <w:b/>
                <w:bCs/>
                <w:sz w:val="22"/>
                <w:szCs w:val="22"/>
                <w:rtl/>
              </w:rPr>
              <w:t>مصدر البيانات</w:t>
            </w:r>
          </w:p>
        </w:tc>
        <w:tc>
          <w:tcPr>
            <w:tcW w:w="2960" w:type="dxa"/>
            <w:shd w:val="clear" w:color="auto" w:fill="D9E2F3"/>
          </w:tcPr>
          <w:p w:rsidR="00D70BB2" w:rsidRDefault="005632E9">
            <w:pPr>
              <w:bidi/>
              <w:spacing w:after="0" w:line="240" w:lineRule="auto"/>
              <w:jc w:val="center"/>
            </w:pPr>
            <w:r>
              <w:rPr>
                <w:b/>
                <w:bCs/>
                <w:sz w:val="22"/>
                <w:szCs w:val="22"/>
                <w:rtl/>
              </w:rPr>
              <w:t>أسلوب التحليل</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الأول (مستوى السلوكيات المنحرفة)</w:t>
            </w:r>
          </w:p>
        </w:tc>
        <w:tc>
          <w:tcPr>
            <w:tcW w:w="1250" w:type="dxa"/>
          </w:tcPr>
          <w:p w:rsidR="00D70BB2" w:rsidRDefault="005632E9" w:rsidP="00564739">
            <w:pPr>
              <w:bidi/>
              <w:spacing w:after="0" w:line="240" w:lineRule="auto"/>
              <w:jc w:val="center"/>
            </w:pPr>
            <w:r>
              <w:rPr>
                <w:sz w:val="22"/>
                <w:szCs w:val="22"/>
                <w:rtl/>
              </w:rPr>
              <w:t>1 (وصفي)</w:t>
            </w:r>
          </w:p>
        </w:tc>
        <w:tc>
          <w:tcPr>
            <w:tcW w:w="1200" w:type="dxa"/>
          </w:tcPr>
          <w:p w:rsidR="00D70BB2" w:rsidRDefault="005632E9" w:rsidP="00564739">
            <w:pPr>
              <w:bidi/>
              <w:spacing w:after="0" w:line="240" w:lineRule="auto"/>
              <w:jc w:val="center"/>
            </w:pPr>
            <w:r>
              <w:rPr>
                <w:sz w:val="22"/>
                <w:szCs w:val="22"/>
                <w:rtl/>
              </w:rPr>
              <w:t>لا توجد</w:t>
            </w:r>
          </w:p>
        </w:tc>
        <w:tc>
          <w:tcPr>
            <w:tcW w:w="2350" w:type="dxa"/>
          </w:tcPr>
          <w:p w:rsidR="00D70BB2" w:rsidRDefault="005632E9" w:rsidP="00564739">
            <w:pPr>
              <w:bidi/>
              <w:spacing w:after="0" w:line="240" w:lineRule="auto"/>
              <w:jc w:val="center"/>
            </w:pPr>
            <w:r>
              <w:rPr>
                <w:sz w:val="22"/>
                <w:szCs w:val="22"/>
                <w:rtl/>
              </w:rPr>
              <w:t>استبانة الشباب: مقياس السلوكيات المنحرفة</w:t>
            </w:r>
          </w:p>
        </w:tc>
        <w:tc>
          <w:tcPr>
            <w:tcW w:w="2960" w:type="dxa"/>
          </w:tcPr>
          <w:p w:rsidR="00D70BB2" w:rsidRDefault="005632E9" w:rsidP="00564739">
            <w:pPr>
              <w:bidi/>
              <w:spacing w:after="0" w:line="240" w:lineRule="auto"/>
              <w:jc w:val="center"/>
            </w:pPr>
            <w:r>
              <w:rPr>
                <w:sz w:val="22"/>
                <w:szCs w:val="22"/>
                <w:rtl/>
              </w:rPr>
              <w:t>التكرارات والنسب المئوية، المتوسطات والانحرافات المعيارية</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الثاني (درجة فاعلية الدور)</w:t>
            </w:r>
          </w:p>
        </w:tc>
        <w:tc>
          <w:tcPr>
            <w:tcW w:w="1250" w:type="dxa"/>
          </w:tcPr>
          <w:p w:rsidR="00D70BB2" w:rsidRDefault="005632E9" w:rsidP="00564739">
            <w:pPr>
              <w:bidi/>
              <w:spacing w:after="0" w:line="240" w:lineRule="auto"/>
              <w:jc w:val="center"/>
            </w:pPr>
            <w:r>
              <w:rPr>
                <w:sz w:val="22"/>
                <w:szCs w:val="22"/>
                <w:rtl/>
              </w:rPr>
              <w:t>2 (وصفي مقارن)</w:t>
            </w:r>
          </w:p>
        </w:tc>
        <w:tc>
          <w:tcPr>
            <w:tcW w:w="1200" w:type="dxa"/>
          </w:tcPr>
          <w:p w:rsidR="00D70BB2" w:rsidRDefault="005632E9" w:rsidP="00564739">
            <w:pPr>
              <w:bidi/>
              <w:spacing w:after="0" w:line="240" w:lineRule="auto"/>
              <w:jc w:val="center"/>
            </w:pPr>
            <w:r>
              <w:rPr>
                <w:sz w:val="22"/>
                <w:szCs w:val="22"/>
                <w:rtl/>
              </w:rPr>
              <w:t>ف6</w:t>
            </w:r>
          </w:p>
        </w:tc>
        <w:tc>
          <w:tcPr>
            <w:tcW w:w="2350" w:type="dxa"/>
          </w:tcPr>
          <w:p w:rsidR="00D70BB2" w:rsidRDefault="005632E9" w:rsidP="00564739">
            <w:pPr>
              <w:bidi/>
              <w:spacing w:after="0" w:line="240" w:lineRule="auto"/>
              <w:jc w:val="center"/>
            </w:pPr>
            <w:r>
              <w:rPr>
                <w:sz w:val="22"/>
                <w:szCs w:val="22"/>
                <w:rtl/>
              </w:rPr>
              <w:t>استبانتا الشباب والأخصائيين: مقياس الفاعلية</w:t>
            </w:r>
          </w:p>
        </w:tc>
        <w:tc>
          <w:tcPr>
            <w:tcW w:w="2960" w:type="dxa"/>
          </w:tcPr>
          <w:p w:rsidR="00D70BB2" w:rsidRDefault="005632E9" w:rsidP="00564739">
            <w:pPr>
              <w:bidi/>
              <w:spacing w:after="0" w:line="240" w:lineRule="auto"/>
              <w:jc w:val="center"/>
            </w:pPr>
            <w:r>
              <w:rPr>
                <w:sz w:val="22"/>
                <w:szCs w:val="22"/>
                <w:rtl/>
              </w:rPr>
              <w:t>المتوسطات، اختبار (ت) لعينتين مستقلتين</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الثالث (العلاقة بين الفاعلية والسلوك)</w:t>
            </w:r>
          </w:p>
        </w:tc>
        <w:tc>
          <w:tcPr>
            <w:tcW w:w="1250" w:type="dxa"/>
          </w:tcPr>
          <w:p w:rsidR="00D70BB2" w:rsidRDefault="005632E9" w:rsidP="00564739">
            <w:pPr>
              <w:bidi/>
              <w:spacing w:after="0" w:line="240" w:lineRule="auto"/>
              <w:jc w:val="center"/>
            </w:pPr>
            <w:r>
              <w:rPr>
                <w:sz w:val="22"/>
                <w:szCs w:val="22"/>
                <w:rtl/>
              </w:rPr>
              <w:t>3 (تفسيري)</w:t>
            </w:r>
          </w:p>
        </w:tc>
        <w:tc>
          <w:tcPr>
            <w:tcW w:w="1200" w:type="dxa"/>
          </w:tcPr>
          <w:p w:rsidR="00D70BB2" w:rsidRDefault="005632E9" w:rsidP="00564739">
            <w:pPr>
              <w:bidi/>
              <w:spacing w:after="0" w:line="240" w:lineRule="auto"/>
              <w:jc w:val="center"/>
            </w:pPr>
            <w:r>
              <w:rPr>
                <w:sz w:val="22"/>
                <w:szCs w:val="22"/>
                <w:rtl/>
              </w:rPr>
              <w:t>ف1</w:t>
            </w:r>
          </w:p>
        </w:tc>
        <w:tc>
          <w:tcPr>
            <w:tcW w:w="2350" w:type="dxa"/>
          </w:tcPr>
          <w:p w:rsidR="00D70BB2" w:rsidRDefault="005632E9" w:rsidP="00564739">
            <w:pPr>
              <w:bidi/>
              <w:spacing w:after="0" w:line="240" w:lineRule="auto"/>
              <w:jc w:val="center"/>
            </w:pPr>
            <w:r>
              <w:rPr>
                <w:sz w:val="22"/>
                <w:szCs w:val="22"/>
                <w:rtl/>
              </w:rPr>
              <w:t>استبانة الشباب</w:t>
            </w:r>
          </w:p>
        </w:tc>
        <w:tc>
          <w:tcPr>
            <w:tcW w:w="2960" w:type="dxa"/>
          </w:tcPr>
          <w:p w:rsidR="00D70BB2" w:rsidRDefault="005632E9" w:rsidP="00564739">
            <w:pPr>
              <w:bidi/>
              <w:spacing w:after="0" w:line="240" w:lineRule="auto"/>
              <w:jc w:val="center"/>
            </w:pPr>
            <w:r>
              <w:rPr>
                <w:sz w:val="22"/>
                <w:szCs w:val="22"/>
                <w:rtl/>
              </w:rPr>
              <w:t>معامل ارتباط بيرسون</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الرابع (المشاركة والتنبؤ)</w:t>
            </w:r>
          </w:p>
        </w:tc>
        <w:tc>
          <w:tcPr>
            <w:tcW w:w="1250" w:type="dxa"/>
          </w:tcPr>
          <w:p w:rsidR="00D70BB2" w:rsidRDefault="005632E9" w:rsidP="00564739">
            <w:pPr>
              <w:bidi/>
              <w:spacing w:after="0" w:line="240" w:lineRule="auto"/>
              <w:jc w:val="center"/>
            </w:pPr>
            <w:r>
              <w:rPr>
                <w:sz w:val="22"/>
                <w:szCs w:val="22"/>
                <w:rtl/>
              </w:rPr>
              <w:t>4 (تفسيري)</w:t>
            </w:r>
          </w:p>
        </w:tc>
        <w:tc>
          <w:tcPr>
            <w:tcW w:w="1200" w:type="dxa"/>
          </w:tcPr>
          <w:p w:rsidR="00D70BB2" w:rsidRDefault="005632E9" w:rsidP="00564739">
            <w:pPr>
              <w:bidi/>
              <w:spacing w:after="0" w:line="240" w:lineRule="auto"/>
              <w:jc w:val="center"/>
            </w:pPr>
            <w:r>
              <w:rPr>
                <w:sz w:val="22"/>
                <w:szCs w:val="22"/>
                <w:rtl/>
              </w:rPr>
              <w:t>ف2، ف3</w:t>
            </w:r>
          </w:p>
        </w:tc>
        <w:tc>
          <w:tcPr>
            <w:tcW w:w="2350" w:type="dxa"/>
          </w:tcPr>
          <w:p w:rsidR="00D70BB2" w:rsidRDefault="005632E9" w:rsidP="00564739">
            <w:pPr>
              <w:bidi/>
              <w:spacing w:after="0" w:line="240" w:lineRule="auto"/>
              <w:jc w:val="center"/>
            </w:pPr>
            <w:r>
              <w:rPr>
                <w:sz w:val="22"/>
                <w:szCs w:val="22"/>
                <w:rtl/>
              </w:rPr>
              <w:t>استبانة الشباب</w:t>
            </w:r>
          </w:p>
        </w:tc>
        <w:tc>
          <w:tcPr>
            <w:tcW w:w="2960" w:type="dxa"/>
          </w:tcPr>
          <w:p w:rsidR="00D70BB2" w:rsidRDefault="005632E9" w:rsidP="00564739">
            <w:pPr>
              <w:bidi/>
              <w:spacing w:after="0" w:line="240" w:lineRule="auto"/>
              <w:jc w:val="center"/>
            </w:pPr>
            <w:r>
              <w:rPr>
                <w:sz w:val="22"/>
                <w:szCs w:val="22"/>
                <w:rtl/>
              </w:rPr>
              <w:t>معامل ارتباط بيرسون، الانحدار الخطي المتعدد</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الخامس (الفروق الديموغرافية)</w:t>
            </w:r>
          </w:p>
        </w:tc>
        <w:tc>
          <w:tcPr>
            <w:tcW w:w="1250" w:type="dxa"/>
          </w:tcPr>
          <w:p w:rsidR="00D70BB2" w:rsidRDefault="005632E9" w:rsidP="00564739">
            <w:pPr>
              <w:bidi/>
              <w:spacing w:after="0" w:line="240" w:lineRule="auto"/>
              <w:jc w:val="center"/>
            </w:pPr>
            <w:r>
              <w:rPr>
                <w:sz w:val="22"/>
                <w:szCs w:val="22"/>
                <w:rtl/>
              </w:rPr>
              <w:t>5 (مقارن)</w:t>
            </w:r>
          </w:p>
        </w:tc>
        <w:tc>
          <w:tcPr>
            <w:tcW w:w="1200" w:type="dxa"/>
          </w:tcPr>
          <w:p w:rsidR="00D70BB2" w:rsidRDefault="005632E9" w:rsidP="00564739">
            <w:pPr>
              <w:bidi/>
              <w:spacing w:after="0" w:line="240" w:lineRule="auto"/>
              <w:jc w:val="center"/>
            </w:pPr>
            <w:r>
              <w:rPr>
                <w:sz w:val="22"/>
                <w:szCs w:val="22"/>
                <w:rtl/>
              </w:rPr>
              <w:t>ف4، ف5</w:t>
            </w:r>
          </w:p>
        </w:tc>
        <w:tc>
          <w:tcPr>
            <w:tcW w:w="2350" w:type="dxa"/>
          </w:tcPr>
          <w:p w:rsidR="00D70BB2" w:rsidRDefault="005632E9" w:rsidP="00564739">
            <w:pPr>
              <w:bidi/>
              <w:spacing w:after="0" w:line="240" w:lineRule="auto"/>
              <w:jc w:val="center"/>
            </w:pPr>
            <w:r>
              <w:rPr>
                <w:sz w:val="22"/>
                <w:szCs w:val="22"/>
                <w:rtl/>
              </w:rPr>
              <w:t>استبانة الشباب</w:t>
            </w:r>
          </w:p>
        </w:tc>
        <w:tc>
          <w:tcPr>
            <w:tcW w:w="2960" w:type="dxa"/>
          </w:tcPr>
          <w:p w:rsidR="00D70BB2" w:rsidRDefault="005632E9" w:rsidP="00564739">
            <w:pPr>
              <w:bidi/>
              <w:spacing w:after="0" w:line="240" w:lineRule="auto"/>
              <w:jc w:val="center"/>
            </w:pPr>
            <w:r>
              <w:rPr>
                <w:sz w:val="22"/>
                <w:szCs w:val="22"/>
                <w:rtl/>
              </w:rPr>
              <w:t xml:space="preserve">اختبار (ت)، تحليل التباين الأحادي </w:t>
            </w:r>
            <w:r>
              <w:rPr>
                <w:sz w:val="22"/>
                <w:szCs w:val="22"/>
              </w:rPr>
              <w:t>(ANOVA)</w:t>
            </w:r>
            <w:r>
              <w:rPr>
                <w:sz w:val="22"/>
                <w:szCs w:val="22"/>
                <w:rtl/>
              </w:rPr>
              <w:t xml:space="preserve"> واختبار شيفيه</w:t>
            </w:r>
          </w:p>
        </w:tc>
      </w:tr>
      <w:tr w:rsidR="00D70BB2">
        <w:trPr>
          <w:cantSplit/>
          <w:jc w:val="center"/>
        </w:trPr>
        <w:tc>
          <w:tcPr>
            <w:tcW w:w="1600" w:type="dxa"/>
          </w:tcPr>
          <w:p w:rsidR="00D70BB2" w:rsidRDefault="005632E9" w:rsidP="00564739">
            <w:pPr>
              <w:bidi/>
              <w:spacing w:after="0" w:line="240" w:lineRule="auto"/>
              <w:jc w:val="center"/>
            </w:pPr>
            <w:r>
              <w:rPr>
                <w:sz w:val="22"/>
                <w:szCs w:val="22"/>
                <w:rtl/>
              </w:rPr>
              <w:t>السادس (المعوقات والمقترحات)</w:t>
            </w:r>
          </w:p>
        </w:tc>
        <w:tc>
          <w:tcPr>
            <w:tcW w:w="1250" w:type="dxa"/>
          </w:tcPr>
          <w:p w:rsidR="00D70BB2" w:rsidRDefault="005632E9" w:rsidP="00564739">
            <w:pPr>
              <w:bidi/>
              <w:spacing w:after="0" w:line="240" w:lineRule="auto"/>
              <w:jc w:val="center"/>
            </w:pPr>
            <w:r>
              <w:rPr>
                <w:sz w:val="22"/>
                <w:szCs w:val="22"/>
                <w:rtl/>
              </w:rPr>
              <w:t>6 (تطبيقي)</w:t>
            </w:r>
          </w:p>
        </w:tc>
        <w:tc>
          <w:tcPr>
            <w:tcW w:w="1200" w:type="dxa"/>
          </w:tcPr>
          <w:p w:rsidR="00D70BB2" w:rsidRDefault="005632E9" w:rsidP="00564739">
            <w:pPr>
              <w:bidi/>
              <w:spacing w:after="0" w:line="240" w:lineRule="auto"/>
              <w:jc w:val="center"/>
            </w:pPr>
            <w:r>
              <w:rPr>
                <w:sz w:val="22"/>
                <w:szCs w:val="22"/>
                <w:rtl/>
              </w:rPr>
              <w:t>لا توجد</w:t>
            </w:r>
          </w:p>
        </w:tc>
        <w:tc>
          <w:tcPr>
            <w:tcW w:w="2350" w:type="dxa"/>
          </w:tcPr>
          <w:p w:rsidR="00D70BB2" w:rsidRDefault="005632E9" w:rsidP="00564739">
            <w:pPr>
              <w:bidi/>
              <w:spacing w:after="0" w:line="240" w:lineRule="auto"/>
              <w:jc w:val="center"/>
            </w:pPr>
            <w:r>
              <w:rPr>
                <w:sz w:val="22"/>
                <w:szCs w:val="22"/>
                <w:rtl/>
              </w:rPr>
              <w:t>المقابلات شبه المقننة مع الأخصائيين</w:t>
            </w:r>
          </w:p>
        </w:tc>
        <w:tc>
          <w:tcPr>
            <w:tcW w:w="2960" w:type="dxa"/>
          </w:tcPr>
          <w:p w:rsidR="00D70BB2" w:rsidRDefault="005632E9" w:rsidP="00564739">
            <w:pPr>
              <w:bidi/>
              <w:spacing w:after="0" w:line="240" w:lineRule="auto"/>
              <w:jc w:val="center"/>
            </w:pPr>
            <w:r>
              <w:rPr>
                <w:sz w:val="22"/>
                <w:szCs w:val="22"/>
                <w:rtl/>
              </w:rPr>
              <w:t>التحليل الموضوعي</w:t>
            </w:r>
          </w:p>
        </w:tc>
      </w:tr>
    </w:tbl>
    <w:p w:rsidR="00D70BB2" w:rsidRDefault="00D70BB2">
      <w:pPr>
        <w:bidi/>
        <w:spacing w:after="0" w:line="360" w:lineRule="auto"/>
        <w:jc w:val="both"/>
      </w:pPr>
    </w:p>
    <w:p w:rsidR="00D70BB2" w:rsidRDefault="005632E9">
      <w:pPr>
        <w:keepNext/>
        <w:bidi/>
        <w:spacing w:before="120" w:after="60" w:line="360" w:lineRule="auto"/>
        <w:jc w:val="both"/>
      </w:pPr>
      <w:r>
        <w:rPr>
          <w:b/>
          <w:bCs/>
          <w:rtl/>
        </w:rPr>
        <w:t>خامساً: منهج البحث</w:t>
      </w:r>
    </w:p>
    <w:p w:rsidR="00D70BB2" w:rsidRDefault="005632E9">
      <w:pPr>
        <w:keepNext/>
        <w:bidi/>
        <w:spacing w:before="120" w:after="60" w:line="360" w:lineRule="auto"/>
        <w:jc w:val="both"/>
      </w:pPr>
      <w:r>
        <w:rPr>
          <w:b/>
          <w:bCs/>
          <w:rtl/>
        </w:rPr>
        <w:t>1. نوع الدراسة ومنهجها</w:t>
      </w:r>
    </w:p>
    <w:p w:rsidR="00D70BB2" w:rsidRDefault="005632E9">
      <w:pPr>
        <w:bidi/>
        <w:spacing w:line="360" w:lineRule="auto"/>
        <w:jc w:val="both"/>
      </w:pPr>
      <w:r>
        <w:rPr>
          <w:rtl/>
        </w:rPr>
        <w:t xml:space="preserve">تنتمي الدراسة إلى الدراسات الوصفية التحليلية بتصميم ارتباطي، وتعتمد على </w:t>
      </w:r>
      <w:r>
        <w:rPr>
          <w:b/>
          <w:bCs/>
          <w:rtl/>
        </w:rPr>
        <w:t xml:space="preserve">المنهج المختلط </w:t>
      </w:r>
      <w:r>
        <w:rPr>
          <w:b/>
          <w:bCs/>
        </w:rPr>
        <w:t>(Mixed Methods)</w:t>
      </w:r>
      <w:r>
        <w:rPr>
          <w:rtl/>
        </w:rPr>
        <w:t xml:space="preserve"> الذي يجمع بين المنهج الكمي والمنهج النوعي، بهدف الحصول على صورة شاملة ومعمقة حول الدور الوقائي للأخصائي الاجتماعي في الحد من السلوكيات المنحرفة لدى الشباب الإماراتي، إذ يتيح هذا التصميم الجمع بين البيانات الإحصائية القابلة للقياس والبيانات الوصفية التي تعكس تجارب الشباب والأخصائيين الاجتماعيين بصورة مباشرة </w:t>
      </w:r>
      <w:r>
        <w:t>(Creswell &amp; Creswell, 2018)</w:t>
      </w:r>
      <w:r>
        <w:rPr>
          <w:rtl/>
        </w:rPr>
        <w:t>. ويعتمد البحث على:</w:t>
      </w:r>
    </w:p>
    <w:p w:rsidR="00D70BB2" w:rsidRDefault="005632E9">
      <w:pPr>
        <w:pStyle w:val="ListParagraph"/>
        <w:numPr>
          <w:ilvl w:val="0"/>
          <w:numId w:val="12"/>
        </w:numPr>
        <w:bidi/>
        <w:spacing w:line="360" w:lineRule="auto"/>
        <w:jc w:val="both"/>
      </w:pPr>
      <w:r>
        <w:rPr>
          <w:b/>
          <w:bCs/>
          <w:rtl/>
        </w:rPr>
        <w:lastRenderedPageBreak/>
        <w:t xml:space="preserve">المنهج الكمي – المسح الاجتماعي بالعينة </w:t>
      </w:r>
      <w:r>
        <w:rPr>
          <w:b/>
          <w:bCs/>
        </w:rPr>
        <w:t>(Quantitative Approach)</w:t>
      </w:r>
      <w:r>
        <w:rPr>
          <w:b/>
          <w:bCs/>
          <w:rtl/>
        </w:rPr>
        <w:t>:</w:t>
      </w:r>
      <w:r>
        <w:rPr>
          <w:rtl/>
        </w:rPr>
        <w:t xml:space="preserve"> يهدف إلى وصف مستوى السلوكيات المنحرفة ودرجة فاعلية الدور الوقائي، وقياس العلاقة بين فاعلية الدور ومستوى المشاركة في البرامج الوقائية من جهة ودرجة السلوكيات المنحرفة من جهة أخرى، من خلال استبانات موجهة إلى عينة من الشباب الإماراتي (18–30 سنة) وعينة من الأخصائيين الاجتماعيين، واختبار الفرضيات إحصائيًا والكشف عن الفروق بحسب المتغيرات الديموغرافية (الجنس، والعمر، والمستوى التعليمي، ونوع المؤسسة)، دون ادعاء علاقة سببية من بيانات تجمع في نقطة زمنية واحدة.</w:t>
      </w:r>
    </w:p>
    <w:p w:rsidR="00D70BB2" w:rsidRDefault="005632E9">
      <w:pPr>
        <w:pStyle w:val="ListParagraph"/>
        <w:numPr>
          <w:ilvl w:val="0"/>
          <w:numId w:val="12"/>
        </w:numPr>
        <w:bidi/>
        <w:spacing w:line="360" w:lineRule="auto"/>
        <w:jc w:val="both"/>
      </w:pPr>
      <w:r>
        <w:rPr>
          <w:b/>
          <w:bCs/>
          <w:rtl/>
        </w:rPr>
        <w:t xml:space="preserve">المنهج النوعي </w:t>
      </w:r>
      <w:r>
        <w:rPr>
          <w:b/>
          <w:bCs/>
        </w:rPr>
        <w:t>(Qualitative Approach)</w:t>
      </w:r>
      <w:r>
        <w:rPr>
          <w:b/>
          <w:bCs/>
          <w:rtl/>
        </w:rPr>
        <w:t>:</w:t>
      </w:r>
      <w:r>
        <w:rPr>
          <w:rtl/>
        </w:rPr>
        <w:t xml:space="preserve"> يركز على فهم أعمق لتجارب الأخصائيين الاجتماعيين من خلال مقابلات شبه مقننة </w:t>
      </w:r>
      <w:r>
        <w:t>(Semi-structured Interviews)</w:t>
      </w:r>
      <w:r>
        <w:rPr>
          <w:rtl/>
        </w:rPr>
        <w:t>، تتيح جمع بيانات وصفية حول فاعلية البرامج الوقائية، والمعوقات المهنية والمؤسسية التي تواجه الأخصائيين في المؤسسات التعليمية والمجتمعية، ومقترحات تطوير الدور.</w:t>
      </w:r>
    </w:p>
    <w:p w:rsidR="00D70BB2" w:rsidRDefault="005632E9">
      <w:pPr>
        <w:bidi/>
        <w:spacing w:line="360" w:lineRule="auto"/>
        <w:jc w:val="both"/>
      </w:pPr>
      <w:r>
        <w:rPr>
          <w:b/>
          <w:bCs/>
          <w:rtl/>
        </w:rPr>
        <w:t>مبررات اختيار المنهج المختلط:</w:t>
      </w:r>
    </w:p>
    <w:p w:rsidR="00D70BB2" w:rsidRDefault="005632E9">
      <w:pPr>
        <w:pStyle w:val="ListParagraph"/>
        <w:numPr>
          <w:ilvl w:val="0"/>
          <w:numId w:val="12"/>
        </w:numPr>
        <w:bidi/>
        <w:spacing w:line="360" w:lineRule="auto"/>
        <w:jc w:val="both"/>
      </w:pPr>
      <w:r>
        <w:rPr>
          <w:rtl/>
        </w:rPr>
        <w:t>الجمع بين الدقة الإحصائية التي يوفرها المنهج الكمي، والعمق التفسيري الذي يقدمه المنهج النوعي.</w:t>
      </w:r>
    </w:p>
    <w:p w:rsidR="00D70BB2" w:rsidRDefault="005632E9">
      <w:pPr>
        <w:pStyle w:val="ListParagraph"/>
        <w:numPr>
          <w:ilvl w:val="0"/>
          <w:numId w:val="12"/>
        </w:numPr>
        <w:bidi/>
        <w:spacing w:line="360" w:lineRule="auto"/>
        <w:jc w:val="both"/>
      </w:pPr>
      <w:r>
        <w:rPr>
          <w:rtl/>
        </w:rPr>
        <w:t>القدرة على اختبار الفرضيات إحصائيًا، وفي الوقت نفسه فهم السياق الاجتماعي والنفسي المرتبط بالظاهرة.</w:t>
      </w:r>
    </w:p>
    <w:p w:rsidR="00D70BB2" w:rsidRDefault="005632E9">
      <w:pPr>
        <w:pStyle w:val="ListParagraph"/>
        <w:numPr>
          <w:ilvl w:val="0"/>
          <w:numId w:val="12"/>
        </w:numPr>
        <w:bidi/>
        <w:spacing w:line="360" w:lineRule="auto"/>
        <w:jc w:val="both"/>
      </w:pPr>
      <w:r>
        <w:rPr>
          <w:rtl/>
        </w:rPr>
        <w:t xml:space="preserve">تعزيز مصداقية النتائج من خلال </w:t>
      </w:r>
      <w:r>
        <w:rPr>
          <w:b/>
          <w:bCs/>
          <w:rtl/>
        </w:rPr>
        <w:t xml:space="preserve">التثليث المنهجي </w:t>
      </w:r>
      <w:r>
        <w:rPr>
          <w:b/>
          <w:bCs/>
        </w:rPr>
        <w:t>(Methodological Triangulation)</w:t>
      </w:r>
      <w:r>
        <w:rPr>
          <w:rtl/>
        </w:rPr>
        <w:t xml:space="preserve"> الذي يدمج بين أكثر من أداة بحثية ومصدر للبيانات (الشباب والأخصائيون).</w:t>
      </w:r>
    </w:p>
    <w:p w:rsidR="00D70BB2" w:rsidRDefault="005632E9">
      <w:pPr>
        <w:keepNext/>
        <w:bidi/>
        <w:spacing w:before="120" w:after="60" w:line="360" w:lineRule="auto"/>
        <w:jc w:val="both"/>
      </w:pPr>
      <w:r>
        <w:rPr>
          <w:b/>
          <w:bCs/>
          <w:rtl/>
        </w:rPr>
        <w:lastRenderedPageBreak/>
        <w:t>2. أدوات جمع البيانات</w:t>
      </w:r>
    </w:p>
    <w:p w:rsidR="00D70BB2" w:rsidRDefault="005632E9">
      <w:pPr>
        <w:pStyle w:val="ListParagraph"/>
        <w:numPr>
          <w:ilvl w:val="0"/>
          <w:numId w:val="12"/>
        </w:numPr>
        <w:bidi/>
        <w:spacing w:line="360" w:lineRule="auto"/>
        <w:jc w:val="both"/>
      </w:pPr>
      <w:r>
        <w:rPr>
          <w:b/>
          <w:bCs/>
          <w:rtl/>
        </w:rPr>
        <w:t xml:space="preserve">أداة الاستبانة </w:t>
      </w:r>
      <w:r>
        <w:rPr>
          <w:b/>
          <w:bCs/>
        </w:rPr>
        <w:t>(Questionnaire)</w:t>
      </w:r>
      <w:r>
        <w:rPr>
          <w:b/>
          <w:bCs/>
          <w:rtl/>
        </w:rPr>
        <w:t>:</w:t>
      </w:r>
      <w:r>
        <w:rPr>
          <w:rtl/>
        </w:rPr>
        <w:t xml:space="preserve"> تستخدم استبانتان: (أ) </w:t>
      </w:r>
      <w:r>
        <w:rPr>
          <w:b/>
          <w:bCs/>
          <w:rtl/>
        </w:rPr>
        <w:t>استبانة الشباب</w:t>
      </w:r>
      <w:r>
        <w:rPr>
          <w:rtl/>
        </w:rPr>
        <w:t xml:space="preserve">، وتتضمن البيانات الديموغرافية، ومقياس فاعلية الدور الوقائي للأخصائي الاجتماعي بأبعاده الأربعة، ومحور مستوى المشاركة في البرامج الوقائية، ومقياس السلوكيات المنحرفة (تقرير ذاتي مجهول الهوية عن الاثني عشر شهرًا السابقة)، وسؤالًا مفتوحًا حول اتجاهات الشباب نحو العمل الاجتماعي، (ب) </w:t>
      </w:r>
      <w:r>
        <w:rPr>
          <w:b/>
          <w:bCs/>
          <w:rtl/>
        </w:rPr>
        <w:t>استبانة الأخصائيين الاجتماعيين</w:t>
      </w:r>
      <w:r>
        <w:rPr>
          <w:rtl/>
        </w:rPr>
        <w:t>، وتتضمن مقياس فاعلية الدور الوقائي ذاته لإتاحة المقارنة بين التقديرين. وتتميز الاستبانة بقدرتها على جمع بيانات من عينة كبيرة وتحليلها إحصائيًا.</w:t>
      </w:r>
    </w:p>
    <w:p w:rsidR="00D70BB2" w:rsidRDefault="005632E9">
      <w:pPr>
        <w:pStyle w:val="ListParagraph"/>
        <w:numPr>
          <w:ilvl w:val="0"/>
          <w:numId w:val="12"/>
        </w:numPr>
        <w:bidi/>
        <w:spacing w:line="360" w:lineRule="auto"/>
        <w:jc w:val="both"/>
      </w:pPr>
      <w:r>
        <w:rPr>
          <w:b/>
          <w:bCs/>
          <w:rtl/>
        </w:rPr>
        <w:t xml:space="preserve">أداة المقابلة شبه المقننة </w:t>
      </w:r>
      <w:r>
        <w:rPr>
          <w:b/>
          <w:bCs/>
        </w:rPr>
        <w:t>(Interview)</w:t>
      </w:r>
      <w:r>
        <w:rPr>
          <w:b/>
          <w:bCs/>
          <w:rtl/>
        </w:rPr>
        <w:t>:</w:t>
      </w:r>
      <w:r>
        <w:rPr>
          <w:rtl/>
        </w:rPr>
        <w:t xml:space="preserve"> تُجرى مع عدد من الأخصائيين الاجتماعيين المشاركين في البرامج الوقائية، للحصول على بيانات نوعية معمقة حول المعوقات والمقترحات، بما يساعد على تفسير النتائج الكمية وإثرائها.</w:t>
      </w:r>
    </w:p>
    <w:p w:rsidR="00D70BB2" w:rsidRDefault="005632E9">
      <w:pPr>
        <w:pStyle w:val="ListParagraph"/>
        <w:numPr>
          <w:ilvl w:val="0"/>
          <w:numId w:val="12"/>
        </w:numPr>
        <w:bidi/>
        <w:spacing w:line="360" w:lineRule="auto"/>
        <w:jc w:val="both"/>
      </w:pPr>
      <w:r>
        <w:rPr>
          <w:b/>
          <w:bCs/>
          <w:rtl/>
        </w:rPr>
        <w:t xml:space="preserve">أداة الملاحظة </w:t>
      </w:r>
      <w:r>
        <w:rPr>
          <w:b/>
          <w:bCs/>
        </w:rPr>
        <w:t>(Observation)</w:t>
      </w:r>
      <w:r>
        <w:rPr>
          <w:b/>
          <w:bCs/>
          <w:rtl/>
        </w:rPr>
        <w:t>:</w:t>
      </w:r>
      <w:r>
        <w:rPr>
          <w:rtl/>
        </w:rPr>
        <w:t xml:space="preserve"> بعد مراجعة الحاجة إليها، يتضح أن الملاحظة المباشرة محدودة الفائدة في هذه الدراسة، نظرًا لطبيعة الظاهرة المدروسة وصعوبة رصد السلوكيات المنحرفة بصورة مباشرة في البيئات الطبيعية. لذلك لا تعتمد الدراسة عليها أداةً رئيسة، ويمكن استخدامها بصورة ثانوية في بعض الأنشطة الوقائية لرصد التفاعل العام بين الشباب والأخصائيين الاجتماعيين.</w:t>
      </w:r>
    </w:p>
    <w:p w:rsidR="00D70BB2" w:rsidRDefault="005632E9">
      <w:pPr>
        <w:keepNext/>
        <w:bidi/>
        <w:spacing w:before="120" w:after="60" w:line="360" w:lineRule="auto"/>
        <w:jc w:val="both"/>
      </w:pPr>
      <w:r>
        <w:rPr>
          <w:b/>
          <w:bCs/>
          <w:rtl/>
        </w:rPr>
        <w:t>3. مجتمع البحث</w:t>
      </w:r>
    </w:p>
    <w:p w:rsidR="00D70BB2" w:rsidRDefault="005632E9">
      <w:pPr>
        <w:bidi/>
        <w:spacing w:line="360" w:lineRule="auto"/>
        <w:jc w:val="both"/>
      </w:pPr>
      <w:r>
        <w:rPr>
          <w:rtl/>
        </w:rPr>
        <w:t xml:space="preserve">يقصد بمجتمع البحث جميع الأفراد الذين تتعلق بهم مشكلة البحث، والذين تسعى الباحثة إلى فهم خصائصهم وسلوكياتهم من خلال أدوات البحث العلمي. ويتمثل مجتمع البحث في هذه الدراسة في الشباب الإماراتي في الفئة العمرية (18–30 سنة) في المؤسسات التعليمية والمجتمعية محل الدراسة بإمارة الشارقة، إضافة إلى </w:t>
      </w:r>
      <w:r>
        <w:rPr>
          <w:rtl/>
        </w:rPr>
        <w:lastRenderedPageBreak/>
        <w:t>الأخصائيين الاجتماعيين العاملين في هذه المؤسسات. ويعود اختيار هذا المجتمع إلى كونه الفئة الأكثر عرضة للتحديات السلوكية والاجتماعية، والأكثر ارتباطًا ببرامج العمل الاجتماعي الوقائية (وزارة تنمية المجتمع، 2022).</w:t>
      </w:r>
    </w:p>
    <w:p w:rsidR="00D70BB2" w:rsidRDefault="005632E9">
      <w:pPr>
        <w:bidi/>
        <w:spacing w:line="360" w:lineRule="auto"/>
        <w:jc w:val="both"/>
      </w:pPr>
      <w:r>
        <w:rPr>
          <w:b/>
          <w:bCs/>
          <w:rtl/>
        </w:rPr>
        <w:t>مبررات اختيار مجتمع البحث:</w:t>
      </w:r>
    </w:p>
    <w:p w:rsidR="00D70BB2" w:rsidRDefault="005632E9">
      <w:pPr>
        <w:pStyle w:val="ListParagraph"/>
        <w:numPr>
          <w:ilvl w:val="0"/>
          <w:numId w:val="12"/>
        </w:numPr>
        <w:bidi/>
        <w:spacing w:line="360" w:lineRule="auto"/>
        <w:jc w:val="both"/>
      </w:pPr>
      <w:r>
        <w:rPr>
          <w:b/>
          <w:bCs/>
          <w:rtl/>
        </w:rPr>
        <w:t>الأهمية الديموغرافية:</w:t>
      </w:r>
      <w:r>
        <w:rPr>
          <w:rtl/>
        </w:rPr>
        <w:t xml:space="preserve"> يمثل الشباب فئة واسعة من مجتمع الإمارات، وهم الركيزة الأساسية في تحقيق التنمية المستدامة ورؤية الدولة المستقبلية.</w:t>
      </w:r>
    </w:p>
    <w:p w:rsidR="00D70BB2" w:rsidRDefault="005632E9">
      <w:pPr>
        <w:pStyle w:val="ListParagraph"/>
        <w:numPr>
          <w:ilvl w:val="0"/>
          <w:numId w:val="12"/>
        </w:numPr>
        <w:bidi/>
        <w:spacing w:line="360" w:lineRule="auto"/>
        <w:jc w:val="both"/>
      </w:pPr>
      <w:r>
        <w:rPr>
          <w:b/>
          <w:bCs/>
          <w:rtl/>
        </w:rPr>
        <w:t>الأهمية الاجتماعية:</w:t>
      </w:r>
      <w:r>
        <w:rPr>
          <w:rtl/>
        </w:rPr>
        <w:t xml:space="preserve"> الشباب أكثر عرضة للسلوكيات المنحرفة نتيجة التغيرات الاجتماعية والثقافية السريعة، مما يجعل دراستهم ضرورة لفهم الظاهرة.</w:t>
      </w:r>
    </w:p>
    <w:p w:rsidR="00D70BB2" w:rsidRDefault="005632E9">
      <w:pPr>
        <w:pStyle w:val="ListParagraph"/>
        <w:numPr>
          <w:ilvl w:val="0"/>
          <w:numId w:val="12"/>
        </w:numPr>
        <w:bidi/>
        <w:spacing w:line="360" w:lineRule="auto"/>
        <w:jc w:val="both"/>
      </w:pPr>
      <w:r>
        <w:rPr>
          <w:b/>
          <w:bCs/>
          <w:rtl/>
        </w:rPr>
        <w:t>الأهمية المؤسسية:</w:t>
      </w:r>
      <w:r>
        <w:rPr>
          <w:rtl/>
        </w:rPr>
        <w:t xml:space="preserve"> تستهدف المؤسسات التعليمية والمراكز المجتمعية في الإمارات الشباب مباشرة ببرامج وقائية، مما يجعلهم مجتمعًا ملائمًا للدراسة.</w:t>
      </w:r>
    </w:p>
    <w:p w:rsidR="00D70BB2" w:rsidRDefault="005632E9">
      <w:pPr>
        <w:pStyle w:val="ListParagraph"/>
        <w:numPr>
          <w:ilvl w:val="0"/>
          <w:numId w:val="12"/>
        </w:numPr>
        <w:bidi/>
        <w:spacing w:line="360" w:lineRule="auto"/>
        <w:jc w:val="both"/>
      </w:pPr>
      <w:r>
        <w:rPr>
          <w:b/>
          <w:bCs/>
          <w:rtl/>
        </w:rPr>
        <w:t>الأهمية المهنية:</w:t>
      </w:r>
      <w:r>
        <w:rPr>
          <w:rtl/>
        </w:rPr>
        <w:t xml:space="preserve"> يمثل الأخصائيون الاجتماعيون الطرف الفاعل في تصميم البرامج الوقائية وتنفيذها، ودراسة آرائهم وتجاربهم تثري البحث.</w:t>
      </w:r>
    </w:p>
    <w:p w:rsidR="00D70BB2" w:rsidRDefault="005632E9">
      <w:pPr>
        <w:bidi/>
        <w:spacing w:line="360" w:lineRule="auto"/>
        <w:jc w:val="both"/>
      </w:pPr>
      <w:r>
        <w:rPr>
          <w:b/>
          <w:bCs/>
          <w:rtl/>
        </w:rPr>
        <w:t>خصائص مجتمع البحث:</w:t>
      </w:r>
    </w:p>
    <w:p w:rsidR="00D70BB2" w:rsidRDefault="005632E9">
      <w:pPr>
        <w:pStyle w:val="ListParagraph"/>
        <w:numPr>
          <w:ilvl w:val="0"/>
          <w:numId w:val="12"/>
        </w:numPr>
        <w:bidi/>
        <w:spacing w:line="360" w:lineRule="auto"/>
        <w:jc w:val="both"/>
      </w:pPr>
      <w:r>
        <w:rPr>
          <w:b/>
          <w:bCs/>
          <w:rtl/>
        </w:rPr>
        <w:t>الخصائص العمرية:</w:t>
      </w:r>
      <w:r>
        <w:rPr>
          <w:rtl/>
        </w:rPr>
        <w:t xml:space="preserve"> تمثل الفئة العمرية (18–30 سنة) مرحلة انتقالية من التعليم إلى العمل، وهي من أكثر المراحل عرضة للتحديات السلوكية.</w:t>
      </w:r>
    </w:p>
    <w:p w:rsidR="00D70BB2" w:rsidRDefault="005632E9">
      <w:pPr>
        <w:pStyle w:val="ListParagraph"/>
        <w:numPr>
          <w:ilvl w:val="0"/>
          <w:numId w:val="12"/>
        </w:numPr>
        <w:bidi/>
        <w:spacing w:line="360" w:lineRule="auto"/>
        <w:jc w:val="both"/>
      </w:pPr>
      <w:r>
        <w:rPr>
          <w:b/>
          <w:bCs/>
          <w:rtl/>
        </w:rPr>
        <w:t>الخصائص التعليمية:</w:t>
      </w:r>
      <w:r>
        <w:rPr>
          <w:rtl/>
        </w:rPr>
        <w:t xml:space="preserve"> يشمل المجتمع شبابًا في الجامعات والكليات والمعاهد، مما يوفر تنوعًا في الخلفيات التعليمية.</w:t>
      </w:r>
    </w:p>
    <w:p w:rsidR="00D70BB2" w:rsidRDefault="005632E9">
      <w:pPr>
        <w:pStyle w:val="ListParagraph"/>
        <w:numPr>
          <w:ilvl w:val="0"/>
          <w:numId w:val="12"/>
        </w:numPr>
        <w:bidi/>
        <w:spacing w:line="360" w:lineRule="auto"/>
        <w:jc w:val="both"/>
      </w:pPr>
      <w:r>
        <w:rPr>
          <w:b/>
          <w:bCs/>
          <w:rtl/>
        </w:rPr>
        <w:lastRenderedPageBreak/>
        <w:t>الخصائص الاجتماعية:</w:t>
      </w:r>
      <w:r>
        <w:rPr>
          <w:rtl/>
        </w:rPr>
        <w:t xml:space="preserve"> يتوزع الشباب بين بيئات سكنية مختلفة، وبين أسر ذات مستويات اقتصادية مختلفة، مما يعكس تنوعًا اجتماعيًا مهمًا للتحليل.</w:t>
      </w:r>
    </w:p>
    <w:p w:rsidR="00D70BB2" w:rsidRDefault="005632E9">
      <w:pPr>
        <w:pStyle w:val="ListParagraph"/>
        <w:numPr>
          <w:ilvl w:val="0"/>
          <w:numId w:val="12"/>
        </w:numPr>
        <w:bidi/>
        <w:spacing w:line="360" w:lineRule="auto"/>
        <w:jc w:val="both"/>
      </w:pPr>
      <w:r>
        <w:rPr>
          <w:b/>
          <w:bCs/>
          <w:rtl/>
        </w:rPr>
        <w:t>الخصائص المهنية:</w:t>
      </w:r>
      <w:r>
        <w:rPr>
          <w:rtl/>
        </w:rPr>
        <w:t xml:space="preserve"> يشمل المجتمع الأخصائيين الاجتماعيين العاملين في الجامعات والكليات والمراكز المجتمعية، مما يوفر رؤية مهنية متكاملة.</w:t>
      </w:r>
    </w:p>
    <w:p w:rsidR="00D70BB2" w:rsidRDefault="005632E9">
      <w:pPr>
        <w:bidi/>
        <w:spacing w:line="360" w:lineRule="auto"/>
        <w:jc w:val="both"/>
      </w:pPr>
      <w:r>
        <w:rPr>
          <w:b/>
          <w:bCs/>
          <w:rtl/>
        </w:rPr>
        <w:t>مكونات مجتمع البحث:</w:t>
      </w:r>
      <w:r>
        <w:rPr>
          <w:rtl/>
        </w:rPr>
        <w:t xml:space="preserve"> ينقسم مجتمع البحث إلى: (أ) </w:t>
      </w:r>
      <w:r>
        <w:rPr>
          <w:b/>
          <w:bCs/>
          <w:rtl/>
        </w:rPr>
        <w:t>الشباب</w:t>
      </w:r>
      <w:r>
        <w:rPr>
          <w:rtl/>
        </w:rPr>
        <w:t xml:space="preserve">، وهم الفئة المستهدفة بالبرامج الوقائية ومحور الدراسة، (ب) </w:t>
      </w:r>
      <w:r>
        <w:rPr>
          <w:b/>
          <w:bCs/>
          <w:rtl/>
        </w:rPr>
        <w:t>الأخصائيين الاجتماعيين</w:t>
      </w:r>
      <w:r>
        <w:rPr>
          <w:rtl/>
        </w:rPr>
        <w:t xml:space="preserve">، وهم المنفذون لهذه البرامج ومصدر مهم لفهم فاعلية العمل الاجتماعي، (ج) </w:t>
      </w:r>
      <w:r>
        <w:rPr>
          <w:b/>
          <w:bCs/>
          <w:rtl/>
        </w:rPr>
        <w:t>المؤسسات التعليمية والمجتمعية</w:t>
      </w:r>
      <w:r>
        <w:rPr>
          <w:rtl/>
        </w:rPr>
        <w:t>، وهي البيئة التي تحتضن الشباب وتنفذ البرامج، ومن ثم تمثل جزءًا من مجتمع الدراسة بصورة غير مباشرة. وبناءً على ذلك، يتكون مجتمع البحث من الشباب الإماراتي في الفئة العمرية (18–30 سنة)، والأخصائيين الاجتماعيين العاملين في المؤسسات التعليمية والمراكز المجتمعية بإمارة الشارقة.</w:t>
      </w:r>
    </w:p>
    <w:p w:rsidR="00D70BB2" w:rsidRDefault="005632E9">
      <w:pPr>
        <w:keepNext/>
        <w:bidi/>
        <w:spacing w:before="120" w:after="60" w:line="360" w:lineRule="auto"/>
        <w:jc w:val="both"/>
      </w:pPr>
      <w:r>
        <w:rPr>
          <w:b/>
          <w:bCs/>
          <w:rtl/>
        </w:rPr>
        <w:t>4. عينة البحث</w:t>
      </w:r>
    </w:p>
    <w:p w:rsidR="00D70BB2" w:rsidRDefault="005632E9">
      <w:pPr>
        <w:bidi/>
        <w:spacing w:line="360" w:lineRule="auto"/>
        <w:jc w:val="both"/>
      </w:pPr>
      <w:r>
        <w:rPr>
          <w:rtl/>
        </w:rPr>
        <w:t xml:space="preserve">تعتمد الدراسة على </w:t>
      </w:r>
      <w:r>
        <w:rPr>
          <w:b/>
          <w:bCs/>
          <w:rtl/>
        </w:rPr>
        <w:t xml:space="preserve">العينة العشوائية الطبقية </w:t>
      </w:r>
      <w:r>
        <w:rPr>
          <w:b/>
          <w:bCs/>
        </w:rPr>
        <w:t>(Stratified Random Sample)</w:t>
      </w:r>
      <w:r>
        <w:rPr>
          <w:rtl/>
        </w:rPr>
        <w:t xml:space="preserve"> لضمان تمثيل الفئات الديموغرافية المختلفة للشباب الإماراتي تمثيلًا دقيقًا، إذ يُقسَّم المجتمع الأصلي إلى طبقات وفق متغيرات أساسية هي: الجنس (ذكور/إناث)، والفئة العمرية (18–21، 22–25، 26–30 سنة)، والمستوى التعليمي (ثانوي فأقل، دبلوم/جامعي، دراسات عليا)، ونوع المؤسسة (تعليمية/مجتمعية)، ثم يُختار أفراد العينة عشوائيًا من كل طبقة، بما يحقق التوازن والتمثيل العادل لجميع الفئات (عبد الباسط، 2020؛ الزهراني، 2021).</w:t>
      </w:r>
    </w:p>
    <w:p w:rsidR="00D70BB2" w:rsidRDefault="005632E9">
      <w:pPr>
        <w:pStyle w:val="ListParagraph"/>
        <w:numPr>
          <w:ilvl w:val="0"/>
          <w:numId w:val="12"/>
        </w:numPr>
        <w:bidi/>
        <w:spacing w:line="360" w:lineRule="auto"/>
        <w:jc w:val="both"/>
      </w:pPr>
      <w:r>
        <w:rPr>
          <w:b/>
          <w:bCs/>
          <w:rtl/>
        </w:rPr>
        <w:lastRenderedPageBreak/>
        <w:t>مبررات حجم العينة:</w:t>
      </w:r>
      <w:r>
        <w:rPr>
          <w:rtl/>
        </w:rPr>
        <w:t xml:space="preserve"> يتحدد حجم العينة بما يتناسب مع أهداف الدراسة وإمكانية إجراء التحليل الإحصائي بدقة، مع مراعاة حجم المجتمع الأصلي، ويتوقع أن يكون الحجم المقترح كافيًا لاختبار الفرضيات واستخلاص نتائج يمكن تعميمها بدرجة مقبولة من الثقة الإحصائية.</w:t>
      </w:r>
    </w:p>
    <w:p w:rsidR="00D70BB2" w:rsidRDefault="005632E9">
      <w:pPr>
        <w:pStyle w:val="ListParagraph"/>
        <w:numPr>
          <w:ilvl w:val="0"/>
          <w:numId w:val="12"/>
        </w:numPr>
        <w:bidi/>
        <w:spacing w:line="360" w:lineRule="auto"/>
        <w:jc w:val="both"/>
      </w:pPr>
      <w:r>
        <w:rPr>
          <w:b/>
          <w:bCs/>
          <w:rtl/>
        </w:rPr>
        <w:t>طريقة اختيار العينة:</w:t>
      </w:r>
      <w:r>
        <w:rPr>
          <w:rtl/>
        </w:rPr>
        <w:t xml:space="preserve"> بعد تقسيم المجتمع إلى طبقات وفق المتغيرات الديموغرافية، يُختار أفراد العينة بأسلوب العشوائية داخل كل طبقة، لضمان أن تكون النتائج ممثلة لجميع الفئات، وتجنب التحيز الناتج عن التركيز على فئة واحدة دون أخرى.</w:t>
      </w:r>
    </w:p>
    <w:p w:rsidR="00D70BB2" w:rsidRDefault="005632E9">
      <w:pPr>
        <w:pStyle w:val="ListParagraph"/>
        <w:numPr>
          <w:ilvl w:val="0"/>
          <w:numId w:val="12"/>
        </w:numPr>
        <w:bidi/>
        <w:spacing w:line="360" w:lineRule="auto"/>
        <w:jc w:val="both"/>
      </w:pPr>
      <w:r>
        <w:rPr>
          <w:b/>
          <w:bCs/>
          <w:rtl/>
        </w:rPr>
        <w:t>دقة وصف العينة:</w:t>
      </w:r>
      <w:r>
        <w:rPr>
          <w:rtl/>
        </w:rPr>
        <w:t xml:space="preserve"> يعكس وصف العينة بأنها «عشوائية طبقية» منهجية الاختيار بدقة، إذ يجمع هذا الأسلوب بين مزايا العشوائية في تقليل التحيز، والطبقية في ضمان التمثيل المتوازن للفئات المختلفة.</w:t>
      </w:r>
    </w:p>
    <w:p w:rsidR="00D70BB2" w:rsidRDefault="005632E9">
      <w:pPr>
        <w:bidi/>
        <w:spacing w:line="360" w:lineRule="auto"/>
        <w:jc w:val="both"/>
      </w:pPr>
      <w:r>
        <w:rPr>
          <w:b/>
          <w:bCs/>
          <w:rtl/>
        </w:rPr>
        <w:t>حجم العينة:</w:t>
      </w:r>
    </w:p>
    <w:p w:rsidR="00D70BB2" w:rsidRDefault="005632E9">
      <w:pPr>
        <w:pStyle w:val="ListParagraph"/>
        <w:numPr>
          <w:ilvl w:val="0"/>
          <w:numId w:val="12"/>
        </w:numPr>
        <w:bidi/>
        <w:spacing w:line="360" w:lineRule="auto"/>
        <w:jc w:val="both"/>
      </w:pPr>
      <w:r>
        <w:rPr>
          <w:b/>
          <w:bCs/>
          <w:rtl/>
        </w:rPr>
        <w:t>الشباب:</w:t>
      </w:r>
      <w:r>
        <w:rPr>
          <w:rtl/>
        </w:rPr>
        <w:t xml:space="preserve"> يقترح أن يبلغ عدد أفراد العينة (300) شاب وشابة، يُختارون بالطريقة العشوائية الطبقية من المؤسسات التعليمية والمراكز المجتمعية، بما يضمن تمثيل الفئات المختلفة من الشباب الإماراتي في الفئة العمرية (18–30 سنة).</w:t>
      </w:r>
    </w:p>
    <w:p w:rsidR="00D70BB2" w:rsidRDefault="005632E9">
      <w:pPr>
        <w:pStyle w:val="ListParagraph"/>
        <w:numPr>
          <w:ilvl w:val="0"/>
          <w:numId w:val="12"/>
        </w:numPr>
        <w:bidi/>
        <w:spacing w:line="360" w:lineRule="auto"/>
        <w:jc w:val="both"/>
      </w:pPr>
      <w:r>
        <w:rPr>
          <w:b/>
          <w:bCs/>
          <w:rtl/>
        </w:rPr>
        <w:t>الأخصائيون الاجتماعيون:</w:t>
      </w:r>
      <w:r>
        <w:rPr>
          <w:rtl/>
        </w:rPr>
        <w:t xml:space="preserve"> يقترح أن يبلغ عددهم (50) أخصائيًا اجتماعيًا ممن لا تقل خبرتهم عن سنة في تنفيذ البرامج الوقائية، يُختارون من المؤسسات التعليمية والمراكز المجتمعية التي تقدم برامج وقائية للشباب، ويُختار منهم عدد للمقابلات شبه المقننة حتى الوصول إلى مرحلة التشبع في البيانات النوعية.</w:t>
      </w:r>
    </w:p>
    <w:p w:rsidR="00D70BB2" w:rsidRDefault="005632E9">
      <w:pPr>
        <w:bidi/>
        <w:spacing w:line="360" w:lineRule="auto"/>
        <w:jc w:val="both"/>
      </w:pPr>
      <w:r>
        <w:rPr>
          <w:rtl/>
        </w:rPr>
        <w:t>ويتوقع أن يتيح هذا الحجم تمثيلًا مناسبًا لمجتمع الدراسة وإجراء التحليلات الإحصائية اللازمة.</w:t>
      </w:r>
    </w:p>
    <w:p w:rsidR="00D70BB2" w:rsidRDefault="005632E9">
      <w:pPr>
        <w:bidi/>
        <w:spacing w:line="360" w:lineRule="auto"/>
        <w:jc w:val="both"/>
      </w:pPr>
      <w:r>
        <w:rPr>
          <w:b/>
          <w:bCs/>
          <w:rtl/>
        </w:rPr>
        <w:t>خصائص العينة المتوقعة:</w:t>
      </w:r>
    </w:p>
    <w:p w:rsidR="00D70BB2" w:rsidRDefault="005632E9">
      <w:pPr>
        <w:pStyle w:val="ListParagraph"/>
        <w:numPr>
          <w:ilvl w:val="0"/>
          <w:numId w:val="12"/>
        </w:numPr>
        <w:bidi/>
        <w:spacing w:line="360" w:lineRule="auto"/>
        <w:jc w:val="both"/>
      </w:pPr>
      <w:r>
        <w:rPr>
          <w:b/>
          <w:bCs/>
          <w:rtl/>
        </w:rPr>
        <w:lastRenderedPageBreak/>
        <w:t>الخصائص الديموغرافية:</w:t>
      </w:r>
      <w:r>
        <w:rPr>
          <w:rtl/>
        </w:rPr>
        <w:t xml:space="preserve"> الفئة العمرية (18–30 سنة)، والجنس: ذكور وإناث بنسبة متقاربة.</w:t>
      </w:r>
    </w:p>
    <w:p w:rsidR="00D70BB2" w:rsidRDefault="005632E9">
      <w:pPr>
        <w:pStyle w:val="ListParagraph"/>
        <w:numPr>
          <w:ilvl w:val="0"/>
          <w:numId w:val="12"/>
        </w:numPr>
        <w:bidi/>
        <w:spacing w:line="360" w:lineRule="auto"/>
        <w:jc w:val="both"/>
      </w:pPr>
      <w:r>
        <w:rPr>
          <w:b/>
          <w:bCs/>
          <w:rtl/>
        </w:rPr>
        <w:t>الخصائص التعليمية:</w:t>
      </w:r>
      <w:r>
        <w:rPr>
          <w:rtl/>
        </w:rPr>
        <w:t xml:space="preserve"> طلاب جامعات وكليات ومعاهد، وشباب منخرطون في برامج تدريبية أو أنشطة مجتمعية.</w:t>
      </w:r>
    </w:p>
    <w:p w:rsidR="00D70BB2" w:rsidRDefault="005632E9">
      <w:pPr>
        <w:pStyle w:val="ListParagraph"/>
        <w:numPr>
          <w:ilvl w:val="0"/>
          <w:numId w:val="12"/>
        </w:numPr>
        <w:bidi/>
        <w:spacing w:line="360" w:lineRule="auto"/>
        <w:jc w:val="both"/>
      </w:pPr>
      <w:r>
        <w:rPr>
          <w:b/>
          <w:bCs/>
          <w:rtl/>
        </w:rPr>
        <w:t>الخصائص الاجتماعية:</w:t>
      </w:r>
      <w:r>
        <w:rPr>
          <w:rtl/>
        </w:rPr>
        <w:t xml:space="preserve"> شباب من أسر ذات مستويات اقتصادية مختلفة، ومن بيئات اجتماعية ومناطق سكنية مختلفة.</w:t>
      </w:r>
    </w:p>
    <w:p w:rsidR="00D70BB2" w:rsidRDefault="005632E9">
      <w:pPr>
        <w:pStyle w:val="ListParagraph"/>
        <w:numPr>
          <w:ilvl w:val="0"/>
          <w:numId w:val="12"/>
        </w:numPr>
        <w:bidi/>
        <w:spacing w:line="360" w:lineRule="auto"/>
        <w:jc w:val="both"/>
      </w:pPr>
      <w:r>
        <w:rPr>
          <w:b/>
          <w:bCs/>
          <w:rtl/>
        </w:rPr>
        <w:t>الخصائص المهنية للأخصائيين الاجتماعيين:</w:t>
      </w:r>
      <w:r>
        <w:rPr>
          <w:rtl/>
        </w:rPr>
        <w:t xml:space="preserve"> يعملون في الجامعات والكليات والمراكز المجتمعية، ولديهم خبرة في تصميم البرامج الوقائية وتنفيذها.</w:t>
      </w:r>
    </w:p>
    <w:p w:rsidR="00D70BB2" w:rsidRDefault="005632E9">
      <w:pPr>
        <w:keepNext/>
        <w:bidi/>
        <w:spacing w:before="120" w:after="60" w:line="360" w:lineRule="auto"/>
        <w:jc w:val="both"/>
      </w:pPr>
      <w:r>
        <w:rPr>
          <w:b/>
          <w:bCs/>
          <w:rtl/>
        </w:rPr>
        <w:t>5. صدق أدوات البحث وثباتها</w:t>
      </w:r>
    </w:p>
    <w:p w:rsidR="00D70BB2" w:rsidRDefault="005632E9">
      <w:pPr>
        <w:bidi/>
        <w:spacing w:line="360" w:lineRule="auto"/>
        <w:jc w:val="both"/>
      </w:pPr>
      <w:r>
        <w:rPr>
          <w:b/>
          <w:bCs/>
          <w:rtl/>
        </w:rPr>
        <w:t>مفهوم الصدق:</w:t>
      </w:r>
      <w:r>
        <w:rPr>
          <w:rtl/>
        </w:rPr>
        <w:t xml:space="preserve"> يعني الصدق في البحث العلمي أن الأداة المستخدمة تقيس فعلًا ما وضعت لقياسه، أي أن نتائجها تعكس الواقع المراد دراسته بدقة. ويعد الصدق من أهم معايير جودة أدوات البحث، لأنه يضمن ألا تكون النتائج المستخلصة مشوهة أو مضللة (عبد الباسط، 2020؛ </w:t>
      </w:r>
      <w:r>
        <w:t>Creswell &amp; Creswell, 2018</w:t>
      </w:r>
      <w:r>
        <w:rPr>
          <w:rtl/>
        </w:rPr>
        <w:t>). ومن أنواعه:</w:t>
      </w:r>
    </w:p>
    <w:p w:rsidR="00D70BB2" w:rsidRDefault="005632E9">
      <w:pPr>
        <w:pStyle w:val="ListParagraph"/>
        <w:numPr>
          <w:ilvl w:val="0"/>
          <w:numId w:val="12"/>
        </w:numPr>
        <w:bidi/>
        <w:spacing w:line="360" w:lineRule="auto"/>
        <w:jc w:val="both"/>
      </w:pPr>
      <w:r>
        <w:rPr>
          <w:b/>
          <w:bCs/>
          <w:rtl/>
        </w:rPr>
        <w:t>الصدق الظاهري:</w:t>
      </w:r>
      <w:r>
        <w:rPr>
          <w:rtl/>
        </w:rPr>
        <w:t xml:space="preserve"> مدى وضوح الأداة وملاءمتها للظاهرة المدروسة من وجهة نظر الخبراء والمشاركين.</w:t>
      </w:r>
    </w:p>
    <w:p w:rsidR="00D70BB2" w:rsidRDefault="005632E9">
      <w:pPr>
        <w:pStyle w:val="ListParagraph"/>
        <w:numPr>
          <w:ilvl w:val="0"/>
          <w:numId w:val="12"/>
        </w:numPr>
        <w:bidi/>
        <w:spacing w:line="360" w:lineRule="auto"/>
        <w:jc w:val="both"/>
      </w:pPr>
      <w:r>
        <w:rPr>
          <w:b/>
          <w:bCs/>
          <w:rtl/>
        </w:rPr>
        <w:t>صدق المحتوى:</w:t>
      </w:r>
      <w:r>
        <w:rPr>
          <w:rtl/>
        </w:rPr>
        <w:t xml:space="preserve"> مدى شمول الأداة لجميع جوانب الظاهرة، بحيث لا تهمل عناصر أساسية مرتبطة بها.</w:t>
      </w:r>
    </w:p>
    <w:p w:rsidR="00D70BB2" w:rsidRDefault="005632E9">
      <w:pPr>
        <w:pStyle w:val="ListParagraph"/>
        <w:numPr>
          <w:ilvl w:val="0"/>
          <w:numId w:val="12"/>
        </w:numPr>
        <w:bidi/>
        <w:spacing w:line="360" w:lineRule="auto"/>
        <w:jc w:val="both"/>
      </w:pPr>
      <w:r>
        <w:rPr>
          <w:b/>
          <w:bCs/>
          <w:rtl/>
        </w:rPr>
        <w:t>الصدق البنائي:</w:t>
      </w:r>
      <w:r>
        <w:rPr>
          <w:rtl/>
        </w:rPr>
        <w:t xml:space="preserve"> مدى ارتباط الأداة بالنظرية أو المفهوم الذي تستند إليه، أي أن الفقرات تعكس البناء النظري للمتغير.</w:t>
      </w:r>
    </w:p>
    <w:p w:rsidR="00D70BB2" w:rsidRDefault="005632E9">
      <w:pPr>
        <w:pStyle w:val="ListParagraph"/>
        <w:numPr>
          <w:ilvl w:val="0"/>
          <w:numId w:val="12"/>
        </w:numPr>
        <w:bidi/>
        <w:spacing w:line="360" w:lineRule="auto"/>
        <w:jc w:val="both"/>
      </w:pPr>
      <w:r>
        <w:rPr>
          <w:b/>
          <w:bCs/>
          <w:rtl/>
        </w:rPr>
        <w:lastRenderedPageBreak/>
        <w:t>الصدق التلازمي:</w:t>
      </w:r>
      <w:r>
        <w:rPr>
          <w:rtl/>
        </w:rPr>
        <w:t xml:space="preserve"> مقارنة نتائج الأداة بنتائج أداة أخرى معتمدة لقياس الظاهرة نفسها، فإذا تقاربت النتائج دل ذلك على صدق الأداة.</w:t>
      </w:r>
    </w:p>
    <w:p w:rsidR="00D70BB2" w:rsidRDefault="005632E9">
      <w:pPr>
        <w:pStyle w:val="ListParagraph"/>
        <w:numPr>
          <w:ilvl w:val="0"/>
          <w:numId w:val="12"/>
        </w:numPr>
        <w:bidi/>
        <w:spacing w:line="360" w:lineRule="auto"/>
        <w:jc w:val="both"/>
      </w:pPr>
      <w:r>
        <w:rPr>
          <w:b/>
          <w:bCs/>
          <w:rtl/>
        </w:rPr>
        <w:t>الصدق التنبؤي:</w:t>
      </w:r>
      <w:r>
        <w:rPr>
          <w:rtl/>
        </w:rPr>
        <w:t xml:space="preserve"> قدرة الأداة على التنبؤ بسلوك أو ظاهرة مستقبلية مرتبطة بالمتغير محل الدراسة.</w:t>
      </w:r>
    </w:p>
    <w:p w:rsidR="00D70BB2" w:rsidRDefault="005632E9">
      <w:pPr>
        <w:bidi/>
        <w:spacing w:line="360" w:lineRule="auto"/>
        <w:jc w:val="both"/>
      </w:pPr>
      <w:r>
        <w:rPr>
          <w:b/>
          <w:bCs/>
          <w:rtl/>
        </w:rPr>
        <w:t>مفهوم الثبات:</w:t>
      </w:r>
      <w:r>
        <w:rPr>
          <w:rtl/>
        </w:rPr>
        <w:t xml:space="preserve"> يعني الثبات أن الأداة تعطي النتائج نفسها إذا أعيد تطبيقها في ظروف متشابهة، أي أن نتائجها مستقرة وغير متذبذبة. ويعد الثبات شرطًا أساسيًا لضمان موثوقية النتائج، لأنه يبين أن الأداة لا تتأثر بعوامل عشوائية أو مؤقتة. ومن طرق قياسه:</w:t>
      </w:r>
    </w:p>
    <w:p w:rsidR="00D70BB2" w:rsidRDefault="005632E9">
      <w:pPr>
        <w:pStyle w:val="ListParagraph"/>
        <w:numPr>
          <w:ilvl w:val="0"/>
          <w:numId w:val="12"/>
        </w:numPr>
        <w:bidi/>
        <w:spacing w:line="360" w:lineRule="auto"/>
        <w:jc w:val="both"/>
      </w:pPr>
      <w:r>
        <w:rPr>
          <w:b/>
          <w:bCs/>
          <w:rtl/>
        </w:rPr>
        <w:t>الاتساق الداخلي:</w:t>
      </w:r>
      <w:r>
        <w:rPr>
          <w:rtl/>
        </w:rPr>
        <w:t xml:space="preserve"> بحساب معامل ألفا كرونباخ </w:t>
      </w:r>
      <w:r>
        <w:t>(Cronbach’s Alpha)</w:t>
      </w:r>
      <w:r>
        <w:rPr>
          <w:rtl/>
        </w:rPr>
        <w:t xml:space="preserve"> للمقاييس وأبعادها.</w:t>
      </w:r>
    </w:p>
    <w:p w:rsidR="00D70BB2" w:rsidRDefault="005632E9">
      <w:pPr>
        <w:pStyle w:val="ListParagraph"/>
        <w:numPr>
          <w:ilvl w:val="0"/>
          <w:numId w:val="12"/>
        </w:numPr>
        <w:bidi/>
        <w:spacing w:line="360" w:lineRule="auto"/>
        <w:jc w:val="both"/>
      </w:pPr>
      <w:r>
        <w:rPr>
          <w:b/>
          <w:bCs/>
          <w:rtl/>
        </w:rPr>
        <w:t xml:space="preserve">إعادة الاختبار </w:t>
      </w:r>
      <w:r>
        <w:rPr>
          <w:b/>
          <w:bCs/>
        </w:rPr>
        <w:t>(Test-Retest)</w:t>
      </w:r>
      <w:r>
        <w:rPr>
          <w:b/>
          <w:bCs/>
          <w:rtl/>
        </w:rPr>
        <w:t>:</w:t>
      </w:r>
      <w:r>
        <w:rPr>
          <w:rtl/>
        </w:rPr>
        <w:t xml:space="preserve"> بتطبيق الأداة مرتين على عينة استطلاعية بفاصل زمني، ثم حساب معامل الارتباط بين نتائج التطبيقين.</w:t>
      </w:r>
    </w:p>
    <w:p w:rsidR="00D70BB2" w:rsidRDefault="005632E9">
      <w:pPr>
        <w:bidi/>
        <w:spacing w:line="360" w:lineRule="auto"/>
        <w:jc w:val="both"/>
      </w:pPr>
      <w:r>
        <w:rPr>
          <w:b/>
          <w:bCs/>
          <w:rtl/>
        </w:rPr>
        <w:t>إجراءات التحقق من الصدق والثبات في الدراسة الحالية:</w:t>
      </w:r>
      <w:r>
        <w:rPr>
          <w:rtl/>
        </w:rPr>
        <w:t xml:space="preserve"> ستُعرض الاستبانتان ودليل المقابلة على مجموعة من المحكمين المتخصصين في علم الاجتماع والعمل الاجتماعي للتأكد من ملاءمتها لموضوع الدراسة، بما يحقق الصدق الظاهري وصدق المحتوى. كما بُنيت فقرات المقاييس وفقًا للإطار النظري للدراسة (نظريتا الروابط الاجتماعية والتعلم الاجتماعي – الفصل الثاني)، ويُتحقق من الصدق البنائي بالتحليل العاملي. ويُتحقق من الثبات بحساب معامل ألفا كرونباخ، وإعادة التطبيق على عينة استطلاعية صغيرة من خارج عينة الدراسة للتأكد من استقرار النتائج (الزهراني، 2021).</w:t>
      </w:r>
    </w:p>
    <w:p w:rsidR="00D70BB2" w:rsidRDefault="005632E9">
      <w:pPr>
        <w:bidi/>
        <w:spacing w:line="360" w:lineRule="auto"/>
        <w:jc w:val="both"/>
      </w:pPr>
      <w:r>
        <w:rPr>
          <w:b/>
          <w:bCs/>
          <w:rtl/>
        </w:rPr>
        <w:t>أهمية الصدق والثبات في الدراسة:</w:t>
      </w:r>
    </w:p>
    <w:p w:rsidR="00D70BB2" w:rsidRDefault="005632E9">
      <w:pPr>
        <w:pStyle w:val="ListParagraph"/>
        <w:numPr>
          <w:ilvl w:val="0"/>
          <w:numId w:val="12"/>
        </w:numPr>
        <w:bidi/>
        <w:spacing w:line="360" w:lineRule="auto"/>
        <w:jc w:val="both"/>
      </w:pPr>
      <w:r>
        <w:rPr>
          <w:b/>
          <w:bCs/>
          <w:rtl/>
        </w:rPr>
        <w:t>ضمان دقة النتائج:</w:t>
      </w:r>
      <w:r>
        <w:rPr>
          <w:rtl/>
        </w:rPr>
        <w:t xml:space="preserve"> فالصدق يضمن أن الأداة تقيس الظاهرة المستهدفة، والثبات يضمن استقرار النتائج.</w:t>
      </w:r>
    </w:p>
    <w:p w:rsidR="00D70BB2" w:rsidRDefault="005632E9">
      <w:pPr>
        <w:pStyle w:val="ListParagraph"/>
        <w:numPr>
          <w:ilvl w:val="0"/>
          <w:numId w:val="12"/>
        </w:numPr>
        <w:bidi/>
        <w:spacing w:line="360" w:lineRule="auto"/>
        <w:jc w:val="both"/>
      </w:pPr>
      <w:r>
        <w:rPr>
          <w:b/>
          <w:bCs/>
          <w:rtl/>
        </w:rPr>
        <w:lastRenderedPageBreak/>
        <w:t>تعزيز المصداقية العلمية:</w:t>
      </w:r>
      <w:r>
        <w:rPr>
          <w:rtl/>
        </w:rPr>
        <w:t xml:space="preserve"> إذ يعزز وجود أدوات صادقة وثابتة ثقة الباحثين والمؤسسات في نتائج الدراسة.</w:t>
      </w:r>
    </w:p>
    <w:p w:rsidR="00D70BB2" w:rsidRDefault="005632E9">
      <w:pPr>
        <w:pStyle w:val="ListParagraph"/>
        <w:numPr>
          <w:ilvl w:val="0"/>
          <w:numId w:val="12"/>
        </w:numPr>
        <w:bidi/>
        <w:spacing w:line="360" w:lineRule="auto"/>
        <w:jc w:val="both"/>
      </w:pPr>
      <w:r>
        <w:rPr>
          <w:b/>
          <w:bCs/>
          <w:rtl/>
        </w:rPr>
        <w:t>إمكانية التعميم:</w:t>
      </w:r>
      <w:r>
        <w:rPr>
          <w:rtl/>
        </w:rPr>
        <w:t xml:space="preserve"> تسمح أدوات البحث ذات الصدق والثبات العاليين بتعميم النتائج على المجتمع الأكبر بدرجة مقبولة.</w:t>
      </w:r>
    </w:p>
    <w:p w:rsidR="00D70BB2" w:rsidRDefault="005632E9">
      <w:pPr>
        <w:pStyle w:val="ListParagraph"/>
        <w:numPr>
          <w:ilvl w:val="0"/>
          <w:numId w:val="12"/>
        </w:numPr>
        <w:bidi/>
        <w:spacing w:line="360" w:lineRule="auto"/>
        <w:jc w:val="both"/>
      </w:pPr>
      <w:r>
        <w:rPr>
          <w:b/>
          <w:bCs/>
          <w:rtl/>
        </w:rPr>
        <w:t>دعم القرارات العملية:</w:t>
      </w:r>
      <w:r>
        <w:rPr>
          <w:rtl/>
        </w:rPr>
        <w:t xml:space="preserve"> تساعد الأدوات الصادقة والثابتة في تصميم برامج وقائية أكثر فاعلية في مجال العمل الاجتماعي مع الشباب.</w:t>
      </w:r>
    </w:p>
    <w:p w:rsidR="00D70BB2" w:rsidRDefault="005632E9">
      <w:pPr>
        <w:bidi/>
        <w:spacing w:line="360" w:lineRule="auto"/>
        <w:jc w:val="both"/>
      </w:pPr>
      <w:r>
        <w:rPr>
          <w:rtl/>
        </w:rPr>
        <w:t>ويمثل الصدق والثبات ركيزتين أساسيتين في أي دراسة علمية، فبدونهما تصبح النتائج غير دقيقة وغير قابلة للتعميم، ومن ثم فإن التحقق منهما يعزز قوة النتائج ويجعلها قابلة للاستخدام في تطوير برامج العمل الاجتماعي الموجهة للشباب الإماراتي.</w:t>
      </w:r>
    </w:p>
    <w:p w:rsidR="00D70BB2" w:rsidRDefault="005632E9">
      <w:pPr>
        <w:keepNext/>
        <w:bidi/>
        <w:spacing w:before="120" w:after="60" w:line="360" w:lineRule="auto"/>
        <w:jc w:val="both"/>
      </w:pPr>
      <w:r>
        <w:rPr>
          <w:b/>
          <w:bCs/>
          <w:rtl/>
        </w:rPr>
        <w:t>6. أساليب التحليل</w:t>
      </w:r>
    </w:p>
    <w:p w:rsidR="00D70BB2" w:rsidRDefault="005632E9">
      <w:pPr>
        <w:bidi/>
        <w:spacing w:line="360" w:lineRule="auto"/>
        <w:jc w:val="both"/>
      </w:pPr>
      <w:r>
        <w:rPr>
          <w:rtl/>
        </w:rPr>
        <w:t xml:space="preserve">يعد اختيار نوع التحليل من أهم خطوات البحث العلمي، إذ يحدد الطريقة التي يُتعامل بها مع البيانات الميدانية للوصول إلى نتائج دقيقة وموضوعية. وتعتمد الدراسة على التحليل الكمي والنوعي معًا، لتحقيق التكامل بين الأرقام والإحصاءات من جهة، والتفسيرات الاجتماعية العميقة من جهة أخرى </w:t>
      </w:r>
      <w:r>
        <w:t>(Neuman, 2020)</w:t>
      </w:r>
      <w:r>
        <w:rPr>
          <w:rtl/>
        </w:rPr>
        <w:t>.</w:t>
      </w:r>
    </w:p>
    <w:p w:rsidR="00D70BB2" w:rsidRDefault="005632E9">
      <w:pPr>
        <w:pStyle w:val="ListParagraph"/>
        <w:numPr>
          <w:ilvl w:val="0"/>
          <w:numId w:val="12"/>
        </w:numPr>
        <w:bidi/>
        <w:spacing w:line="360" w:lineRule="auto"/>
        <w:jc w:val="both"/>
      </w:pPr>
      <w:r>
        <w:rPr>
          <w:b/>
          <w:bCs/>
          <w:rtl/>
        </w:rPr>
        <w:t>التحليل الكمي:</w:t>
      </w:r>
      <w:r>
        <w:rPr>
          <w:rtl/>
        </w:rPr>
        <w:t xml:space="preserve"> يهدف إلى تقديم صورة رقمية دقيقة عن الظاهرة، كنسبة انتشار السلوكيات المنحرفة، ودرجة فاعلية الدور، ومستوى المشاركة في البرامج الوقائية، باستخدام برنامج التحليل الإحصائي </w:t>
      </w:r>
      <w:r>
        <w:t>(SPSS)</w:t>
      </w:r>
      <w:r>
        <w:rPr>
          <w:rtl/>
        </w:rPr>
        <w:t xml:space="preserve">، من خلال: التكرارات والنسب المئوية والمتوسطات الحسابية والانحرافات المعيارية لوصف </w:t>
      </w:r>
      <w:r>
        <w:rPr>
          <w:rtl/>
        </w:rPr>
        <w:lastRenderedPageBreak/>
        <w:t xml:space="preserve">البيانات، ومعامل ارتباط بيرسون لقياس العلاقة بين المتغيرات (ف1، ف2)، والانحدار الخطي المتعدد لتقدير الإسهام التنبؤي (ف3)، واختبار (ت) وتحليل التباين الأحادي </w:t>
      </w:r>
      <w:r>
        <w:t>(ANOVA)</w:t>
      </w:r>
      <w:r>
        <w:rPr>
          <w:rtl/>
        </w:rPr>
        <w:t xml:space="preserve"> واختبار شيفيه للكشف عن الفروق (ف4–ف6)، على النحو المبين في الجدول (1).</w:t>
      </w:r>
    </w:p>
    <w:p w:rsidR="00D70BB2" w:rsidRDefault="005632E9">
      <w:pPr>
        <w:pStyle w:val="ListParagraph"/>
        <w:numPr>
          <w:ilvl w:val="0"/>
          <w:numId w:val="12"/>
        </w:numPr>
        <w:bidi/>
        <w:spacing w:line="360" w:lineRule="auto"/>
        <w:jc w:val="both"/>
      </w:pPr>
      <w:r>
        <w:rPr>
          <w:b/>
          <w:bCs/>
          <w:rtl/>
        </w:rPr>
        <w:t>التحليل النوعي:</w:t>
      </w:r>
      <w:r>
        <w:rPr>
          <w:rtl/>
        </w:rPr>
        <w:t xml:space="preserve"> يهدف إلى فهم أعمق للظاهرة من خلال تفسير تجارب الأخصائيين الاجتماعيين والشباب، والكشف عن المعاني والدوافع الكامنة وراء السلوك، باستخدام التحليل الموضوعي </w:t>
      </w:r>
      <w:r>
        <w:t>(Thematic Analysis)</w:t>
      </w:r>
      <w:r>
        <w:rPr>
          <w:rtl/>
        </w:rPr>
        <w:t xml:space="preserve"> للمقابلات مع الأخصائيين الاجتماعيين وللإجابات المفتوحة في الاستبانات، وتصنيف البيانات وفق محاور رئيسة مثل: دور الأخصائي الاجتماعي، وفاعلية البرامج، والمعوقات، والمقترحات. ويضيف التحليل النوعي بعدًا تفسيريًا لا يمكن للأرقام وحدها أن تكشفه، كفهم كيفية نظر الشباب إلى البرامج الوقائية والتحديات التي يواجهها الأخصائيون في تطبيقها.</w:t>
      </w:r>
    </w:p>
    <w:p w:rsidR="00D70BB2" w:rsidRDefault="005632E9">
      <w:pPr>
        <w:pStyle w:val="ListParagraph"/>
        <w:numPr>
          <w:ilvl w:val="0"/>
          <w:numId w:val="12"/>
        </w:numPr>
        <w:bidi/>
        <w:spacing w:line="360" w:lineRule="auto"/>
        <w:jc w:val="both"/>
      </w:pPr>
      <w:r>
        <w:rPr>
          <w:b/>
          <w:bCs/>
          <w:rtl/>
        </w:rPr>
        <w:t>الدمج بين التحليلين:</w:t>
      </w:r>
      <w:r>
        <w:rPr>
          <w:rtl/>
        </w:rPr>
        <w:t xml:space="preserve"> تقدم النتائج الكمية صورة عامة دقيقة، وتفسر النتائج النوعية هذه الصورة وتضيف إليها عمقًا اجتماعيًا، بما يوفر صورة شاملة تساعد في تطوير برامج وقائية أكثر فاعلية، ويعزز دور الأخصائي الاجتماعي في خدمة المجتمع.</w:t>
      </w:r>
    </w:p>
    <w:p w:rsidR="00D70BB2" w:rsidRDefault="005632E9">
      <w:pPr>
        <w:bidi/>
        <w:spacing w:line="360" w:lineRule="auto"/>
        <w:jc w:val="both"/>
      </w:pPr>
      <w:r>
        <w:rPr>
          <w:rtl/>
        </w:rPr>
        <w:t xml:space="preserve">وتتمثل أسباب اختيار هذا النوع من التحليل في أن طبيعة الظاهرة (السلوكيات المنحرفة) تتطلب بيانات كمية ونوعية لفهمها بصورة شاملة، وأن الجمع بين التحليلين يزيد من قوة النتائج ويجعلها أكثر قابلية للتطبيق العملي، ويتيح الاستفادة من مزايا كل نوع من التحليل ويقلل من نقاط الضعف المحتملة، بما يتوافق مع أهداف الدراسة التي تسعى إلى تقديم نتائج علمية دقيقة وتوصيات عملية قابلة للتنفيذ (عبد الباسط، 2020؛ </w:t>
      </w:r>
      <w:r>
        <w:t>Creswell &amp; Creswell, 2018</w:t>
      </w:r>
      <w:r>
        <w:rPr>
          <w:rtl/>
        </w:rPr>
        <w:t>). وتُطبق هذه الإجراءات وتُعرض نتائجها تفصيلًا في الفصل الثالث (الدراسة الميدانية).</w:t>
      </w:r>
    </w:p>
    <w:p w:rsidR="00D70BB2" w:rsidRDefault="005632E9">
      <w:pPr>
        <w:keepNext/>
        <w:bidi/>
        <w:spacing w:before="120" w:after="60" w:line="360" w:lineRule="auto"/>
        <w:jc w:val="both"/>
      </w:pPr>
      <w:r>
        <w:rPr>
          <w:b/>
          <w:bCs/>
          <w:rtl/>
        </w:rPr>
        <w:lastRenderedPageBreak/>
        <w:t>سادساً: حدود البحث</w:t>
      </w:r>
    </w:p>
    <w:p w:rsidR="00D70BB2" w:rsidRDefault="005632E9">
      <w:pPr>
        <w:bidi/>
        <w:spacing w:line="360" w:lineRule="auto"/>
        <w:jc w:val="both"/>
      </w:pPr>
      <w:r>
        <w:rPr>
          <w:b/>
          <w:bCs/>
          <w:rtl/>
        </w:rPr>
        <w:t>الحدود الموضوعية:</w:t>
      </w:r>
      <w:r>
        <w:rPr>
          <w:rtl/>
        </w:rPr>
        <w:t xml:space="preserve"> تقتصر الدراسة على قياس فاعلية الدور الوقائي للأخصائي الاجتماعي بأبعاده الأربعة، وعلاقتها بثلاث صور من السلوك المنحرف هي: السلوك العدواني والعنف، والتنمر التقليدي والإلكتروني، وتعاطي التبغ والمواد المؤثرة عقليًا. ولا تتناول الدراسة الجرائم الجسيمة أو الجنوح بمعناه القانوني، ولا تبحث العوامل المسببة للانحراف تفصيلًا، ولا تقيّم البرامج العلاجية أو التأهيلية اللاحقة لوقوع السلوك.</w:t>
      </w:r>
    </w:p>
    <w:p w:rsidR="00D70BB2" w:rsidRDefault="005632E9">
      <w:pPr>
        <w:bidi/>
        <w:spacing w:line="360" w:lineRule="auto"/>
        <w:jc w:val="both"/>
      </w:pPr>
      <w:r>
        <w:rPr>
          <w:b/>
          <w:bCs/>
          <w:rtl/>
        </w:rPr>
        <w:t>الحدود البشرية:</w:t>
      </w:r>
      <w:r>
        <w:rPr>
          <w:rtl/>
        </w:rPr>
        <w:t xml:space="preserve"> تشمل الدراسة فئتين: (أ) الشباب الإماراتيين من الجنسين في الفئة العمرية (18–30 سنة) المسجلين في المؤسسات التعليمية أو المستفيدين من برامج المؤسسات المجتمعية محل الدراسة، ممن أتيحت لهم خدمات الأخصائي الاجتماعي أو برامجه الوقائية، (ب) الأخصائيين الاجتماعيين العاملين في تلك المؤسسات ممن لا تقل خبرتهم عن سنة واحدة في تنفيذ البرامج الوقائية. ويستبعد غير المواطنين ومن هم دون الثامنة عشرة.</w:t>
      </w:r>
    </w:p>
    <w:p w:rsidR="00D70BB2" w:rsidRDefault="005632E9">
      <w:pPr>
        <w:bidi/>
        <w:spacing w:line="360" w:lineRule="auto"/>
        <w:jc w:val="both"/>
      </w:pPr>
      <w:r>
        <w:rPr>
          <w:rtl/>
        </w:rPr>
        <w:t xml:space="preserve">ويسوَّغ اختيار الفئة العمرية (18–30 سنة) بأن: (أ) الثامنة عشرة تمثل الحد الفاصل بين الحدث والراشد، إذ يقصر التشريع الإماراتي وصف «الحدث الجانح» على الطفل الذي يرتكب جريمة معاقبًا عليها (القانون الاتحادي رقم 6 لسنة 2022، المادة 1)، ومن ثم تتناول الدراسة الانحراف السلوكي لدى الراشدين لا جنوح الأحداث، (ب) هذه الفئة تغطي مرحلة «الرشد الناشئ» وما يصاحبها من تجريب وعدم استقرار </w:t>
      </w:r>
      <w:r>
        <w:t>(Arnett, 2000, p. 469)</w:t>
      </w:r>
      <w:r>
        <w:rPr>
          <w:rtl/>
        </w:rPr>
        <w:t xml:space="preserve">، (ج) الفئة دون 30 سنة سجلت أعلى معدلات سوء استخدام الأدوية الموصوفة وتعدد التعاطي في البيانات الوطنية المتاحة </w:t>
      </w:r>
      <w:r>
        <w:t>(Alblooshi et al., 2016, p. 1)</w:t>
      </w:r>
      <w:r>
        <w:rPr>
          <w:rtl/>
        </w:rPr>
        <w:t xml:space="preserve">، (د) الفئة تقع ضمن التعريف </w:t>
      </w:r>
      <w:r>
        <w:rPr>
          <w:rtl/>
        </w:rPr>
        <w:lastRenderedPageBreak/>
        <w:t xml:space="preserve">الوطني للشباب (15–35 سنة) </w:t>
      </w:r>
      <w:r>
        <w:t>(Strategy&amp;, 2021, p. 3)</w:t>
      </w:r>
      <w:r>
        <w:rPr>
          <w:rtl/>
        </w:rPr>
        <w:t>، وتتوافق مع مراحل الدراسة الجامعية والدراسات العليا والانتقال إلى سوق العمل.</w:t>
      </w:r>
    </w:p>
    <w:p w:rsidR="00D70BB2" w:rsidRDefault="005632E9">
      <w:pPr>
        <w:bidi/>
        <w:spacing w:line="360" w:lineRule="auto"/>
        <w:jc w:val="both"/>
      </w:pPr>
      <w:r>
        <w:rPr>
          <w:b/>
          <w:bCs/>
          <w:rtl/>
        </w:rPr>
        <w:t>الحدود المكانية:</w:t>
      </w:r>
      <w:r>
        <w:rPr>
          <w:rtl/>
        </w:rPr>
        <w:t xml:space="preserve"> تطبق الدراسة في إمارة الشارقة، وتحديدًا في: (أ) مؤسسات تعليمية: جامعة الشارقة وفروع كليات التقنية العليا في الإمارة، (ب) مؤسسات مجتمعية: المراكز التابعة لدائرة الخدمات الاجتماعية بالشارقة التي تقدم برامج للشباب. ويسوَّغ هذا الاختيار بانتماء الباحثة الأكاديمي إلى جامعة الشارقة بما ييسر إجراءات الموافقات والوصول إلى المبحوثين، وبتنوع المؤسسات التعليمية والمجتمعية في الإمارة بما يتيح المقارنة بين نوعي المؤسسات. ويعتمد الحصر النهائي للمؤسسات بعد الحصول على موافقات التطبيق الرسمية.</w:t>
      </w:r>
    </w:p>
    <w:p w:rsidR="00D70BB2" w:rsidRDefault="005632E9">
      <w:pPr>
        <w:bidi/>
        <w:spacing w:line="360" w:lineRule="auto"/>
        <w:jc w:val="both"/>
      </w:pPr>
      <w:r>
        <w:rPr>
          <w:b/>
          <w:bCs/>
          <w:rtl/>
        </w:rPr>
        <w:t>الحدود الزمانية:</w:t>
      </w:r>
      <w:r>
        <w:rPr>
          <w:rtl/>
        </w:rPr>
        <w:t xml:space="preserve"> يُنجز الإطار النظري وبناء الأدوات وتحكيمها خلال فصل الخريف من العام الأكاديمي (2026/2027)، ويطبق الجانب الميداني (الاستبانات والمقابلات) خلال فصل الربيع من العام نفسه (يناير–أبريل 2027). وتقاس السلوكيات المنحرفة عن فترة مرجعية محددة هي الاثنا عشر شهرًا السابقة لتطبيق الأداة، أسوةً بالمسوح الدولية </w:t>
      </w:r>
      <w:r>
        <w:t>(WHO, 2016, p. 4)</w:t>
      </w:r>
      <w:r>
        <w:rPr>
          <w:rtl/>
        </w:rPr>
        <w:t>.</w:t>
      </w:r>
    </w:p>
    <w:p w:rsidR="00D70BB2" w:rsidRDefault="005632E9">
      <w:pPr>
        <w:keepNext/>
        <w:bidi/>
        <w:spacing w:before="120" w:after="60" w:line="360" w:lineRule="auto"/>
        <w:jc w:val="both"/>
      </w:pPr>
      <w:r>
        <w:rPr>
          <w:b/>
          <w:bCs/>
          <w:rtl/>
        </w:rPr>
        <w:t>سابعاً: خطة البحث</w:t>
      </w:r>
    </w:p>
    <w:p w:rsidR="00D70BB2" w:rsidRDefault="005632E9">
      <w:pPr>
        <w:keepNext/>
        <w:bidi/>
        <w:spacing w:line="360" w:lineRule="auto"/>
        <w:jc w:val="both"/>
      </w:pPr>
      <w:r>
        <w:rPr>
          <w:b/>
          <w:bCs/>
          <w:rtl/>
        </w:rPr>
        <w:t>الفصل الأول: الإطار المفاهيمي للدراسة</w:t>
      </w:r>
    </w:p>
    <w:p w:rsidR="00D70BB2" w:rsidRDefault="005632E9">
      <w:pPr>
        <w:keepNext/>
        <w:bidi/>
        <w:spacing w:line="360" w:lineRule="auto"/>
        <w:jc w:val="both"/>
      </w:pPr>
      <w:r>
        <w:rPr>
          <w:rtl/>
        </w:rPr>
        <w:t>المبحث الأول: مفاهيم الدراسة وتعريفاتها</w:t>
      </w:r>
    </w:p>
    <w:p w:rsidR="00D70BB2" w:rsidRDefault="005632E9">
      <w:pPr>
        <w:bidi/>
        <w:spacing w:line="360" w:lineRule="auto"/>
        <w:ind w:left="720"/>
        <w:jc w:val="both"/>
      </w:pPr>
      <w:r>
        <w:rPr>
          <w:rtl/>
        </w:rPr>
        <w:t>المطلب الأول: الفاعلية والدور الوقائي للأخصائي الاجتماعي</w:t>
      </w:r>
    </w:p>
    <w:p w:rsidR="00D70BB2" w:rsidRDefault="005632E9">
      <w:pPr>
        <w:bidi/>
        <w:spacing w:line="360" w:lineRule="auto"/>
        <w:ind w:left="720"/>
        <w:jc w:val="both"/>
      </w:pPr>
      <w:r>
        <w:rPr>
          <w:rtl/>
        </w:rPr>
        <w:lastRenderedPageBreak/>
        <w:t>المطلب الثاني: السلوك المنحرف والشباب والتمييز بين الانحراف والجنوح والجريمة</w:t>
      </w:r>
    </w:p>
    <w:p w:rsidR="00D70BB2" w:rsidRDefault="005632E9">
      <w:pPr>
        <w:keepNext/>
        <w:bidi/>
        <w:spacing w:line="360" w:lineRule="auto"/>
        <w:jc w:val="both"/>
      </w:pPr>
      <w:r>
        <w:rPr>
          <w:rtl/>
        </w:rPr>
        <w:t>المبحث الثاني: متغيرات الدراسة ونموذجها المفاهيمي</w:t>
      </w:r>
    </w:p>
    <w:p w:rsidR="00D70BB2" w:rsidRDefault="005632E9">
      <w:pPr>
        <w:bidi/>
        <w:spacing w:line="360" w:lineRule="auto"/>
        <w:ind w:left="720"/>
        <w:jc w:val="both"/>
      </w:pPr>
      <w:r>
        <w:rPr>
          <w:rtl/>
        </w:rPr>
        <w:t>المطلب الأول: متغيرات الدراسة وأبعادها</w:t>
      </w:r>
    </w:p>
    <w:p w:rsidR="00D70BB2" w:rsidRDefault="005632E9">
      <w:pPr>
        <w:bidi/>
        <w:spacing w:line="360" w:lineRule="auto"/>
        <w:ind w:left="720"/>
        <w:jc w:val="both"/>
      </w:pPr>
      <w:r>
        <w:rPr>
          <w:rtl/>
        </w:rPr>
        <w:t>المطلب الثاني: النموذج المفاهيمي للدراسة</w:t>
      </w:r>
    </w:p>
    <w:p w:rsidR="00D70BB2" w:rsidRDefault="005632E9">
      <w:pPr>
        <w:keepNext/>
        <w:bidi/>
        <w:spacing w:line="360" w:lineRule="auto"/>
        <w:jc w:val="both"/>
      </w:pPr>
      <w:r>
        <w:rPr>
          <w:b/>
          <w:bCs/>
          <w:rtl/>
        </w:rPr>
        <w:t>الفصل الثاني: الإطار النظري والدراسات السابقة</w:t>
      </w:r>
    </w:p>
    <w:p w:rsidR="00D70BB2" w:rsidRDefault="005632E9">
      <w:pPr>
        <w:keepNext/>
        <w:bidi/>
        <w:spacing w:line="360" w:lineRule="auto"/>
        <w:jc w:val="both"/>
      </w:pPr>
      <w:r>
        <w:rPr>
          <w:rtl/>
        </w:rPr>
        <w:t>المبحث الأول: الإطار النظري للدراسة</w:t>
      </w:r>
    </w:p>
    <w:p w:rsidR="00D70BB2" w:rsidRDefault="005632E9">
      <w:pPr>
        <w:bidi/>
        <w:spacing w:line="360" w:lineRule="auto"/>
        <w:ind w:left="720"/>
        <w:jc w:val="both"/>
      </w:pPr>
      <w:r>
        <w:rPr>
          <w:rtl/>
        </w:rPr>
        <w:t>المطلب الأول: مسوغات اختيار النظريتين</w:t>
      </w:r>
    </w:p>
    <w:p w:rsidR="00D70BB2" w:rsidRDefault="005632E9">
      <w:pPr>
        <w:bidi/>
        <w:spacing w:line="360" w:lineRule="auto"/>
        <w:ind w:left="720"/>
        <w:jc w:val="both"/>
      </w:pPr>
      <w:r>
        <w:rPr>
          <w:rtl/>
        </w:rPr>
        <w:t>المطلب الثاني: نظرية الروابط الاجتماعية (النظرية الرئيسة)</w:t>
      </w:r>
    </w:p>
    <w:p w:rsidR="00D70BB2" w:rsidRDefault="005632E9">
      <w:pPr>
        <w:bidi/>
        <w:spacing w:line="360" w:lineRule="auto"/>
        <w:ind w:left="720"/>
        <w:jc w:val="both"/>
      </w:pPr>
      <w:r>
        <w:rPr>
          <w:rtl/>
        </w:rPr>
        <w:t>المطلب الثالث: نظرية التعلم الاجتماعي (النظرية المساندة)</w:t>
      </w:r>
    </w:p>
    <w:p w:rsidR="00D70BB2" w:rsidRDefault="005632E9">
      <w:pPr>
        <w:bidi/>
        <w:spacing w:line="360" w:lineRule="auto"/>
        <w:ind w:left="720"/>
        <w:jc w:val="both"/>
      </w:pPr>
      <w:r>
        <w:rPr>
          <w:rtl/>
        </w:rPr>
        <w:t>المطلب الرابع: التكامل بين النظريتين والنموذج النظري للدراسة</w:t>
      </w:r>
    </w:p>
    <w:p w:rsidR="00D70BB2" w:rsidRDefault="005632E9">
      <w:pPr>
        <w:keepNext/>
        <w:bidi/>
        <w:spacing w:line="360" w:lineRule="auto"/>
        <w:jc w:val="both"/>
      </w:pPr>
      <w:r>
        <w:rPr>
          <w:rtl/>
        </w:rPr>
        <w:t>المبحث الثاني: الدراسات السابقة</w:t>
      </w:r>
    </w:p>
    <w:p w:rsidR="00D70BB2" w:rsidRDefault="005632E9">
      <w:pPr>
        <w:bidi/>
        <w:spacing w:line="360" w:lineRule="auto"/>
        <w:ind w:left="720"/>
        <w:jc w:val="both"/>
      </w:pPr>
      <w:r>
        <w:rPr>
          <w:rtl/>
        </w:rPr>
        <w:t>المطلب الأول: الدراسات المحلية (الإماراتية)</w:t>
      </w:r>
    </w:p>
    <w:p w:rsidR="00D70BB2" w:rsidRDefault="005632E9">
      <w:pPr>
        <w:bidi/>
        <w:spacing w:line="360" w:lineRule="auto"/>
        <w:ind w:left="720"/>
        <w:jc w:val="both"/>
      </w:pPr>
      <w:r>
        <w:rPr>
          <w:rtl/>
        </w:rPr>
        <w:t>المطلب الثاني: الدراسات العربية</w:t>
      </w:r>
    </w:p>
    <w:p w:rsidR="00D70BB2" w:rsidRDefault="005632E9">
      <w:pPr>
        <w:bidi/>
        <w:spacing w:line="360" w:lineRule="auto"/>
        <w:ind w:left="720"/>
        <w:jc w:val="both"/>
      </w:pPr>
      <w:r>
        <w:rPr>
          <w:rtl/>
        </w:rPr>
        <w:t>المطلب الثالث: الدراسات الأجنبية</w:t>
      </w:r>
    </w:p>
    <w:p w:rsidR="00D70BB2" w:rsidRDefault="005632E9">
      <w:pPr>
        <w:keepNext/>
        <w:bidi/>
        <w:spacing w:line="360" w:lineRule="auto"/>
        <w:jc w:val="both"/>
      </w:pPr>
      <w:r>
        <w:rPr>
          <w:rtl/>
        </w:rPr>
        <w:lastRenderedPageBreak/>
        <w:t>المبحث الثالث: التعقيب على الدراسات السابقة</w:t>
      </w:r>
    </w:p>
    <w:p w:rsidR="00D70BB2" w:rsidRDefault="005632E9">
      <w:pPr>
        <w:bidi/>
        <w:spacing w:line="360" w:lineRule="auto"/>
        <w:ind w:left="720"/>
        <w:jc w:val="both"/>
      </w:pPr>
      <w:r>
        <w:rPr>
          <w:rtl/>
        </w:rPr>
        <w:t>المطلب الأول: أوجه الاتفاق والاختلاف</w:t>
      </w:r>
    </w:p>
    <w:p w:rsidR="00D70BB2" w:rsidRDefault="005632E9">
      <w:pPr>
        <w:bidi/>
        <w:spacing w:line="360" w:lineRule="auto"/>
        <w:ind w:left="720"/>
        <w:jc w:val="both"/>
      </w:pPr>
      <w:r>
        <w:rPr>
          <w:rtl/>
        </w:rPr>
        <w:t>المطلب الثاني: فحص الاختلافات في نتائج الدراسات السابقة وتفسيراتها</w:t>
      </w:r>
    </w:p>
    <w:p w:rsidR="00D70BB2" w:rsidRDefault="005632E9">
      <w:pPr>
        <w:bidi/>
        <w:spacing w:line="360" w:lineRule="auto"/>
        <w:ind w:left="720"/>
        <w:jc w:val="both"/>
      </w:pPr>
      <w:r>
        <w:rPr>
          <w:rtl/>
        </w:rPr>
        <w:t>المطلب الثالث: أوجه الإفادة وموقع الدراسة الحالية</w:t>
      </w:r>
    </w:p>
    <w:p w:rsidR="00D70BB2" w:rsidRDefault="005632E9">
      <w:pPr>
        <w:keepNext/>
        <w:bidi/>
        <w:spacing w:line="360" w:lineRule="auto"/>
        <w:jc w:val="both"/>
      </w:pPr>
      <w:r>
        <w:rPr>
          <w:b/>
          <w:bCs/>
          <w:rtl/>
        </w:rPr>
        <w:t>الفصل الثالث: الدراسة الميدانية</w:t>
      </w:r>
    </w:p>
    <w:p w:rsidR="00D70BB2" w:rsidRDefault="005632E9">
      <w:pPr>
        <w:keepNext/>
        <w:bidi/>
        <w:spacing w:line="360" w:lineRule="auto"/>
        <w:jc w:val="both"/>
      </w:pPr>
      <w:r>
        <w:rPr>
          <w:rtl/>
        </w:rPr>
        <w:t>المبحث الأول: الإجراءات المنهجية للدراسة الميدانية</w:t>
      </w:r>
    </w:p>
    <w:p w:rsidR="00D70BB2" w:rsidRDefault="005632E9">
      <w:pPr>
        <w:bidi/>
        <w:spacing w:line="360" w:lineRule="auto"/>
        <w:ind w:left="720"/>
        <w:jc w:val="both"/>
      </w:pPr>
      <w:r>
        <w:rPr>
          <w:rtl/>
        </w:rPr>
        <w:t>المطلب الأول: منهج الدراسة ومجتمعها وعينتها</w:t>
      </w:r>
    </w:p>
    <w:p w:rsidR="00D70BB2" w:rsidRDefault="005632E9">
      <w:pPr>
        <w:bidi/>
        <w:spacing w:line="360" w:lineRule="auto"/>
        <w:ind w:left="720"/>
        <w:jc w:val="both"/>
      </w:pPr>
      <w:r>
        <w:rPr>
          <w:rtl/>
        </w:rPr>
        <w:t>المطلب الثاني: أدوات الدراسة وصدقها وثباتها وأساليب التحليل الإحصائي</w:t>
      </w:r>
    </w:p>
    <w:p w:rsidR="00D70BB2" w:rsidRDefault="005632E9">
      <w:pPr>
        <w:keepNext/>
        <w:bidi/>
        <w:spacing w:line="360" w:lineRule="auto"/>
        <w:jc w:val="both"/>
      </w:pPr>
      <w:r>
        <w:rPr>
          <w:rtl/>
        </w:rPr>
        <w:t>المبحث الثاني: عرض نتائج الدراسة الميدانية ومناقشتها</w:t>
      </w:r>
    </w:p>
    <w:p w:rsidR="00D70BB2" w:rsidRDefault="005632E9">
      <w:pPr>
        <w:bidi/>
        <w:spacing w:line="360" w:lineRule="auto"/>
        <w:ind w:left="720"/>
        <w:jc w:val="both"/>
      </w:pPr>
      <w:r>
        <w:rPr>
          <w:rtl/>
        </w:rPr>
        <w:t>المطلب الأول: نتائج الدراسة الكمية واختبار الفرضيات</w:t>
      </w:r>
    </w:p>
    <w:p w:rsidR="00D70BB2" w:rsidRDefault="005632E9">
      <w:pPr>
        <w:bidi/>
        <w:spacing w:line="360" w:lineRule="auto"/>
        <w:ind w:left="720"/>
        <w:jc w:val="both"/>
      </w:pPr>
      <w:r>
        <w:rPr>
          <w:rtl/>
        </w:rPr>
        <w:t>المطلب الثاني: نتائج الدراسة النوعية ومناقشة النتائج في ضوء الإطار النظري والدراسات السابقة</w:t>
      </w:r>
    </w:p>
    <w:p w:rsidR="00D70BB2" w:rsidRDefault="005632E9">
      <w:pPr>
        <w:keepNext/>
        <w:bidi/>
        <w:spacing w:line="360" w:lineRule="auto"/>
        <w:jc w:val="both"/>
      </w:pPr>
      <w:r>
        <w:rPr>
          <w:b/>
          <w:bCs/>
          <w:rtl/>
        </w:rPr>
        <w:t>الخاتمة: النتائج والتوصيات والتصور المقترح</w:t>
      </w:r>
    </w:p>
    <w:p w:rsidR="00D70BB2" w:rsidRDefault="005632E9">
      <w:pPr>
        <w:pStyle w:val="Heading1"/>
        <w:keepNext/>
        <w:pageBreakBefore/>
        <w:spacing w:after="120" w:line="360" w:lineRule="auto"/>
      </w:pPr>
      <w:r>
        <w:rPr>
          <w:rtl/>
        </w:rPr>
        <w:lastRenderedPageBreak/>
        <w:t>الفصل الأول</w:t>
      </w:r>
    </w:p>
    <w:p w:rsidR="00D70BB2" w:rsidRDefault="005632E9">
      <w:pPr>
        <w:pStyle w:val="Heading1"/>
        <w:keepNext/>
        <w:spacing w:after="120" w:line="360" w:lineRule="auto"/>
      </w:pPr>
      <w:r>
        <w:rPr>
          <w:rtl/>
        </w:rPr>
        <w:t>الإطار المفاهيمي للدراسة</w:t>
      </w:r>
    </w:p>
    <w:p w:rsidR="00D70BB2" w:rsidRDefault="005632E9">
      <w:pPr>
        <w:keepNext/>
        <w:bidi/>
        <w:spacing w:before="160" w:after="80" w:line="360" w:lineRule="auto"/>
        <w:jc w:val="both"/>
      </w:pPr>
      <w:r>
        <w:rPr>
          <w:b/>
          <w:bCs/>
          <w:sz w:val="30"/>
          <w:szCs w:val="30"/>
          <w:rtl/>
        </w:rPr>
        <w:t>تمهيد</w:t>
      </w:r>
    </w:p>
    <w:p w:rsidR="00D70BB2" w:rsidRDefault="005632E9">
      <w:pPr>
        <w:bidi/>
        <w:spacing w:line="360" w:lineRule="auto"/>
        <w:jc w:val="both"/>
      </w:pPr>
      <w:r>
        <w:rPr>
          <w:rtl/>
        </w:rPr>
        <w:t>يحدد هذا الفصل الإطار المفاهيمي الذي تقوم عليه الدراسة، إذ يعرض في المبحث الأول المفاهيم الرئيسة للدراسة، مقدمًا لكل منها تعريفًا مفاهيميًا مستندًا إلى الأدبيات، ثم تعريفًا إجرائيًا يحدد كيفية قياسه في هذه الدراسة، مع التمييز بين المفاهيم المتداخلة (الانحراف السلوكي والجنوح والجريمة). ويعرض في المبحث الثاني متغيرات الدراسة وأبعادها ونموذجها المفاهيمي الذي يحدد العلاقات المفترضة بينها، تمهيدًا لتأصيل هذه العلاقات نظريًا في الفصل الثاني.</w:t>
      </w:r>
    </w:p>
    <w:p w:rsidR="00D70BB2" w:rsidRDefault="005632E9">
      <w:pPr>
        <w:keepNext/>
        <w:bidi/>
        <w:spacing w:before="240" w:after="120" w:line="360" w:lineRule="auto"/>
        <w:jc w:val="center"/>
      </w:pPr>
      <w:r>
        <w:rPr>
          <w:b/>
          <w:bCs/>
          <w:sz w:val="32"/>
          <w:szCs w:val="32"/>
          <w:rtl/>
        </w:rPr>
        <w:t>المبحث الأول: مفاهيم الدراسة وتعريفاتها</w:t>
      </w:r>
    </w:p>
    <w:p w:rsidR="00D70BB2" w:rsidRDefault="005632E9">
      <w:pPr>
        <w:keepNext/>
        <w:bidi/>
        <w:spacing w:before="160" w:after="80" w:line="360" w:lineRule="auto"/>
        <w:jc w:val="both"/>
      </w:pPr>
      <w:r>
        <w:rPr>
          <w:b/>
          <w:bCs/>
          <w:sz w:val="30"/>
          <w:szCs w:val="30"/>
          <w:rtl/>
        </w:rPr>
        <w:t>المطلب الأول: الفاعلية والدور الوقائي للأخصائي الاجتماعي</w:t>
      </w:r>
    </w:p>
    <w:p w:rsidR="00D70BB2" w:rsidRDefault="005632E9">
      <w:pPr>
        <w:keepNext/>
        <w:bidi/>
        <w:spacing w:before="120" w:after="60" w:line="360" w:lineRule="auto"/>
        <w:jc w:val="both"/>
      </w:pPr>
      <w:r>
        <w:rPr>
          <w:b/>
          <w:bCs/>
          <w:rtl/>
        </w:rPr>
        <w:t xml:space="preserve">أولاً: الفاعلية </w:t>
      </w:r>
      <w:r>
        <w:rPr>
          <w:b/>
          <w:bCs/>
        </w:rPr>
        <w:t>(Effectiveness)</w:t>
      </w:r>
    </w:p>
    <w:p w:rsidR="00D70BB2" w:rsidRDefault="005632E9">
      <w:pPr>
        <w:bidi/>
        <w:spacing w:line="360" w:lineRule="auto"/>
        <w:jc w:val="both"/>
      </w:pPr>
      <w:r>
        <w:rPr>
          <w:b/>
          <w:bCs/>
          <w:rtl/>
        </w:rPr>
        <w:t>التعريف المفاهيمي:</w:t>
      </w:r>
      <w:r>
        <w:rPr>
          <w:rtl/>
        </w:rPr>
        <w:t xml:space="preserve"> تعرَّف فاعلية أي تنظيم بالدرجة التي يحقق بها أهدافه </w:t>
      </w:r>
      <w:r>
        <w:t>(Etzioni, 1964, p. 8)</w:t>
      </w:r>
      <w:r>
        <w:rPr>
          <w:rtl/>
        </w:rPr>
        <w:t xml:space="preserve">. وتختلف الفاعلية عن الكفاءة </w:t>
      </w:r>
      <w:r>
        <w:t>(Efficiency)</w:t>
      </w:r>
      <w:r>
        <w:rPr>
          <w:rtl/>
        </w:rPr>
        <w:t xml:space="preserve"> التي تعنى بالعلاقة بين الموارد المستخدمة والمخرجات المتحققة، فالدراسة تركز على مدى تحقق الأهداف الوقائية لا على كلفتها.</w:t>
      </w:r>
    </w:p>
    <w:p w:rsidR="00D70BB2" w:rsidRDefault="005632E9">
      <w:pPr>
        <w:keepNext/>
        <w:bidi/>
        <w:spacing w:before="120" w:after="60" w:line="360" w:lineRule="auto"/>
        <w:jc w:val="both"/>
      </w:pPr>
      <w:r>
        <w:rPr>
          <w:b/>
          <w:bCs/>
          <w:rtl/>
        </w:rPr>
        <w:lastRenderedPageBreak/>
        <w:t xml:space="preserve">ثانياً: الأخصائي الاجتماعي والدور الوقائي </w:t>
      </w:r>
      <w:r>
        <w:rPr>
          <w:b/>
          <w:bCs/>
        </w:rPr>
        <w:t>(Social Worker’s Preventive Role)</w:t>
      </w:r>
    </w:p>
    <w:p w:rsidR="00D70BB2" w:rsidRDefault="005632E9">
      <w:pPr>
        <w:bidi/>
        <w:spacing w:line="360" w:lineRule="auto"/>
        <w:jc w:val="both"/>
      </w:pPr>
      <w:r>
        <w:rPr>
          <w:b/>
          <w:bCs/>
          <w:rtl/>
        </w:rPr>
        <w:t>التعريف المفاهيمي:</w:t>
      </w:r>
      <w:r>
        <w:rPr>
          <w:rtl/>
        </w:rPr>
        <w:t xml:space="preserve"> الأخصائي الاجتماعي ممارس مهني يستند إلى العمل الاجتماعي بوصفه مهنة قائمة على الممارسة وتخصصًا أكاديميًا يعزز التغيير والتنمية الاجتماعية والتماسك الاجتماعي وتمكين الأفراد </w:t>
      </w:r>
      <w:r>
        <w:t>(IFSW, 2014)</w:t>
      </w:r>
      <w:r>
        <w:rPr>
          <w:rtl/>
        </w:rPr>
        <w:t xml:space="preserve">. أما الدور الوقائي فهو مجموعة التدخلات التي تسبق ظهور المشكلة أو تحد من تفاقمها، وتصنف إلى: وقاية عامة موجهة إلى جميع أفراد الفئة المستهدفة، ووقاية انتقائية موجهة إلى الفئات الأكثر عرضة للخطر، ووقاية موجهة إلى الأفراد الذين ظهرت لديهم مؤشرات مبكرة </w:t>
      </w:r>
      <w:r>
        <w:t>(Gordon, 1983, pp. 107–109)</w:t>
      </w:r>
      <w:r>
        <w:rPr>
          <w:rtl/>
        </w:rPr>
        <w:t>.</w:t>
      </w:r>
    </w:p>
    <w:p w:rsidR="00D70BB2" w:rsidRDefault="005632E9">
      <w:pPr>
        <w:keepNext/>
        <w:bidi/>
        <w:spacing w:before="120" w:after="60" w:line="360" w:lineRule="auto"/>
        <w:jc w:val="both"/>
      </w:pPr>
      <w:r>
        <w:rPr>
          <w:b/>
          <w:bCs/>
          <w:rtl/>
        </w:rPr>
        <w:t>ثالثاً: فاعلية الدور الوقائي للأخصائي الاجتماعي (المتغير المستقل)</w:t>
      </w:r>
    </w:p>
    <w:p w:rsidR="00D70BB2" w:rsidRDefault="005632E9">
      <w:pPr>
        <w:bidi/>
        <w:spacing w:line="360" w:lineRule="auto"/>
        <w:jc w:val="both"/>
      </w:pPr>
      <w:r>
        <w:rPr>
          <w:b/>
          <w:bCs/>
          <w:rtl/>
        </w:rPr>
        <w:t>التعريف الإجرائي:</w:t>
      </w:r>
      <w:r>
        <w:rPr>
          <w:rtl/>
        </w:rPr>
        <w:t xml:space="preserve"> الدرجة الكلية التي يحصل عليها المبحوث (من الشباب أو الأخصائيين) على مقياس فاعلية الدور الوقائي المعد لهذه الدراسة (مقياس ليكرت خماسي)، ويتكون من أربعة أبعاد: (أ) </w:t>
      </w:r>
      <w:r>
        <w:rPr>
          <w:b/>
          <w:bCs/>
          <w:rtl/>
        </w:rPr>
        <w:t>البعد التوعوي:</w:t>
      </w:r>
      <w:r>
        <w:rPr>
          <w:rtl/>
        </w:rPr>
        <w:t xml:space="preserve"> تنفيذ أنشطة توعوية بمخاطر العنف والتنمر والتعاطي، (ب) </w:t>
      </w:r>
      <w:r>
        <w:rPr>
          <w:b/>
          <w:bCs/>
          <w:rtl/>
        </w:rPr>
        <w:t>البعد الإرشادي:</w:t>
      </w:r>
      <w:r>
        <w:rPr>
          <w:rtl/>
        </w:rPr>
        <w:t xml:space="preserve"> تقديم الإرشاد الفردي والجماعي وتنمية مهارات حل المشكلات وضبط الذات، (ج) </w:t>
      </w:r>
      <w:r>
        <w:rPr>
          <w:b/>
          <w:bCs/>
          <w:rtl/>
        </w:rPr>
        <w:t>بعد الاكتشاف المبكر والإحالة:</w:t>
      </w:r>
      <w:r>
        <w:rPr>
          <w:rtl/>
        </w:rPr>
        <w:t xml:space="preserve"> رصد المؤشرات الأولية للسلوك المنحرف وإحالة الحالات إلى الجهات المتخصصة، (د) </w:t>
      </w:r>
      <w:r>
        <w:rPr>
          <w:b/>
          <w:bCs/>
          <w:rtl/>
        </w:rPr>
        <w:t>بعد الشراكة مع الأسرة والمجتمع:</w:t>
      </w:r>
      <w:r>
        <w:rPr>
          <w:rtl/>
        </w:rPr>
        <w:t xml:space="preserve"> التواصل مع الأسر والتنسيق مع المؤسسات المجتمعية. وتدل الدرجة المرتفعة على فاعلية مرتفعة، ويستكمل الحكم على الفاعلية باتجاه العلاقة بين هذه الدرجة ودرجة السلوكيات المنحرفة وقوتها (ف1–ف3).</w:t>
      </w:r>
    </w:p>
    <w:p w:rsidR="00D70BB2" w:rsidRDefault="005632E9">
      <w:pPr>
        <w:keepNext/>
        <w:bidi/>
        <w:spacing w:before="120" w:after="60" w:line="360" w:lineRule="auto"/>
        <w:jc w:val="both"/>
      </w:pPr>
      <w:r>
        <w:rPr>
          <w:b/>
          <w:bCs/>
          <w:rtl/>
        </w:rPr>
        <w:lastRenderedPageBreak/>
        <w:t>رابعاً: مستوى المشاركة في البرامج الوقائية</w:t>
      </w:r>
    </w:p>
    <w:p w:rsidR="00D70BB2" w:rsidRDefault="005632E9">
      <w:pPr>
        <w:bidi/>
        <w:spacing w:line="360" w:lineRule="auto"/>
        <w:jc w:val="both"/>
      </w:pPr>
      <w:r>
        <w:rPr>
          <w:b/>
          <w:bCs/>
          <w:rtl/>
        </w:rPr>
        <w:t>التعريف الإجرائي:</w:t>
      </w:r>
      <w:r>
        <w:rPr>
          <w:rtl/>
        </w:rPr>
        <w:t xml:space="preserve"> عدد الأنشطة والبرامج الوقائية التي شارك فيها الشاب خلال الاثني عشر شهرًا السابقة ومدى انتظامه فيها، كما يقيسها محور مخصص في استبانة الشباب.</w:t>
      </w:r>
    </w:p>
    <w:p w:rsidR="00D70BB2" w:rsidRDefault="005632E9">
      <w:pPr>
        <w:keepNext/>
        <w:bidi/>
        <w:spacing w:before="160" w:after="80" w:line="360" w:lineRule="auto"/>
        <w:jc w:val="both"/>
      </w:pPr>
      <w:r>
        <w:rPr>
          <w:b/>
          <w:bCs/>
          <w:sz w:val="30"/>
          <w:szCs w:val="30"/>
          <w:rtl/>
        </w:rPr>
        <w:t>المطلب الثاني: السلوك المنحرف والشباب والتمييز بين الانحراف والجنوح والجريمة</w:t>
      </w:r>
    </w:p>
    <w:p w:rsidR="00D70BB2" w:rsidRDefault="005632E9">
      <w:pPr>
        <w:keepNext/>
        <w:bidi/>
        <w:spacing w:before="120" w:after="60" w:line="360" w:lineRule="auto"/>
        <w:jc w:val="both"/>
      </w:pPr>
      <w:r>
        <w:rPr>
          <w:b/>
          <w:bCs/>
          <w:rtl/>
        </w:rPr>
        <w:t xml:space="preserve">أولاً: السلوك المنحرف </w:t>
      </w:r>
      <w:r>
        <w:rPr>
          <w:b/>
          <w:bCs/>
        </w:rPr>
        <w:t>(Deviant Behavior)</w:t>
      </w:r>
      <w:r>
        <w:rPr>
          <w:b/>
          <w:bCs/>
          <w:rtl/>
        </w:rPr>
        <w:t xml:space="preserve"> – المتغير التابع</w:t>
      </w:r>
    </w:p>
    <w:p w:rsidR="00D70BB2" w:rsidRDefault="005632E9">
      <w:pPr>
        <w:bidi/>
        <w:spacing w:line="360" w:lineRule="auto"/>
        <w:jc w:val="both"/>
      </w:pPr>
      <w:r>
        <w:rPr>
          <w:b/>
          <w:bCs/>
          <w:rtl/>
        </w:rPr>
        <w:t>التعريف المفاهيمي:</w:t>
      </w:r>
      <w:r>
        <w:rPr>
          <w:rtl/>
        </w:rPr>
        <w:t xml:space="preserve"> السلوك الذي يخرج عن المعايير الاجتماعية والقيمية السائدة في المجتمع، ومن منظور التفاعلية الرمزية لا يعد الانحراف صفة كامنة في الفعل ذاته، بل نتيجة لتطبيق الآخرين القواعدَ والجزاءات على مرتكبه </w:t>
      </w:r>
      <w:r>
        <w:t>(Becker, 1963, p. 9)</w:t>
      </w:r>
      <w:r>
        <w:rPr>
          <w:rtl/>
        </w:rPr>
        <w:t xml:space="preserve">. ويفسَّر من منظور نظرية الروابط الاجتماعية بضعف رابطة الفرد بمجتمعه أو انقطاعها </w:t>
      </w:r>
      <w:r>
        <w:t>(Hirschi, 1969, p. 16)</w:t>
      </w:r>
      <w:r>
        <w:rPr>
          <w:rtl/>
        </w:rPr>
        <w:t>.</w:t>
      </w:r>
    </w:p>
    <w:p w:rsidR="00D70BB2" w:rsidRDefault="005632E9">
      <w:pPr>
        <w:bidi/>
        <w:spacing w:line="360" w:lineRule="auto"/>
        <w:jc w:val="both"/>
      </w:pPr>
      <w:r>
        <w:rPr>
          <w:b/>
          <w:bCs/>
          <w:rtl/>
        </w:rPr>
        <w:t>التعريف الإجرائي:</w:t>
      </w:r>
      <w:r>
        <w:rPr>
          <w:rtl/>
        </w:rPr>
        <w:t xml:space="preserve"> الدرجة الكلية التي يحصل عليها الشاب على مقياس السلوكيات المنحرفة (تقرير ذاتي مجهول الهوية) الذي يقيس تكرار ممارسته خلال الاثني عشر شهرًا السابقة لثلاثة أبعاد: (أ) </w:t>
      </w:r>
      <w:r>
        <w:rPr>
          <w:b/>
          <w:bCs/>
          <w:rtl/>
        </w:rPr>
        <w:t>السلوك العدواني والعنف:</w:t>
      </w:r>
      <w:r>
        <w:rPr>
          <w:rtl/>
        </w:rPr>
        <w:t xml:space="preserve"> الشجار الجسدي والإيذاء اللفظي والتهديد، (ب) </w:t>
      </w:r>
      <w:r>
        <w:rPr>
          <w:b/>
          <w:bCs/>
          <w:rtl/>
        </w:rPr>
        <w:t>التنمر التقليدي والإلكتروني:</w:t>
      </w:r>
      <w:r>
        <w:rPr>
          <w:rtl/>
        </w:rPr>
        <w:t xml:space="preserve"> الإساءة المتكررة للآخرين أو إقصاؤهم أو التشهير بهم مباشرة أو عبر وسائل التواصل، (ج) </w:t>
      </w:r>
      <w:r>
        <w:rPr>
          <w:b/>
          <w:bCs/>
          <w:rtl/>
        </w:rPr>
        <w:t>تعاطي التبغ والمواد المؤثرة عقليًا:</w:t>
      </w:r>
      <w:r>
        <w:rPr>
          <w:rtl/>
        </w:rPr>
        <w:t xml:space="preserve"> استخدام السجائر أو السجائر الإلكترونية أو المدواخ، أو استخدام أدوية موصوفة لغير غرض طبي، أو أي مواد مخدرة. وتدل الدرجة المرتفعة على درجة أعلى من السلوك المنحرف.</w:t>
      </w:r>
    </w:p>
    <w:p w:rsidR="00D70BB2" w:rsidRDefault="005632E9">
      <w:pPr>
        <w:bidi/>
        <w:spacing w:line="360" w:lineRule="auto"/>
        <w:jc w:val="both"/>
      </w:pPr>
      <w:r>
        <w:rPr>
          <w:b/>
          <w:bCs/>
          <w:rtl/>
        </w:rPr>
        <w:t>مسوغات حصر السلوك المنحرف في ثلاث صور:</w:t>
      </w:r>
      <w:r>
        <w:rPr>
          <w:rtl/>
        </w:rPr>
        <w:t xml:space="preserve"> تتعدد صور السلوك المنحرف لدى الشباب، غير أن الدراسة تقصر اهتمامها – تحقيقًا للدقة وقابلية القياس – على ثلاث صور تكشف المؤشرات الوطنية عن </w:t>
      </w:r>
      <w:r>
        <w:rPr>
          <w:rtl/>
        </w:rPr>
        <w:lastRenderedPageBreak/>
        <w:t xml:space="preserve">حضورها لدى الفئات الشابة، وهي: السلوك العدواني والعنف الجسدي واللفظي، والتنمر بصورتيه التقليدية والإلكترونية، وتعاطي التبغ والمواد المؤثرة عقليًا بما فيها سوء استخدام الأدوية الموصوفة </w:t>
      </w:r>
      <w:r>
        <w:t>(WHO, 2016, pp. 3–4; Alblooshi et al., 2016, p. 1)</w:t>
      </w:r>
      <w:r>
        <w:rPr>
          <w:rtl/>
        </w:rPr>
        <w:t>. وقد استبعدت الجرائم الجسيمة والسلوكيات ذات الحساسية الأخلاقية العالية لأنها تخضع لتكييف قانوني وقضائي يخرج عن نطاق الممارسة الوقائية للأخصائي الاجتماعي، ويصعب قياسها بالتقرير الذاتي بصورة موثوقة. وتمثل الصور الثلاث المختارة مجالًا مباشرًا لتدخل الأخصائي الاجتماعي الوقائي، إذ يمكن رصدها مبكرًا والتعامل معها بالتوعية والإرشاد والإحالة قبل أن تتطور إلى مشكلات أشد خطورة.</w:t>
      </w:r>
    </w:p>
    <w:p w:rsidR="00D70BB2" w:rsidRDefault="005632E9">
      <w:pPr>
        <w:keepNext/>
        <w:bidi/>
        <w:spacing w:before="120" w:after="60" w:line="360" w:lineRule="auto"/>
        <w:jc w:val="both"/>
      </w:pPr>
      <w:r>
        <w:rPr>
          <w:b/>
          <w:bCs/>
          <w:rtl/>
        </w:rPr>
        <w:t>ثانياً: الشباب الإماراتي</w:t>
      </w:r>
    </w:p>
    <w:p w:rsidR="00D70BB2" w:rsidRDefault="005632E9">
      <w:pPr>
        <w:bidi/>
        <w:spacing w:line="360" w:lineRule="auto"/>
        <w:jc w:val="both"/>
      </w:pPr>
      <w:r>
        <w:rPr>
          <w:b/>
          <w:bCs/>
          <w:rtl/>
        </w:rPr>
        <w:t>التعريف المفاهيمي:</w:t>
      </w:r>
      <w:r>
        <w:rPr>
          <w:rtl/>
        </w:rPr>
        <w:t xml:space="preserve"> تعرّف الاستراتيجيات الوطنية في دولة الإمارات الشباب بأنهم الأفراد في الفئة العمرية (15–35 سنة) </w:t>
      </w:r>
      <w:r>
        <w:t>(Strategy&amp;, 2021, p. 3)</w:t>
      </w:r>
      <w:r>
        <w:rPr>
          <w:rtl/>
        </w:rPr>
        <w:t xml:space="preserve">، وتمثل الفترة الممتدة من أواخر المراهقة حتى منتصف العشرينيات مرحلة «الرشد الناشئ» </w:t>
      </w:r>
      <w:r>
        <w:t>(Arnett, 2000, p. 469)</w:t>
      </w:r>
      <w:r>
        <w:rPr>
          <w:rtl/>
        </w:rPr>
        <w:t>.</w:t>
      </w:r>
    </w:p>
    <w:p w:rsidR="00D70BB2" w:rsidRDefault="005632E9">
      <w:pPr>
        <w:bidi/>
        <w:spacing w:line="360" w:lineRule="auto"/>
        <w:jc w:val="both"/>
      </w:pPr>
      <w:r>
        <w:rPr>
          <w:b/>
          <w:bCs/>
          <w:rtl/>
        </w:rPr>
        <w:t>التعريف الإجرائي:</w:t>
      </w:r>
      <w:r>
        <w:rPr>
          <w:rtl/>
        </w:rPr>
        <w:t xml:space="preserve"> المواطنون الإماراتيون من الجنسين الذين تتراوح أعمارهم بين 18 و30 سنة وقت جمع البيانات، والمسجلون في المؤسسات محل الدراسة بإمارة الشارقة أو المستفيدون من برامجها.</w:t>
      </w:r>
    </w:p>
    <w:p w:rsidR="00D70BB2" w:rsidRDefault="005632E9">
      <w:pPr>
        <w:keepNext/>
        <w:bidi/>
        <w:spacing w:before="120" w:after="60" w:line="360" w:lineRule="auto"/>
        <w:jc w:val="both"/>
      </w:pPr>
      <w:r>
        <w:rPr>
          <w:b/>
          <w:bCs/>
          <w:rtl/>
        </w:rPr>
        <w:t>ثالثاً: التمييز بين الانحراف السلوكي والجنوح والجريمة</w:t>
      </w:r>
    </w:p>
    <w:p w:rsidR="00D70BB2" w:rsidRDefault="005632E9">
      <w:pPr>
        <w:bidi/>
        <w:spacing w:line="360" w:lineRule="auto"/>
        <w:jc w:val="both"/>
      </w:pPr>
      <w:r>
        <w:rPr>
          <w:rtl/>
        </w:rPr>
        <w:t>تستخدم هذه المفاهيم الثلاثة أحيانًا بصورة مترادفة، غير أن الدراسة تميز بينها وفق الجدول الآتي:</w:t>
      </w:r>
    </w:p>
    <w:p w:rsidR="00D70BB2" w:rsidRDefault="005632E9">
      <w:pPr>
        <w:keepNext/>
        <w:bidi/>
        <w:spacing w:before="120" w:after="60" w:line="360" w:lineRule="auto"/>
        <w:jc w:val="center"/>
      </w:pPr>
      <w:r>
        <w:rPr>
          <w:b/>
          <w:bCs/>
          <w:rtl/>
        </w:rPr>
        <w:t>جدول (2): أوجه التمييز بين الانحراف السلوكي والجنوح والجريمة</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500"/>
        <w:gridCol w:w="2600"/>
        <w:gridCol w:w="2600"/>
        <w:gridCol w:w="2660"/>
      </w:tblGrid>
      <w:tr w:rsidR="00D70BB2">
        <w:trPr>
          <w:cantSplit/>
          <w:tblHeader/>
          <w:jc w:val="center"/>
        </w:trPr>
        <w:tc>
          <w:tcPr>
            <w:tcW w:w="1500" w:type="dxa"/>
            <w:shd w:val="clear" w:color="auto" w:fill="D9E2F3"/>
          </w:tcPr>
          <w:p w:rsidR="00D70BB2" w:rsidRDefault="005632E9">
            <w:pPr>
              <w:bidi/>
              <w:spacing w:after="0" w:line="240" w:lineRule="auto"/>
              <w:jc w:val="center"/>
            </w:pPr>
            <w:r>
              <w:rPr>
                <w:b/>
                <w:bCs/>
                <w:sz w:val="22"/>
                <w:szCs w:val="22"/>
                <w:rtl/>
              </w:rPr>
              <w:t>وجه المقارنة</w:t>
            </w:r>
          </w:p>
        </w:tc>
        <w:tc>
          <w:tcPr>
            <w:tcW w:w="2600" w:type="dxa"/>
            <w:shd w:val="clear" w:color="auto" w:fill="D9E2F3"/>
          </w:tcPr>
          <w:p w:rsidR="00D70BB2" w:rsidRDefault="005632E9">
            <w:pPr>
              <w:bidi/>
              <w:spacing w:after="0" w:line="240" w:lineRule="auto"/>
              <w:jc w:val="center"/>
            </w:pPr>
            <w:r>
              <w:rPr>
                <w:b/>
                <w:bCs/>
                <w:sz w:val="22"/>
                <w:szCs w:val="22"/>
                <w:rtl/>
              </w:rPr>
              <w:t>الانحراف السلوكي</w:t>
            </w:r>
          </w:p>
        </w:tc>
        <w:tc>
          <w:tcPr>
            <w:tcW w:w="2600" w:type="dxa"/>
            <w:shd w:val="clear" w:color="auto" w:fill="D9E2F3"/>
          </w:tcPr>
          <w:p w:rsidR="00D70BB2" w:rsidRDefault="005632E9">
            <w:pPr>
              <w:bidi/>
              <w:spacing w:after="0" w:line="240" w:lineRule="auto"/>
              <w:jc w:val="center"/>
            </w:pPr>
            <w:r>
              <w:rPr>
                <w:b/>
                <w:bCs/>
                <w:sz w:val="22"/>
                <w:szCs w:val="22"/>
                <w:rtl/>
              </w:rPr>
              <w:t>الجنوح</w:t>
            </w:r>
          </w:p>
        </w:tc>
        <w:tc>
          <w:tcPr>
            <w:tcW w:w="2660" w:type="dxa"/>
            <w:shd w:val="clear" w:color="auto" w:fill="D9E2F3"/>
          </w:tcPr>
          <w:p w:rsidR="00D70BB2" w:rsidRDefault="005632E9">
            <w:pPr>
              <w:bidi/>
              <w:spacing w:after="0" w:line="240" w:lineRule="auto"/>
              <w:jc w:val="center"/>
            </w:pPr>
            <w:r>
              <w:rPr>
                <w:b/>
                <w:bCs/>
                <w:sz w:val="22"/>
                <w:szCs w:val="22"/>
                <w:rtl/>
              </w:rPr>
              <w:t>الجريمة</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lastRenderedPageBreak/>
              <w:t>المعيار المرجعي</w:t>
            </w:r>
          </w:p>
        </w:tc>
        <w:tc>
          <w:tcPr>
            <w:tcW w:w="2600" w:type="dxa"/>
          </w:tcPr>
          <w:p w:rsidR="00D70BB2" w:rsidRDefault="005632E9" w:rsidP="005632E9">
            <w:pPr>
              <w:bidi/>
              <w:spacing w:after="0" w:line="240" w:lineRule="auto"/>
              <w:jc w:val="center"/>
            </w:pPr>
            <w:r>
              <w:rPr>
                <w:sz w:val="22"/>
                <w:szCs w:val="22"/>
                <w:rtl/>
              </w:rPr>
              <w:t xml:space="preserve">المعايير الاجتماعية والقيمية الرسمية وغير الرسمية </w:t>
            </w:r>
            <w:r>
              <w:rPr>
                <w:sz w:val="22"/>
                <w:szCs w:val="22"/>
              </w:rPr>
              <w:t>(Becker, 1963)</w:t>
            </w:r>
          </w:p>
        </w:tc>
        <w:tc>
          <w:tcPr>
            <w:tcW w:w="2600" w:type="dxa"/>
          </w:tcPr>
          <w:p w:rsidR="00D70BB2" w:rsidRDefault="005632E9" w:rsidP="005632E9">
            <w:pPr>
              <w:bidi/>
              <w:spacing w:after="0" w:line="240" w:lineRule="auto"/>
              <w:jc w:val="center"/>
            </w:pPr>
            <w:r>
              <w:rPr>
                <w:sz w:val="22"/>
                <w:szCs w:val="22"/>
                <w:rtl/>
              </w:rPr>
              <w:t>نص قانوني خاص بالأحداث</w:t>
            </w:r>
          </w:p>
        </w:tc>
        <w:tc>
          <w:tcPr>
            <w:tcW w:w="2660" w:type="dxa"/>
          </w:tcPr>
          <w:p w:rsidR="00D70BB2" w:rsidRDefault="005632E9" w:rsidP="005632E9">
            <w:pPr>
              <w:bidi/>
              <w:spacing w:after="0" w:line="240" w:lineRule="auto"/>
              <w:jc w:val="center"/>
            </w:pPr>
            <w:r>
              <w:rPr>
                <w:sz w:val="22"/>
                <w:szCs w:val="22"/>
                <w:rtl/>
              </w:rPr>
              <w:t>نص قانون الجرائم والعقوبات</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الفئة المعنية</w:t>
            </w:r>
          </w:p>
        </w:tc>
        <w:tc>
          <w:tcPr>
            <w:tcW w:w="2600" w:type="dxa"/>
          </w:tcPr>
          <w:p w:rsidR="00D70BB2" w:rsidRDefault="005632E9" w:rsidP="005632E9">
            <w:pPr>
              <w:bidi/>
              <w:spacing w:after="0" w:line="240" w:lineRule="auto"/>
              <w:jc w:val="center"/>
            </w:pPr>
            <w:r>
              <w:rPr>
                <w:sz w:val="22"/>
                <w:szCs w:val="22"/>
                <w:rtl/>
              </w:rPr>
              <w:t>جميع الأعمار</w:t>
            </w:r>
          </w:p>
        </w:tc>
        <w:tc>
          <w:tcPr>
            <w:tcW w:w="2600" w:type="dxa"/>
          </w:tcPr>
          <w:p w:rsidR="00D70BB2" w:rsidRDefault="005632E9" w:rsidP="005632E9">
            <w:pPr>
              <w:bidi/>
              <w:spacing w:after="0" w:line="240" w:lineRule="auto"/>
              <w:jc w:val="center"/>
            </w:pPr>
            <w:r>
              <w:rPr>
                <w:sz w:val="22"/>
                <w:szCs w:val="22"/>
                <w:rtl/>
              </w:rPr>
              <w:t>الطفل دون الثامنة عشرة (القانون الاتحادي رقم 6 لسنة 2022، المادة 1)</w:t>
            </w:r>
          </w:p>
        </w:tc>
        <w:tc>
          <w:tcPr>
            <w:tcW w:w="2660" w:type="dxa"/>
          </w:tcPr>
          <w:p w:rsidR="00D70BB2" w:rsidRDefault="005632E9" w:rsidP="005632E9">
            <w:pPr>
              <w:bidi/>
              <w:spacing w:after="0" w:line="240" w:lineRule="auto"/>
              <w:jc w:val="center"/>
            </w:pPr>
            <w:r>
              <w:rPr>
                <w:sz w:val="22"/>
                <w:szCs w:val="22"/>
                <w:rtl/>
              </w:rPr>
              <w:t>الراشد المسؤول جنائيًا</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الجهة المتعاملة معه</w:t>
            </w:r>
          </w:p>
        </w:tc>
        <w:tc>
          <w:tcPr>
            <w:tcW w:w="2600" w:type="dxa"/>
          </w:tcPr>
          <w:p w:rsidR="00D70BB2" w:rsidRDefault="005632E9" w:rsidP="005632E9">
            <w:pPr>
              <w:bidi/>
              <w:spacing w:after="0" w:line="240" w:lineRule="auto"/>
              <w:jc w:val="center"/>
            </w:pPr>
            <w:r>
              <w:rPr>
                <w:sz w:val="22"/>
                <w:szCs w:val="22"/>
                <w:rtl/>
              </w:rPr>
              <w:t>الأسرة والمؤسسات التعليمية والمجتمعية والأخصائي الاجتماعي</w:t>
            </w:r>
          </w:p>
        </w:tc>
        <w:tc>
          <w:tcPr>
            <w:tcW w:w="2600" w:type="dxa"/>
          </w:tcPr>
          <w:p w:rsidR="00D70BB2" w:rsidRDefault="005632E9" w:rsidP="005632E9">
            <w:pPr>
              <w:bidi/>
              <w:spacing w:after="0" w:line="240" w:lineRule="auto"/>
              <w:jc w:val="center"/>
            </w:pPr>
            <w:r>
              <w:rPr>
                <w:sz w:val="22"/>
                <w:szCs w:val="22"/>
                <w:rtl/>
              </w:rPr>
              <w:t>نيابة الأحداث ومحاكمها ومؤسسات رعاية الأحداث</w:t>
            </w:r>
          </w:p>
        </w:tc>
        <w:tc>
          <w:tcPr>
            <w:tcW w:w="2660" w:type="dxa"/>
          </w:tcPr>
          <w:p w:rsidR="00D70BB2" w:rsidRDefault="005632E9" w:rsidP="005632E9">
            <w:pPr>
              <w:bidi/>
              <w:spacing w:after="0" w:line="240" w:lineRule="auto"/>
              <w:jc w:val="center"/>
            </w:pPr>
            <w:r>
              <w:rPr>
                <w:sz w:val="22"/>
                <w:szCs w:val="22"/>
                <w:rtl/>
              </w:rPr>
              <w:t>الأجهزة الأمنية والقضاء الجنائي</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طبيعة الاستجابة</w:t>
            </w:r>
          </w:p>
        </w:tc>
        <w:tc>
          <w:tcPr>
            <w:tcW w:w="2600" w:type="dxa"/>
          </w:tcPr>
          <w:p w:rsidR="00D70BB2" w:rsidRDefault="005632E9" w:rsidP="005632E9">
            <w:pPr>
              <w:bidi/>
              <w:spacing w:after="0" w:line="240" w:lineRule="auto"/>
              <w:jc w:val="center"/>
            </w:pPr>
            <w:r>
              <w:rPr>
                <w:sz w:val="22"/>
                <w:szCs w:val="22"/>
                <w:rtl/>
              </w:rPr>
              <w:t>وقائية وتربوية وإرشادية</w:t>
            </w:r>
          </w:p>
        </w:tc>
        <w:tc>
          <w:tcPr>
            <w:tcW w:w="2600" w:type="dxa"/>
          </w:tcPr>
          <w:p w:rsidR="00D70BB2" w:rsidRDefault="005632E9" w:rsidP="005632E9">
            <w:pPr>
              <w:bidi/>
              <w:spacing w:after="0" w:line="240" w:lineRule="auto"/>
              <w:jc w:val="center"/>
            </w:pPr>
            <w:r>
              <w:rPr>
                <w:sz w:val="22"/>
                <w:szCs w:val="22"/>
                <w:rtl/>
              </w:rPr>
              <w:t>تدابير إصلاحية وتأهيلية</w:t>
            </w:r>
          </w:p>
        </w:tc>
        <w:tc>
          <w:tcPr>
            <w:tcW w:w="2660" w:type="dxa"/>
          </w:tcPr>
          <w:p w:rsidR="00D70BB2" w:rsidRDefault="005632E9" w:rsidP="005632E9">
            <w:pPr>
              <w:bidi/>
              <w:spacing w:after="0" w:line="240" w:lineRule="auto"/>
              <w:jc w:val="center"/>
            </w:pPr>
            <w:r>
              <w:rPr>
                <w:sz w:val="22"/>
                <w:szCs w:val="22"/>
                <w:rtl/>
              </w:rPr>
              <w:t>جزاءات عقابية</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العلاقة بالدراسة</w:t>
            </w:r>
          </w:p>
        </w:tc>
        <w:tc>
          <w:tcPr>
            <w:tcW w:w="2600" w:type="dxa"/>
          </w:tcPr>
          <w:p w:rsidR="00D70BB2" w:rsidRDefault="005632E9" w:rsidP="005632E9">
            <w:pPr>
              <w:bidi/>
              <w:spacing w:after="0" w:line="240" w:lineRule="auto"/>
              <w:jc w:val="center"/>
            </w:pPr>
            <w:r>
              <w:rPr>
                <w:sz w:val="22"/>
                <w:szCs w:val="22"/>
                <w:rtl/>
              </w:rPr>
              <w:t>محور الدراسة</w:t>
            </w:r>
          </w:p>
        </w:tc>
        <w:tc>
          <w:tcPr>
            <w:tcW w:w="2600" w:type="dxa"/>
          </w:tcPr>
          <w:p w:rsidR="00D70BB2" w:rsidRDefault="005632E9" w:rsidP="005632E9">
            <w:pPr>
              <w:bidi/>
              <w:spacing w:after="0" w:line="240" w:lineRule="auto"/>
              <w:jc w:val="center"/>
            </w:pPr>
            <w:r>
              <w:rPr>
                <w:sz w:val="22"/>
                <w:szCs w:val="22"/>
                <w:rtl/>
              </w:rPr>
              <w:t>خارج نطاقها (العينة 18 سنة فأكثر)</w:t>
            </w:r>
          </w:p>
        </w:tc>
        <w:tc>
          <w:tcPr>
            <w:tcW w:w="2660" w:type="dxa"/>
          </w:tcPr>
          <w:p w:rsidR="00D70BB2" w:rsidRDefault="005632E9" w:rsidP="005632E9">
            <w:pPr>
              <w:bidi/>
              <w:spacing w:after="0" w:line="240" w:lineRule="auto"/>
              <w:jc w:val="center"/>
            </w:pPr>
            <w:r>
              <w:rPr>
                <w:sz w:val="22"/>
                <w:szCs w:val="22"/>
                <w:rtl/>
              </w:rPr>
              <w:t>خارج نطاقها إلا ما تقاطع منها مع صور الانحراف المقيسة (كتعاطي المخدرات)</w:t>
            </w:r>
          </w:p>
        </w:tc>
      </w:tr>
    </w:tbl>
    <w:p w:rsidR="00D70BB2" w:rsidRDefault="00D70BB2">
      <w:pPr>
        <w:bidi/>
        <w:spacing w:after="0" w:line="360" w:lineRule="auto"/>
        <w:jc w:val="both"/>
      </w:pPr>
    </w:p>
    <w:p w:rsidR="00D70BB2" w:rsidRDefault="005632E9">
      <w:pPr>
        <w:bidi/>
        <w:spacing w:line="360" w:lineRule="auto"/>
        <w:jc w:val="both"/>
      </w:pPr>
      <w:r>
        <w:rPr>
          <w:rtl/>
        </w:rPr>
        <w:t>ويعني ذلك أن كل جريمة تمثل انحرافًا عن المعايير، في حين لا يرقى كل انحراف إلى مستوى الجريمة، وتنصبّ الدراسة على السلوك المنحرف في مستواه السابق للتجريم أو المتقاطع معه، حيث يكون التدخل الوقائي للأخصائي الاجتماعي أكثر جدوى.</w:t>
      </w:r>
    </w:p>
    <w:p w:rsidR="00D70BB2" w:rsidRDefault="005632E9">
      <w:pPr>
        <w:keepNext/>
        <w:bidi/>
        <w:spacing w:before="240" w:after="120" w:line="360" w:lineRule="auto"/>
        <w:jc w:val="center"/>
      </w:pPr>
      <w:r>
        <w:rPr>
          <w:b/>
          <w:bCs/>
          <w:sz w:val="32"/>
          <w:szCs w:val="32"/>
          <w:rtl/>
        </w:rPr>
        <w:t>المبحث الثاني: متغيرات الدراسة ونموذجها المفاهيمي</w:t>
      </w:r>
    </w:p>
    <w:p w:rsidR="00D70BB2" w:rsidRDefault="005632E9">
      <w:pPr>
        <w:keepNext/>
        <w:bidi/>
        <w:spacing w:before="160" w:after="80" w:line="360" w:lineRule="auto"/>
        <w:jc w:val="both"/>
      </w:pPr>
      <w:r>
        <w:rPr>
          <w:b/>
          <w:bCs/>
          <w:sz w:val="30"/>
          <w:szCs w:val="30"/>
          <w:rtl/>
        </w:rPr>
        <w:t>المطلب الأول: متغيرات الدراسة وأبعادها</w:t>
      </w:r>
    </w:p>
    <w:p w:rsidR="00D70BB2" w:rsidRDefault="005632E9">
      <w:pPr>
        <w:bidi/>
        <w:spacing w:line="360" w:lineRule="auto"/>
        <w:jc w:val="both"/>
      </w:pPr>
      <w:r>
        <w:rPr>
          <w:rtl/>
        </w:rPr>
        <w:t>تقوم الدراسة على المتغيرات الآتية، وقد حددت بما يتسق مع عنوان الدراسة وأسئلتها وفرضياتها:</w:t>
      </w:r>
    </w:p>
    <w:p w:rsidR="00D70BB2" w:rsidRDefault="005632E9">
      <w:pPr>
        <w:pStyle w:val="ListParagraph"/>
        <w:numPr>
          <w:ilvl w:val="0"/>
          <w:numId w:val="12"/>
        </w:numPr>
        <w:bidi/>
        <w:spacing w:line="360" w:lineRule="auto"/>
        <w:jc w:val="both"/>
      </w:pPr>
      <w:r>
        <w:rPr>
          <w:b/>
          <w:bCs/>
          <w:rtl/>
        </w:rPr>
        <w:lastRenderedPageBreak/>
        <w:t xml:space="preserve">المتغير المستقل </w:t>
      </w:r>
      <w:r>
        <w:rPr>
          <w:b/>
          <w:bCs/>
        </w:rPr>
        <w:t>(Independent Variable)</w:t>
      </w:r>
      <w:r>
        <w:rPr>
          <w:b/>
          <w:bCs/>
          <w:rtl/>
        </w:rPr>
        <w:t>:</w:t>
      </w:r>
      <w:r>
        <w:rPr>
          <w:rtl/>
        </w:rPr>
        <w:t xml:space="preserve"> فاعلية الدور الوقائي للأخصائي الاجتماعي بأبعاده الأربعة (التوعوي، والإرشادي، والاكتشاف المبكر والإحالة، والشراكة مع الأسرة والمجتمع)، ويضاف إليه متغير مستقل مساند هو مستوى مشاركة الشباب في البرامج الوقائية.</w:t>
      </w:r>
    </w:p>
    <w:p w:rsidR="00D70BB2" w:rsidRDefault="005632E9">
      <w:pPr>
        <w:pStyle w:val="ListParagraph"/>
        <w:numPr>
          <w:ilvl w:val="0"/>
          <w:numId w:val="12"/>
        </w:numPr>
        <w:bidi/>
        <w:spacing w:line="360" w:lineRule="auto"/>
        <w:jc w:val="both"/>
      </w:pPr>
      <w:r>
        <w:rPr>
          <w:b/>
          <w:bCs/>
          <w:rtl/>
        </w:rPr>
        <w:t xml:space="preserve">المتغير التابع </w:t>
      </w:r>
      <w:r>
        <w:rPr>
          <w:b/>
          <w:bCs/>
        </w:rPr>
        <w:t>(Dependent Variable)</w:t>
      </w:r>
      <w:r>
        <w:rPr>
          <w:b/>
          <w:bCs/>
          <w:rtl/>
        </w:rPr>
        <w:t>:</w:t>
      </w:r>
      <w:r>
        <w:rPr>
          <w:rtl/>
        </w:rPr>
        <w:t xml:space="preserve"> درجة السلوكيات المنحرفة لدى الشباب الإماراتي بأبعادها الثلاثة (السلوك العدواني والعنف، والتنمر التقليدي والإلكتروني، وتعاطي التبغ والمواد المؤثرة عقليًا).</w:t>
      </w:r>
    </w:p>
    <w:p w:rsidR="00D70BB2" w:rsidRDefault="005632E9">
      <w:pPr>
        <w:pStyle w:val="ListParagraph"/>
        <w:numPr>
          <w:ilvl w:val="0"/>
          <w:numId w:val="12"/>
        </w:numPr>
        <w:bidi/>
        <w:spacing w:line="360" w:lineRule="auto"/>
        <w:jc w:val="both"/>
      </w:pPr>
      <w:r>
        <w:rPr>
          <w:b/>
          <w:bCs/>
          <w:rtl/>
        </w:rPr>
        <w:t xml:space="preserve">المتغيرات الديموغرافية </w:t>
      </w:r>
      <w:r>
        <w:rPr>
          <w:b/>
          <w:bCs/>
        </w:rPr>
        <w:t>(Demographic Variables)</w:t>
      </w:r>
      <w:r>
        <w:rPr>
          <w:b/>
          <w:bCs/>
          <w:rtl/>
        </w:rPr>
        <w:t>:</w:t>
      </w:r>
      <w:r>
        <w:rPr>
          <w:rtl/>
        </w:rPr>
        <w:t xml:space="preserve"> الجنس (ذكور/إناث)، والفئة العمرية (18–21، 22–25، 26–30 سنة)، والمستوى التعليمي (ثانوي فأقل، دبلوم/جامعي، دراسات عليا)، ونوع المؤسسة (تعليمية/مجتمعية)، وتدرس بوصفها متغيرات تصنيفية للكشف عن الفروق في تقدير فاعلية الدور (ف4، ف5).</w:t>
      </w:r>
    </w:p>
    <w:p w:rsidR="00D70BB2" w:rsidRDefault="005632E9">
      <w:pPr>
        <w:keepNext/>
        <w:bidi/>
        <w:spacing w:before="160" w:after="80" w:line="360" w:lineRule="auto"/>
        <w:jc w:val="both"/>
      </w:pPr>
      <w:r>
        <w:rPr>
          <w:b/>
          <w:bCs/>
          <w:sz w:val="30"/>
          <w:szCs w:val="30"/>
          <w:rtl/>
        </w:rPr>
        <w:t>المطلب الثاني: النموذج المفاهيمي للدراسة</w:t>
      </w:r>
    </w:p>
    <w:p w:rsidR="00D70BB2" w:rsidRDefault="005632E9">
      <w:pPr>
        <w:bidi/>
        <w:spacing w:line="360" w:lineRule="auto"/>
        <w:jc w:val="both"/>
      </w:pPr>
      <w:r>
        <w:rPr>
          <w:rtl/>
        </w:rPr>
        <w:t>يرتكز النموذج المفاهيمي للدراسة على العلاقة الأساسية بين المتغيرين المستقلين (فاعلية الدور الوقائي للأخصائي الاجتماعي، ومستوى المشاركة في البرامج الوقائية) والمتغير التابع (درجة السلوكيات المنحرفة لدى الشباب الإماراتي)، على النحو الآتي:</w:t>
      </w:r>
    </w:p>
    <w:p w:rsidR="00D70BB2" w:rsidRDefault="005632E9">
      <w:pPr>
        <w:keepNext/>
        <w:bidi/>
        <w:spacing w:before="120" w:after="60" w:line="360" w:lineRule="auto"/>
        <w:jc w:val="center"/>
      </w:pPr>
      <w:r>
        <w:rPr>
          <w:b/>
          <w:bCs/>
          <w:rtl/>
        </w:rPr>
        <w:t>جدول (3): النموذج المفاهيمي للدراسة</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500"/>
        <w:gridCol w:w="2600"/>
        <w:gridCol w:w="2600"/>
        <w:gridCol w:w="2660"/>
      </w:tblGrid>
      <w:tr w:rsidR="00D70BB2">
        <w:trPr>
          <w:cantSplit/>
          <w:tblHeader/>
          <w:jc w:val="center"/>
        </w:trPr>
        <w:tc>
          <w:tcPr>
            <w:tcW w:w="1500" w:type="dxa"/>
            <w:shd w:val="clear" w:color="auto" w:fill="D9E2F3"/>
          </w:tcPr>
          <w:p w:rsidR="00D70BB2" w:rsidRDefault="005632E9" w:rsidP="005632E9">
            <w:pPr>
              <w:bidi/>
              <w:spacing w:after="0" w:line="240" w:lineRule="auto"/>
              <w:jc w:val="center"/>
            </w:pPr>
            <w:r>
              <w:rPr>
                <w:b/>
                <w:bCs/>
                <w:sz w:val="22"/>
                <w:szCs w:val="22"/>
                <w:rtl/>
              </w:rPr>
              <w:t>المتغيرات المستقلة</w:t>
            </w:r>
          </w:p>
        </w:tc>
        <w:tc>
          <w:tcPr>
            <w:tcW w:w="2600" w:type="dxa"/>
            <w:shd w:val="clear" w:color="auto" w:fill="D9E2F3"/>
          </w:tcPr>
          <w:p w:rsidR="00D70BB2" w:rsidRDefault="005632E9" w:rsidP="005632E9">
            <w:pPr>
              <w:bidi/>
              <w:spacing w:after="0" w:line="240" w:lineRule="auto"/>
              <w:jc w:val="center"/>
            </w:pPr>
            <w:r>
              <w:rPr>
                <w:b/>
                <w:bCs/>
                <w:sz w:val="22"/>
                <w:szCs w:val="22"/>
                <w:rtl/>
              </w:rPr>
              <w:t>اتجاه العلاقة المتوقعة</w:t>
            </w:r>
          </w:p>
        </w:tc>
        <w:tc>
          <w:tcPr>
            <w:tcW w:w="2600" w:type="dxa"/>
            <w:shd w:val="clear" w:color="auto" w:fill="D9E2F3"/>
          </w:tcPr>
          <w:p w:rsidR="00D70BB2" w:rsidRDefault="005632E9" w:rsidP="005632E9">
            <w:pPr>
              <w:bidi/>
              <w:spacing w:after="0" w:line="240" w:lineRule="auto"/>
              <w:jc w:val="center"/>
            </w:pPr>
            <w:r>
              <w:rPr>
                <w:b/>
                <w:bCs/>
                <w:sz w:val="22"/>
                <w:szCs w:val="22"/>
                <w:rtl/>
              </w:rPr>
              <w:t>المتغير التابع</w:t>
            </w:r>
          </w:p>
        </w:tc>
        <w:tc>
          <w:tcPr>
            <w:tcW w:w="2660" w:type="dxa"/>
            <w:shd w:val="clear" w:color="auto" w:fill="D9E2F3"/>
          </w:tcPr>
          <w:p w:rsidR="00D70BB2" w:rsidRDefault="005632E9">
            <w:pPr>
              <w:bidi/>
              <w:spacing w:after="0" w:line="240" w:lineRule="auto"/>
              <w:jc w:val="center"/>
            </w:pPr>
            <w:r>
              <w:rPr>
                <w:b/>
                <w:bCs/>
                <w:sz w:val="22"/>
                <w:szCs w:val="22"/>
                <w:rtl/>
              </w:rPr>
              <w:t>المتغيرات التصنيفية</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lastRenderedPageBreak/>
              <w:t>فاعلية الدور الوقائي للأخصائي الاجتماعي (التوعوي، الإرشادي، الاكتشاف المبكر والإحالة، الشراكة مع الأسرة والمجتمع) + مستوى المشاركة في البرامج الوقائية</w:t>
            </w:r>
          </w:p>
        </w:tc>
        <w:tc>
          <w:tcPr>
            <w:tcW w:w="2600" w:type="dxa"/>
          </w:tcPr>
          <w:p w:rsidR="00D70BB2" w:rsidRDefault="005632E9" w:rsidP="005632E9">
            <w:pPr>
              <w:bidi/>
              <w:spacing w:after="0" w:line="240" w:lineRule="auto"/>
              <w:jc w:val="center"/>
            </w:pPr>
            <w:r>
              <w:rPr>
                <w:sz w:val="22"/>
                <w:szCs w:val="22"/>
                <w:rtl/>
              </w:rPr>
              <w:t>علاقة عكسية (ف1–ف3)</w:t>
            </w:r>
          </w:p>
        </w:tc>
        <w:tc>
          <w:tcPr>
            <w:tcW w:w="2600" w:type="dxa"/>
          </w:tcPr>
          <w:p w:rsidR="00D70BB2" w:rsidRDefault="005632E9" w:rsidP="005632E9">
            <w:pPr>
              <w:bidi/>
              <w:spacing w:after="0" w:line="240" w:lineRule="auto"/>
              <w:jc w:val="center"/>
            </w:pPr>
            <w:r>
              <w:rPr>
                <w:sz w:val="22"/>
                <w:szCs w:val="22"/>
                <w:rtl/>
              </w:rPr>
              <w:t>درجة السلوكيات المنحرفة (العدوان والعنف، التنمر التقليدي والإلكتروني، تعاطي التبغ والمواد المؤثرة عقليًا)</w:t>
            </w:r>
          </w:p>
        </w:tc>
        <w:tc>
          <w:tcPr>
            <w:tcW w:w="2660" w:type="dxa"/>
          </w:tcPr>
          <w:p w:rsidR="00D70BB2" w:rsidRDefault="005632E9">
            <w:pPr>
              <w:bidi/>
              <w:spacing w:after="0" w:line="240" w:lineRule="auto"/>
              <w:jc w:val="right"/>
            </w:pPr>
            <w:r>
              <w:rPr>
                <w:sz w:val="22"/>
                <w:szCs w:val="22"/>
                <w:rtl/>
              </w:rPr>
              <w:t>الجنس، الفئة العمرية، المستوى التعليمي، نوع المؤسسة (ف4، ف5)</w:t>
            </w:r>
          </w:p>
        </w:tc>
      </w:tr>
    </w:tbl>
    <w:p w:rsidR="00D70BB2" w:rsidRDefault="00D70BB2">
      <w:pPr>
        <w:bidi/>
        <w:spacing w:after="0" w:line="360" w:lineRule="auto"/>
        <w:jc w:val="both"/>
      </w:pPr>
    </w:p>
    <w:p w:rsidR="00D70BB2" w:rsidRDefault="005632E9">
      <w:pPr>
        <w:bidi/>
        <w:spacing w:line="360" w:lineRule="auto"/>
        <w:jc w:val="both"/>
      </w:pPr>
      <w:r>
        <w:rPr>
          <w:rtl/>
        </w:rPr>
        <w:t xml:space="preserve">ويختبر النموذج العلاقة العكسية المتوقعة بين فاعلية الدور الوقائي ومستوى المشاركة من جهة، ودرجة السلوكيات المنحرفة من جهة أخرى (ف1–ف3)، ويستند في ذلك إلى نظرية الروابط الاجتماعية التي ترى أن تقوية روابط التعلق والالتزام والانخراط والاعتقاد تحد من الانحراف </w:t>
      </w:r>
      <w:r>
        <w:t>(Hirschi, 1969, pp. 16–26)</w:t>
      </w:r>
      <w:r>
        <w:rPr>
          <w:rtl/>
        </w:rPr>
        <w:t>، إذ تمثل أبعاد الدور الوقائي آليات مهنية لتقوية هذه الروابط، وإلى نظرية التعلم الاجتماعي التي تفسر كيف تسهم هذه الأبعاد في تعديل الاتجاهات وتوفير النماذج الإيجابية. ويتناول الفصل الثاني التأصيل النظري لهذه العلاقات تفصيلًا.</w:t>
      </w:r>
    </w:p>
    <w:p w:rsidR="00D70BB2" w:rsidRDefault="005632E9">
      <w:pPr>
        <w:keepNext/>
        <w:bidi/>
        <w:spacing w:before="160" w:after="80" w:line="360" w:lineRule="auto"/>
        <w:jc w:val="both"/>
      </w:pPr>
      <w:r>
        <w:rPr>
          <w:b/>
          <w:bCs/>
          <w:sz w:val="30"/>
          <w:szCs w:val="30"/>
          <w:rtl/>
        </w:rPr>
        <w:t>خلاصة الفصل</w:t>
      </w:r>
    </w:p>
    <w:p w:rsidR="00D70BB2" w:rsidRDefault="005632E9">
      <w:pPr>
        <w:bidi/>
        <w:spacing w:line="360" w:lineRule="auto"/>
        <w:jc w:val="both"/>
      </w:pPr>
      <w:r>
        <w:rPr>
          <w:rtl/>
        </w:rPr>
        <w:t xml:space="preserve">حدد هذا الفصل المفاهيم الرئيسة للدراسة تعريفًا مفاهيميًا وإجرائيًا، وميز بين الانحراف السلوكي والجنوح والجريمة، وحصر المتغير التابع في ثلاث صور قابلة للقياس، كما حدد متغيرات الدراسة وأبعادها ونموذجها المفاهيمي الذي يفترض علاقة عكسية بين فاعلية الدور الوقائي ومستوى المشاركة من جهة، ودرجة </w:t>
      </w:r>
      <w:r>
        <w:rPr>
          <w:rtl/>
        </w:rPr>
        <w:lastRenderedPageBreak/>
        <w:t>السلوكيات المنحرفة من جهة أخرى. ويتناول الفصل الثاني الإطار النظري المفسر لهذه العلاقات والدراسات السابقة.</w:t>
      </w:r>
    </w:p>
    <w:p w:rsidR="00D70BB2" w:rsidRDefault="005632E9">
      <w:pPr>
        <w:pStyle w:val="Heading1"/>
        <w:keepNext/>
        <w:pageBreakBefore/>
        <w:spacing w:after="120" w:line="360" w:lineRule="auto"/>
      </w:pPr>
      <w:r>
        <w:rPr>
          <w:rtl/>
        </w:rPr>
        <w:lastRenderedPageBreak/>
        <w:t>الفصل الثاني</w:t>
      </w:r>
    </w:p>
    <w:p w:rsidR="00D70BB2" w:rsidRDefault="005632E9">
      <w:pPr>
        <w:pStyle w:val="Heading1"/>
        <w:keepNext/>
        <w:spacing w:after="120" w:line="360" w:lineRule="auto"/>
      </w:pPr>
      <w:r>
        <w:rPr>
          <w:rtl/>
        </w:rPr>
        <w:t>الإطار النظري والدراسات السابقة</w:t>
      </w:r>
    </w:p>
    <w:p w:rsidR="00D70BB2" w:rsidRDefault="005632E9">
      <w:pPr>
        <w:keepNext/>
        <w:bidi/>
        <w:spacing w:before="160" w:after="80" w:line="360" w:lineRule="auto"/>
        <w:jc w:val="both"/>
      </w:pPr>
      <w:r>
        <w:rPr>
          <w:b/>
          <w:bCs/>
          <w:sz w:val="30"/>
          <w:szCs w:val="30"/>
          <w:rtl/>
        </w:rPr>
        <w:t>تمهيد</w:t>
      </w:r>
    </w:p>
    <w:p w:rsidR="00D70BB2" w:rsidRDefault="005632E9">
      <w:pPr>
        <w:bidi/>
        <w:spacing w:line="360" w:lineRule="auto"/>
        <w:jc w:val="both"/>
      </w:pPr>
      <w:r>
        <w:rPr>
          <w:rtl/>
        </w:rPr>
        <w:t xml:space="preserve">يتناول هذا الفصل الأساس النظري والمعرفي الذي تنطلق منه الدراسة، ويتكون من ثلاثة مباحث: يعرض </w:t>
      </w:r>
      <w:r>
        <w:rPr>
          <w:b/>
          <w:bCs/>
          <w:rtl/>
        </w:rPr>
        <w:t>المبحث الأول</w:t>
      </w:r>
      <w:r>
        <w:rPr>
          <w:rtl/>
        </w:rPr>
        <w:t xml:space="preserve"> الإطار النظري المفسِّر للدراسة، ممثلًا في نظرية الروابط الاجتماعية لترافيس هيرشي بوصفها نظرية رئيسة، ونظرية التعلم الاجتماعي (باندورا وأيكرز) بوصفها نظرية مساندة، مع بيان مسوغات اختيارهما، ومفاهيمهما الأساسية، وما لقيتاه من دعم امبريقي ونقد، ثم كيفية توظيفهما إجرائيًا في بناء متغيرات الدراسة وأبعادها وفرضياتها وتفسير نتائجها. ويعرض </w:t>
      </w:r>
      <w:r>
        <w:rPr>
          <w:b/>
          <w:bCs/>
          <w:rtl/>
        </w:rPr>
        <w:t>المبحث الثاني</w:t>
      </w:r>
      <w:r>
        <w:rPr>
          <w:rtl/>
        </w:rPr>
        <w:t xml:space="preserve"> الدراسات السابقة ذات الصلة المباشرة وغير المباشرة بموضوع الدراسة، مصنفة إلى دراسات محلية (إماراتية)، ودراسات عربية، ودراسات أجنبية، ومرتبة داخل كل فئة من الأحدث إلى الأقدم. ويقدم </w:t>
      </w:r>
      <w:r>
        <w:rPr>
          <w:b/>
          <w:bCs/>
          <w:rtl/>
        </w:rPr>
        <w:t>المبحث الثالث</w:t>
      </w:r>
      <w:r>
        <w:rPr>
          <w:rtl/>
        </w:rPr>
        <w:t xml:space="preserve"> تعقيبًا نقديًا على الدراسات السابقة، يبين أوجه الاتفاق والاختلاف بينها، ويفحص التباين في نتائجها وتفسيراته الممكنة، ويحدد أوجه إفادة الدراسة الحالية منها، وموقع الدراسة الحالية بينها والإضافة العلمية التي تسعى إلى تقديمها.</w:t>
      </w:r>
    </w:p>
    <w:p w:rsidR="00D70BB2" w:rsidRDefault="005632E9">
      <w:pPr>
        <w:keepNext/>
        <w:bidi/>
        <w:spacing w:before="240" w:after="120" w:line="360" w:lineRule="auto"/>
        <w:jc w:val="center"/>
      </w:pPr>
      <w:r>
        <w:rPr>
          <w:b/>
          <w:bCs/>
          <w:sz w:val="32"/>
          <w:szCs w:val="32"/>
          <w:rtl/>
        </w:rPr>
        <w:t>المبحث الأول: الإطار النظري للدراسة</w:t>
      </w:r>
    </w:p>
    <w:p w:rsidR="00D70BB2" w:rsidRDefault="005632E9">
      <w:pPr>
        <w:keepNext/>
        <w:bidi/>
        <w:spacing w:before="160" w:after="80" w:line="360" w:lineRule="auto"/>
        <w:jc w:val="both"/>
      </w:pPr>
      <w:r>
        <w:rPr>
          <w:b/>
          <w:bCs/>
          <w:sz w:val="30"/>
          <w:szCs w:val="30"/>
          <w:rtl/>
        </w:rPr>
        <w:t>المطلب الأول: مسوغات اختيار النظريتين</w:t>
      </w:r>
    </w:p>
    <w:p w:rsidR="00D70BB2" w:rsidRDefault="005632E9">
      <w:pPr>
        <w:bidi/>
        <w:spacing w:line="360" w:lineRule="auto"/>
        <w:jc w:val="both"/>
      </w:pPr>
      <w:r>
        <w:rPr>
          <w:rtl/>
        </w:rPr>
        <w:t xml:space="preserve">تتعدد المداخل النظرية التي فسرت السلوك المنحرف في علم الاجتماع، ومنها نظرية الأنومي والبناء الاجتماعي عند ميرتون </w:t>
      </w:r>
      <w:r>
        <w:t>(Merton, 1938, 1968)</w:t>
      </w:r>
      <w:r>
        <w:rPr>
          <w:rtl/>
        </w:rPr>
        <w:t xml:space="preserve"> التي تُرجع الانحراف إلى التوتر بين الأهداف الثقافية </w:t>
      </w:r>
      <w:r>
        <w:rPr>
          <w:rtl/>
        </w:rPr>
        <w:lastRenderedPageBreak/>
        <w:t xml:space="preserve">والوسائل المشروعة المتاحة لتحقيقها، ونظرية الوصم </w:t>
      </w:r>
      <w:r>
        <w:t>(Becker, 1963)</w:t>
      </w:r>
      <w:r>
        <w:rPr>
          <w:rtl/>
        </w:rPr>
        <w:t xml:space="preserve"> التي تنظر إلى الانحراف بوصفه نتاجًا لرد فعل المجتمع وتطبيقه للجزاءات، ونظرية الضبط الذاتي </w:t>
      </w:r>
      <w:r>
        <w:t>(Gottfredson &amp; Hirschi, 1990)</w:t>
      </w:r>
      <w:r>
        <w:rPr>
          <w:rtl/>
        </w:rPr>
        <w:t xml:space="preserve"> التي تُرجعه إلى سمة فردية مستقرة تتكون في الطفولة المبكرة. وقد اختارت الباحثة نظرية الروابط الاجتماعية نظريةً رئيسة، ونظرية التعلم الاجتماعي نظريةً مساندة، استنادًا إلى أربعة مسوغات:</w:t>
      </w:r>
    </w:p>
    <w:p w:rsidR="00D70BB2" w:rsidRDefault="005632E9">
      <w:pPr>
        <w:pStyle w:val="ListParagraph"/>
        <w:numPr>
          <w:ilvl w:val="0"/>
          <w:numId w:val="12"/>
        </w:numPr>
        <w:bidi/>
        <w:spacing w:line="360" w:lineRule="auto"/>
        <w:jc w:val="both"/>
      </w:pPr>
      <w:r>
        <w:rPr>
          <w:b/>
          <w:bCs/>
          <w:rtl/>
        </w:rPr>
        <w:t>مسوغ الاتساق مع طبيعة المتغير المستقل:</w:t>
      </w:r>
      <w:r>
        <w:rPr>
          <w:rtl/>
        </w:rPr>
        <w:t xml:space="preserve"> تدرس الدراسة دورًا </w:t>
      </w:r>
      <w:r>
        <w:rPr>
          <w:b/>
          <w:bCs/>
          <w:rtl/>
        </w:rPr>
        <w:t>وقائيًا</w:t>
      </w:r>
      <w:r>
        <w:rPr>
          <w:rtl/>
        </w:rPr>
        <w:t xml:space="preserve"> يمارسه الأخصائي الاجتماعي داخل مؤسسات تعليمية ومجتمعية، أي تدخلًا مؤسسيًا قابلًا للتعديل. وتفترض النظريتان أن العوامل المفسرة للانحراف (الروابط الاجتماعية، والتعريفات والنماذج والتعزيز) عوامل اجتماعية قابلة للتغيير بالتدخل المهني، في حين تُرجع نظرية الضبط الذاتي الانحراف إلى سمة شبه ثابتة تتكون قبل سن العاشرة، ما يقلل من قدرتها على تفسير أثر تدخل يستهدف راشدين (18–30 سنة)، وتركز نظرية الأنومي على مستوى البناء الاجتماعي الكلي الذي يقع خارج نطاق تأثير الأخصائي الاجتماعي المباشر.</w:t>
      </w:r>
    </w:p>
    <w:p w:rsidR="00D70BB2" w:rsidRDefault="005632E9">
      <w:pPr>
        <w:pStyle w:val="ListParagraph"/>
        <w:numPr>
          <w:ilvl w:val="0"/>
          <w:numId w:val="12"/>
        </w:numPr>
        <w:bidi/>
        <w:spacing w:line="360" w:lineRule="auto"/>
        <w:jc w:val="both"/>
      </w:pPr>
      <w:r>
        <w:rPr>
          <w:b/>
          <w:bCs/>
          <w:rtl/>
        </w:rPr>
        <w:t>مسوغ الاتساق مع طبيعة المتغير التابع:</w:t>
      </w:r>
      <w:r>
        <w:rPr>
          <w:rtl/>
        </w:rPr>
        <w:t xml:space="preserve"> تقيس الدراسة صورًا من الانحراف غير الجسيم في الغالب (العدوان، والتنمر، والتعاطي)، وتشير الأدبيات إلى أن عناصر الرابطة الاجتماعية تفسر هذا النوع من الانحراف على نحو أفضل من تفسيرها للجرائم الجسيمة </w:t>
      </w:r>
      <w:r>
        <w:t>(Krohn &amp; Massey, 1980)</w:t>
      </w:r>
      <w:r>
        <w:rPr>
          <w:rtl/>
        </w:rPr>
        <w:t xml:space="preserve">، كما يُعد التعاطي والتنمر من أكثر السلوكيات التي يُكتسب فيها السلوك والاتجاهات المؤيدة له عبر جماعة الأقران، وهو جوهر نظرية التعلم الاجتماعي </w:t>
      </w:r>
      <w:r>
        <w:t>(Akers, 1998)</w:t>
      </w:r>
      <w:r>
        <w:rPr>
          <w:rtl/>
        </w:rPr>
        <w:t>.</w:t>
      </w:r>
    </w:p>
    <w:p w:rsidR="00D70BB2" w:rsidRDefault="005632E9">
      <w:pPr>
        <w:pStyle w:val="ListParagraph"/>
        <w:numPr>
          <w:ilvl w:val="0"/>
          <w:numId w:val="12"/>
        </w:numPr>
        <w:bidi/>
        <w:spacing w:line="360" w:lineRule="auto"/>
        <w:jc w:val="both"/>
      </w:pPr>
      <w:r>
        <w:rPr>
          <w:b/>
          <w:bCs/>
          <w:rtl/>
        </w:rPr>
        <w:t>مسوغ الدعم الامبريقي وقابلية الاختبار:</w:t>
      </w:r>
      <w:r>
        <w:rPr>
          <w:rtl/>
        </w:rPr>
        <w:t xml:space="preserve"> تُعد النظريتان من أكثر نظريات الانحراف خضوعًا للاختبار الكمي، وقد صيغت مفاهيمهما في مؤشرات قابلة للقياس بالاستبانة والتقرير الذاتي </w:t>
      </w:r>
      <w:r>
        <w:t xml:space="preserve">(Kempf, 1993; </w:t>
      </w:r>
      <w:r>
        <w:lastRenderedPageBreak/>
        <w:t>Pratt et al., 2010)</w:t>
      </w:r>
      <w:r>
        <w:rPr>
          <w:rtl/>
        </w:rPr>
        <w:t>، وهو ما يتسق مع التصميم الكمي للدراسة واعتمادها مقياس تقرير ذاتي للسلوكيات المنحرفة.</w:t>
      </w:r>
    </w:p>
    <w:p w:rsidR="00D70BB2" w:rsidRDefault="005632E9">
      <w:pPr>
        <w:pStyle w:val="ListParagraph"/>
        <w:numPr>
          <w:ilvl w:val="0"/>
          <w:numId w:val="12"/>
        </w:numPr>
        <w:bidi/>
        <w:spacing w:line="360" w:lineRule="auto"/>
        <w:jc w:val="both"/>
      </w:pPr>
      <w:r>
        <w:rPr>
          <w:b/>
          <w:bCs/>
          <w:rtl/>
        </w:rPr>
        <w:t>مسوغ التكامل لا التنافس:</w:t>
      </w:r>
      <w:r>
        <w:rPr>
          <w:rtl/>
        </w:rPr>
        <w:t xml:space="preserve"> تجيب كل نظرية عن سؤال مختلف؛ إذ تفسر نظرية الروابط الاجتماعية </w:t>
      </w:r>
      <w:r>
        <w:rPr>
          <w:b/>
          <w:bCs/>
          <w:rtl/>
        </w:rPr>
        <w:t>لماذا يمتثل</w:t>
      </w:r>
      <w:r>
        <w:rPr>
          <w:rtl/>
        </w:rPr>
        <w:t xml:space="preserve"> الفرد للمعايير (قوة الرابطة)، وتفسر نظرية التعلم الاجتماعي </w:t>
      </w:r>
      <w:r>
        <w:rPr>
          <w:b/>
          <w:bCs/>
          <w:rtl/>
        </w:rPr>
        <w:t>كيف يُكتسب</w:t>
      </w:r>
      <w:r>
        <w:rPr>
          <w:rtl/>
        </w:rPr>
        <w:t xml:space="preserve"> السلوك المنحرف أو الممتثل (آليات التعلم)، وقد جمعهما نموذج التنمية الاجتماعية </w:t>
      </w:r>
      <w:r>
        <w:t>(Catalano &amp; Hawkins, 1996)</w:t>
      </w:r>
      <w:r>
        <w:rPr>
          <w:rtl/>
        </w:rPr>
        <w:t xml:space="preserve"> في إطار واحد أصبح أساسًا لعدد من برامج الوقاية المجتمعية المختبرة، كما يُعرض لاحقًا.</w:t>
      </w:r>
    </w:p>
    <w:p w:rsidR="00D70BB2" w:rsidRDefault="005632E9">
      <w:pPr>
        <w:bidi/>
        <w:spacing w:line="360" w:lineRule="auto"/>
        <w:jc w:val="both"/>
      </w:pPr>
      <w:r>
        <w:rPr>
          <w:rtl/>
        </w:rPr>
        <w:t xml:space="preserve">أما نظرية الدور </w:t>
      </w:r>
      <w:r>
        <w:t>(Parsons, 1951)</w:t>
      </w:r>
      <w:r>
        <w:rPr>
          <w:rtl/>
        </w:rPr>
        <w:t xml:space="preserve"> ونظرية البنائية الوظيفية اللتان استندت إليهما بعض الدراسات الإماراتية السابقة </w:t>
      </w:r>
      <w:r>
        <w:t>(Alzeyoudi et al., 2026)</w:t>
      </w:r>
      <w:r>
        <w:rPr>
          <w:rtl/>
        </w:rPr>
        <w:t>، فتفيد منهما الدراسة في تحديد مفهوم «الدور» تحديدًا مفاهيميًا، دون أن تعتمدهما إطارًا مفسرًا؛ لأنهما تصفان موقع الأخصائي الاجتماعي في النسق المؤسسي، ولا تقدمان آلية مفسرة للعلاقة بين أداء هذا الدور وانخفاض السلوك المنحرف لدى الشباب، وهي العلاقة التي تختبرها فرضيات الدراسة.</w:t>
      </w:r>
    </w:p>
    <w:p w:rsidR="00D70BB2" w:rsidRDefault="005632E9">
      <w:pPr>
        <w:keepNext/>
        <w:bidi/>
        <w:spacing w:before="160" w:after="80" w:line="360" w:lineRule="auto"/>
        <w:jc w:val="both"/>
      </w:pPr>
      <w:r>
        <w:rPr>
          <w:b/>
          <w:bCs/>
          <w:sz w:val="30"/>
          <w:szCs w:val="30"/>
          <w:rtl/>
        </w:rPr>
        <w:t xml:space="preserve">المطلب الثاني: نظرية الروابط الاجتماعية </w:t>
      </w:r>
      <w:r>
        <w:rPr>
          <w:b/>
          <w:bCs/>
          <w:sz w:val="30"/>
          <w:szCs w:val="30"/>
        </w:rPr>
        <w:t>(Social Bond Theory)</w:t>
      </w:r>
      <w:r>
        <w:rPr>
          <w:b/>
          <w:bCs/>
          <w:sz w:val="30"/>
          <w:szCs w:val="30"/>
          <w:rtl/>
        </w:rPr>
        <w:t xml:space="preserve"> – النظرية الرئيسة</w:t>
      </w:r>
    </w:p>
    <w:p w:rsidR="00D70BB2" w:rsidRDefault="005632E9">
      <w:pPr>
        <w:keepNext/>
        <w:bidi/>
        <w:spacing w:before="120" w:after="60" w:line="360" w:lineRule="auto"/>
        <w:jc w:val="both"/>
      </w:pPr>
      <w:r>
        <w:rPr>
          <w:b/>
          <w:bCs/>
          <w:rtl/>
        </w:rPr>
        <w:t>1. نشأة النظرية ومسلَّمتها الأساسية</w:t>
      </w:r>
    </w:p>
    <w:p w:rsidR="00D70BB2" w:rsidRDefault="005632E9">
      <w:pPr>
        <w:bidi/>
        <w:spacing w:line="360" w:lineRule="auto"/>
        <w:jc w:val="both"/>
      </w:pPr>
      <w:r>
        <w:rPr>
          <w:rtl/>
        </w:rPr>
        <w:t xml:space="preserve">قدم ترافيس هيرشي نظريته في كتابه «أسباب الجنوح» </w:t>
      </w:r>
      <w:r>
        <w:t>(Causes of Delinquency)</w:t>
      </w:r>
      <w:r>
        <w:rPr>
          <w:rtl/>
        </w:rPr>
        <w:t xml:space="preserve"> عام 1969، وهي أبرز صياغات نظريات الضبط الاجتماعي. وتنطلق النظرية من سؤال معاكس للسؤال التقليدي في علم اجتماع الانحراف؛ فبدلًا من السؤال: لماذا ينحرف بعض الأفراد؟ تسأل: </w:t>
      </w:r>
      <w:r>
        <w:rPr>
          <w:b/>
          <w:bCs/>
          <w:rtl/>
        </w:rPr>
        <w:t>لماذا يمتثل معظم الأفراد للمعايير رغم أن الدافع إلى الانحراف قائم لدى الجميع؟</w:t>
      </w:r>
      <w:r>
        <w:rPr>
          <w:rtl/>
        </w:rPr>
        <w:t xml:space="preserve"> وتجيب بأن الأفعال المنحرفة تحدث عندما تضعف رابطة </w:t>
      </w:r>
      <w:r>
        <w:rPr>
          <w:rtl/>
        </w:rPr>
        <w:lastRenderedPageBreak/>
        <w:t xml:space="preserve">الفرد بالمجتمع أو تنقطع </w:t>
      </w:r>
      <w:r>
        <w:t>(Hirschi, 1969, p. 16)</w:t>
      </w:r>
      <w:r>
        <w:rPr>
          <w:rtl/>
        </w:rPr>
        <w:t>. فالنظرية لا تفترض دافعًا خاصًا للانحراف يحتاج إلى تفسير، بل تفترض أن الامتثال هو ما يحتاج إلى تفسير، وأن الرابطة الاجتماعية هي ما يقيد الفرد ويمنعه من الانحراف.</w:t>
      </w:r>
    </w:p>
    <w:p w:rsidR="00D70BB2" w:rsidRDefault="005632E9">
      <w:pPr>
        <w:keepNext/>
        <w:bidi/>
        <w:spacing w:before="120" w:after="60" w:line="360" w:lineRule="auto"/>
        <w:jc w:val="both"/>
      </w:pPr>
      <w:r>
        <w:rPr>
          <w:b/>
          <w:bCs/>
          <w:rtl/>
        </w:rPr>
        <w:t>2. عناصر الرابطة الاجتماعية</w:t>
      </w:r>
    </w:p>
    <w:p w:rsidR="00D70BB2" w:rsidRDefault="005632E9">
      <w:pPr>
        <w:bidi/>
        <w:spacing w:line="360" w:lineRule="auto"/>
        <w:jc w:val="both"/>
      </w:pPr>
      <w:r>
        <w:rPr>
          <w:rtl/>
        </w:rPr>
        <w:t xml:space="preserve">حدد هيرشي </w:t>
      </w:r>
      <w:r>
        <w:t>(Hirschi, 1969, pp. 16–26)</w:t>
      </w:r>
      <w:r>
        <w:rPr>
          <w:rtl/>
        </w:rPr>
        <w:t xml:space="preserve"> أربعة عناصر مترابطة للرابطة الاجتماعية، يرتبط ضعف أي منها بارتفاع احتمال الانحراف:</w:t>
      </w:r>
    </w:p>
    <w:p w:rsidR="00D70BB2" w:rsidRDefault="005632E9">
      <w:pPr>
        <w:pStyle w:val="ListParagraph"/>
        <w:numPr>
          <w:ilvl w:val="0"/>
          <w:numId w:val="12"/>
        </w:numPr>
        <w:bidi/>
        <w:spacing w:line="360" w:lineRule="auto"/>
        <w:jc w:val="both"/>
      </w:pPr>
      <w:r>
        <w:rPr>
          <w:b/>
          <w:bCs/>
          <w:rtl/>
        </w:rPr>
        <w:t xml:space="preserve">التعلق </w:t>
      </w:r>
      <w:r>
        <w:rPr>
          <w:b/>
          <w:bCs/>
        </w:rPr>
        <w:t>(Attachment)</w:t>
      </w:r>
      <w:r>
        <w:rPr>
          <w:b/>
          <w:bCs/>
          <w:rtl/>
        </w:rPr>
        <w:t>:</w:t>
      </w:r>
      <w:r>
        <w:rPr>
          <w:rtl/>
        </w:rPr>
        <w:t xml:space="preserve"> الارتباط العاطفي بالآخرين المهمين (الوالدين، والمعلمين، والمؤسسة) والاهتمام بآرائهم وتوقعاتهم. ويُعد أهم العناصر عند هيرشي؛ لأن الفرد المتعلق بالآخرين يأخذ توقعاتهم في الحسبان قبل الإقدام على الفعل المنحرف، ويمثل ذلك ما سماه «الحضور النفسي» للوالدين حتى في غيابهم الفعلي.</w:t>
      </w:r>
    </w:p>
    <w:p w:rsidR="00D70BB2" w:rsidRDefault="005632E9">
      <w:pPr>
        <w:pStyle w:val="ListParagraph"/>
        <w:numPr>
          <w:ilvl w:val="0"/>
          <w:numId w:val="12"/>
        </w:numPr>
        <w:bidi/>
        <w:spacing w:line="360" w:lineRule="auto"/>
        <w:jc w:val="both"/>
      </w:pPr>
      <w:r>
        <w:rPr>
          <w:b/>
          <w:bCs/>
          <w:rtl/>
        </w:rPr>
        <w:t xml:space="preserve">الالتزام </w:t>
      </w:r>
      <w:r>
        <w:rPr>
          <w:b/>
          <w:bCs/>
        </w:rPr>
        <w:t>(Commitment)</w:t>
      </w:r>
      <w:r>
        <w:rPr>
          <w:b/>
          <w:bCs/>
          <w:rtl/>
        </w:rPr>
        <w:t>:</w:t>
      </w:r>
      <w:r>
        <w:rPr>
          <w:rtl/>
        </w:rPr>
        <w:t xml:space="preserve"> ما يستثمره الفرد من وقت وجهد في المسارات التقليدية (التعليم، والعمل، والسمعة)، بحيث يصبح الانحراف مهددًا بخسارة هذا الاستثمار. فكلما زاد «الرهان على الامتثال» زادت كلفة الانحراف.</w:t>
      </w:r>
    </w:p>
    <w:p w:rsidR="00D70BB2" w:rsidRDefault="005632E9">
      <w:pPr>
        <w:pStyle w:val="ListParagraph"/>
        <w:numPr>
          <w:ilvl w:val="0"/>
          <w:numId w:val="12"/>
        </w:numPr>
        <w:bidi/>
        <w:spacing w:line="360" w:lineRule="auto"/>
        <w:jc w:val="both"/>
      </w:pPr>
      <w:r>
        <w:rPr>
          <w:b/>
          <w:bCs/>
          <w:rtl/>
        </w:rPr>
        <w:t xml:space="preserve">الانخراط </w:t>
      </w:r>
      <w:r>
        <w:rPr>
          <w:b/>
          <w:bCs/>
        </w:rPr>
        <w:t>(Involvement)</w:t>
      </w:r>
      <w:r>
        <w:rPr>
          <w:b/>
          <w:bCs/>
          <w:rtl/>
        </w:rPr>
        <w:t>:</w:t>
      </w:r>
      <w:r>
        <w:rPr>
          <w:rtl/>
        </w:rPr>
        <w:t xml:space="preserve"> الانشغال الفعلي بالأنشطة التقليدية المنظمة، الذي يقلص الوقت والفرصة المتاحين للانحراف، انطلاقًا من أن الوقت والطاقة محدودان.</w:t>
      </w:r>
    </w:p>
    <w:p w:rsidR="00D70BB2" w:rsidRDefault="005632E9">
      <w:pPr>
        <w:pStyle w:val="ListParagraph"/>
        <w:numPr>
          <w:ilvl w:val="0"/>
          <w:numId w:val="12"/>
        </w:numPr>
        <w:bidi/>
        <w:spacing w:line="360" w:lineRule="auto"/>
        <w:jc w:val="both"/>
      </w:pPr>
      <w:r>
        <w:rPr>
          <w:b/>
          <w:bCs/>
          <w:rtl/>
        </w:rPr>
        <w:t xml:space="preserve">الاعتقاد </w:t>
      </w:r>
      <w:r>
        <w:rPr>
          <w:b/>
          <w:bCs/>
        </w:rPr>
        <w:t>(Belief)</w:t>
      </w:r>
      <w:r>
        <w:rPr>
          <w:b/>
          <w:bCs/>
          <w:rtl/>
        </w:rPr>
        <w:t>:</w:t>
      </w:r>
      <w:r>
        <w:rPr>
          <w:rtl/>
        </w:rPr>
        <w:t xml:space="preserve"> درجة الإيمان بالمشروعية الأخلاقية للمعايير والقيم السائدة؛ فكلما ضعف إيمان الفرد بإلزامية المعايير، ضعف قيدها على سلوكه.</w:t>
      </w:r>
    </w:p>
    <w:p w:rsidR="00D70BB2" w:rsidRDefault="005632E9">
      <w:pPr>
        <w:bidi/>
        <w:spacing w:line="360" w:lineRule="auto"/>
        <w:jc w:val="both"/>
      </w:pPr>
      <w:r>
        <w:rPr>
          <w:rtl/>
        </w:rPr>
        <w:lastRenderedPageBreak/>
        <w:t>وتتفاعل هذه العناصر فيما بينها؛ إذ يرتبط التعلق بالوالدين والمؤسسة بارتفاع الالتزام بالأهداف التقليدية، ويرتبط الانخراط في الأنشطة بالالتزام، ويُرسخ التعلق الاعتقاد بالمعايير.</w:t>
      </w:r>
    </w:p>
    <w:p w:rsidR="00D70BB2" w:rsidRDefault="005632E9">
      <w:pPr>
        <w:keepNext/>
        <w:bidi/>
        <w:spacing w:before="120" w:after="60" w:line="360" w:lineRule="auto"/>
        <w:jc w:val="both"/>
      </w:pPr>
      <w:r>
        <w:rPr>
          <w:b/>
          <w:bCs/>
          <w:rtl/>
        </w:rPr>
        <w:t>3. الدعم الامبريقي للنظرية</w:t>
      </w:r>
    </w:p>
    <w:p w:rsidR="00D70BB2" w:rsidRDefault="005632E9">
      <w:pPr>
        <w:bidi/>
        <w:spacing w:line="360" w:lineRule="auto"/>
        <w:jc w:val="both"/>
      </w:pPr>
      <w:r>
        <w:rPr>
          <w:rtl/>
        </w:rPr>
        <w:t xml:space="preserve">حظيت النظرية بدعم امبريقي واسع؛ فقد خلصت مراجعة كيمف </w:t>
      </w:r>
      <w:r>
        <w:t>(Kempf, 1993)</w:t>
      </w:r>
      <w:r>
        <w:rPr>
          <w:rtl/>
        </w:rPr>
        <w:t xml:space="preserve"> لعشرات الدراسات التي اختبرتها إلى أن عناصر الرابطة ترتبط عمومًا بالانحراف في الاتجاه المتوقع، مع تباين كبير في طرق قياس العناصر بين الدراسات. ووجد كرون وماسي </w:t>
      </w:r>
      <w:r>
        <w:t>(Krohn &amp; Massey, 1980)</w:t>
      </w:r>
      <w:r>
        <w:rPr>
          <w:rtl/>
        </w:rPr>
        <w:t xml:space="preserve"> أن عناصر الرابطة تفسر الانحراف الأقل خطورة (كتعاطي الكحول والمخدرات) بدرجة أكبر من تفسيرها للجرائم الجسيمة، وهو ما يتسق مع طبيعة السلوكيات التي تقيسها الدراسة الحالية. وفي السياقات غير الغربية، أكدت دراسة أوزباي وأوزجان </w:t>
      </w:r>
      <w:r>
        <w:t>(Özbay &amp; Özcan, 2006)</w:t>
      </w:r>
      <w:r>
        <w:rPr>
          <w:rtl/>
        </w:rPr>
        <w:t xml:space="preserve"> على (1,710) طالبًا في المدارس الثانوية بأنقرة أهمية النظرية في تفسير الجنوح في المجتمع التركي بوصفه مجتمعًا تقليديًا، وكشفت دراسة خوري-قصبري وزملائها </w:t>
      </w:r>
      <w:r>
        <w:t>(Khoury-Kassabri et al., 2023)</w:t>
      </w:r>
      <w:r>
        <w:rPr>
          <w:rtl/>
        </w:rPr>
        <w:t xml:space="preserve"> لدى شباب عرب أن الروابط مع الوالدين والأصدقاء والجيران والمعلمين وأصحاب العمل قد تؤدي دورًا حمائيًا من الانحراف في سياق عربي محافظ.</w:t>
      </w:r>
    </w:p>
    <w:p w:rsidR="00D70BB2" w:rsidRDefault="005632E9">
      <w:pPr>
        <w:keepNext/>
        <w:bidi/>
        <w:spacing w:before="120" w:after="60" w:line="360" w:lineRule="auto"/>
        <w:jc w:val="both"/>
      </w:pPr>
      <w:r>
        <w:rPr>
          <w:b/>
          <w:bCs/>
          <w:rtl/>
        </w:rPr>
        <w:t>4. الانتقادات الموجهة إلى النظرية وموقف الدراسة منها</w:t>
      </w:r>
    </w:p>
    <w:p w:rsidR="00D70BB2" w:rsidRDefault="005632E9">
      <w:pPr>
        <w:bidi/>
        <w:spacing w:line="360" w:lineRule="auto"/>
        <w:jc w:val="both"/>
      </w:pPr>
      <w:r>
        <w:rPr>
          <w:rtl/>
        </w:rPr>
        <w:t>وُجهت إلى النظرية عدة انتقادات، تتعامل معها الدراسة على النحو الآتي:</w:t>
      </w:r>
    </w:p>
    <w:p w:rsidR="00D70BB2" w:rsidRDefault="005632E9">
      <w:pPr>
        <w:pStyle w:val="ListParagraph"/>
        <w:numPr>
          <w:ilvl w:val="0"/>
          <w:numId w:val="12"/>
        </w:numPr>
        <w:bidi/>
        <w:spacing w:line="360" w:lineRule="auto"/>
        <w:jc w:val="both"/>
      </w:pPr>
      <w:r>
        <w:rPr>
          <w:b/>
          <w:bCs/>
          <w:rtl/>
        </w:rPr>
        <w:t>اختبارها الأصلي على المراهقين:</w:t>
      </w:r>
      <w:r>
        <w:rPr>
          <w:rtl/>
        </w:rPr>
        <w:t xml:space="preserve"> صاغ هيرشي نظريته واختبرها على طلبة المدارس، في حين تتناول الدراسة الحالية راشدين (18–30 سنة). وتعالج الدراسة ذلك بالاستناد إلى التطوير الذي قدمه سامبسون ولاوب </w:t>
      </w:r>
      <w:r>
        <w:t>(Sampson &amp; Laub, 1993)</w:t>
      </w:r>
      <w:r>
        <w:rPr>
          <w:rtl/>
        </w:rPr>
        <w:t xml:space="preserve"> في نظرية الضبط الاجتماعي غير الرسمي المتدرج عمريًا، </w:t>
      </w:r>
      <w:r>
        <w:rPr>
          <w:rtl/>
        </w:rPr>
        <w:lastRenderedPageBreak/>
        <w:t xml:space="preserve">التي تؤكد أن الروابط الاجتماعية تظل مفسرة للانحراف في مرحلة الرشد، مع تغير مصادرها من الأسرة والمدرسة إلى الجامعة والعمل والزواج. ويتسق ذلك مع وصف آرنت </w:t>
      </w:r>
      <w:r>
        <w:t>(Arnett, 2000)</w:t>
      </w:r>
      <w:r>
        <w:rPr>
          <w:rtl/>
        </w:rPr>
        <w:t xml:space="preserve"> لمرحلة الرشد الناشئ بأنها مرحلة تحول في الروابط وعدم استقرار فيها، ما يجعل المؤسسات التعليمية والمجتمعية مصدرًا مهمًا للرابطة في هذه المرحلة.</w:t>
      </w:r>
    </w:p>
    <w:p w:rsidR="00D70BB2" w:rsidRDefault="005632E9">
      <w:pPr>
        <w:pStyle w:val="ListParagraph"/>
        <w:numPr>
          <w:ilvl w:val="0"/>
          <w:numId w:val="12"/>
        </w:numPr>
        <w:bidi/>
        <w:spacing w:line="360" w:lineRule="auto"/>
        <w:jc w:val="both"/>
      </w:pPr>
      <w:r>
        <w:rPr>
          <w:b/>
          <w:bCs/>
          <w:rtl/>
        </w:rPr>
        <w:t>إغفال أثر الأقران المنحرفين:</w:t>
      </w:r>
      <w:r>
        <w:rPr>
          <w:rtl/>
        </w:rPr>
        <w:t xml:space="preserve"> رأى هيرشي أن التعلق بالأقران – حتى المنحرفين منهم – يحد من الانحراف، وهو ما لم تؤيده الدراسات اللاحقة التي أثبتت الأثر القوي لمخالطة الأقران المنحرفين </w:t>
      </w:r>
      <w:r>
        <w:t>(Pratt et al., 2010)</w:t>
      </w:r>
      <w:r>
        <w:rPr>
          <w:rtl/>
        </w:rPr>
        <w:t xml:space="preserve">. وهذا القصور تحديدًا هو ما يسوّغ استعانة الدراسة بنظرية التعلم الاجتماعي نظريةً مساندة تفسر </w:t>
      </w:r>
      <w:r>
        <w:rPr>
          <w:b/>
          <w:bCs/>
          <w:rtl/>
        </w:rPr>
        <w:t>نوع</w:t>
      </w:r>
      <w:r>
        <w:rPr>
          <w:rtl/>
        </w:rPr>
        <w:t xml:space="preserve"> الجماعة التي يرتبط بها الفرد، لا قوة الرابطة فقط.</w:t>
      </w:r>
    </w:p>
    <w:p w:rsidR="00D70BB2" w:rsidRDefault="005632E9">
      <w:pPr>
        <w:pStyle w:val="ListParagraph"/>
        <w:numPr>
          <w:ilvl w:val="0"/>
          <w:numId w:val="12"/>
        </w:numPr>
        <w:bidi/>
        <w:spacing w:line="360" w:lineRule="auto"/>
        <w:jc w:val="both"/>
      </w:pPr>
      <w:r>
        <w:rPr>
          <w:b/>
          <w:bCs/>
          <w:rtl/>
        </w:rPr>
        <w:t>الطابع السكوني للنظرية:</w:t>
      </w:r>
      <w:r>
        <w:rPr>
          <w:rtl/>
        </w:rPr>
        <w:t xml:space="preserve"> تُعامل النظرية الرابطة بوصفها حالة، ولا تفسر كيف تتكون أو تُستعاد. وتعالج الدراسة ذلك بالاستناد إلى نموذج التنمية الاجتماعية </w:t>
      </w:r>
      <w:r>
        <w:t>(Catalano &amp; Hawkins, 1996)</w:t>
      </w:r>
      <w:r>
        <w:rPr>
          <w:rtl/>
        </w:rPr>
        <w:t xml:space="preserve"> الذي يحدد شروط تكوّن الرابطة (الفرص، والمهارات، والتعزيز)، وهي شروط يمكن للأخصائي الاجتماعي التأثير فيها.</w:t>
      </w:r>
    </w:p>
    <w:p w:rsidR="00D70BB2" w:rsidRDefault="005632E9">
      <w:pPr>
        <w:pStyle w:val="ListParagraph"/>
        <w:numPr>
          <w:ilvl w:val="0"/>
          <w:numId w:val="12"/>
        </w:numPr>
        <w:bidi/>
        <w:spacing w:line="360" w:lineRule="auto"/>
        <w:jc w:val="both"/>
      </w:pPr>
      <w:r>
        <w:rPr>
          <w:b/>
          <w:bCs/>
          <w:rtl/>
        </w:rPr>
        <w:t>تحول هيرشي نفسه إلى نظرية الضبط الذاتي:</w:t>
      </w:r>
      <w:r>
        <w:rPr>
          <w:rtl/>
        </w:rPr>
        <w:t xml:space="preserve"> انتقل هيرشي لاحقًا مع جوتفريدسون إلى تفسير الانحراف بضعف الضبط الذاتي </w:t>
      </w:r>
      <w:r>
        <w:t>(Gottfredson &amp; Hirschi, 1990)</w:t>
      </w:r>
      <w:r>
        <w:rPr>
          <w:rtl/>
        </w:rPr>
        <w:t>. وتعتمد الدراسة الصياغة الأصلية للروابط الاجتماعية؛ لأنها – كما سبق – تفترض قابلية العوامل المفسرة للتعديل بالتدخل المؤسسي، وهو افتراض لازم لدراسة فاعلية دور وقائي.</w:t>
      </w:r>
    </w:p>
    <w:p w:rsidR="00D70BB2" w:rsidRDefault="005632E9">
      <w:pPr>
        <w:keepNext/>
        <w:bidi/>
        <w:spacing w:before="120" w:after="60" w:line="360" w:lineRule="auto"/>
        <w:jc w:val="both"/>
      </w:pPr>
      <w:r>
        <w:rPr>
          <w:b/>
          <w:bCs/>
          <w:rtl/>
        </w:rPr>
        <w:t>5. توظيف نظرية الروابط الاجتماعية في الدراسة الحالية</w:t>
      </w:r>
    </w:p>
    <w:p w:rsidR="00D70BB2" w:rsidRDefault="005632E9">
      <w:pPr>
        <w:bidi/>
        <w:spacing w:line="360" w:lineRule="auto"/>
        <w:jc w:val="both"/>
      </w:pPr>
      <w:r>
        <w:rPr>
          <w:rtl/>
        </w:rPr>
        <w:t>توظف الدراسة النظرية على أربعة مستويات:</w:t>
      </w:r>
    </w:p>
    <w:p w:rsidR="00D70BB2" w:rsidRDefault="005632E9">
      <w:pPr>
        <w:bidi/>
        <w:spacing w:line="360" w:lineRule="auto"/>
        <w:jc w:val="both"/>
      </w:pPr>
      <w:r>
        <w:rPr>
          <w:b/>
          <w:bCs/>
          <w:rtl/>
        </w:rPr>
        <w:lastRenderedPageBreak/>
        <w:t>(أ) مستوى بناء المتغير المستقل وأبعاده:</w:t>
      </w:r>
      <w:r>
        <w:rPr>
          <w:rtl/>
        </w:rPr>
        <w:t xml:space="preserve"> يُنظر إلى الدور الوقائي للأخصائي الاجتماعي بوصفه تدخلًا مؤسسيًا </w:t>
      </w:r>
      <w:r>
        <w:rPr>
          <w:b/>
          <w:bCs/>
          <w:rtl/>
        </w:rPr>
        <w:t>لتقوية عناصر الرابطة الاجتماعية</w:t>
      </w:r>
      <w:r>
        <w:rPr>
          <w:rtl/>
        </w:rPr>
        <w:t xml:space="preserve"> لدى الشباب، ويوضح الجدول (4) العلاقة بين كل بعد من أبعاد الدور وعنصر الرابطة الذي يستهدفه.</w:t>
      </w:r>
    </w:p>
    <w:p w:rsidR="00D70BB2" w:rsidRDefault="005632E9">
      <w:pPr>
        <w:keepNext/>
        <w:bidi/>
        <w:spacing w:before="120" w:after="60" w:line="360" w:lineRule="auto"/>
        <w:jc w:val="center"/>
      </w:pPr>
      <w:r>
        <w:rPr>
          <w:b/>
          <w:bCs/>
          <w:rtl/>
        </w:rPr>
        <w:t>جدول (4): توظيف عناصر نظرية الروابط الاجتماعية في أبعاد الدور الوقائي للأخصائي الاجتماعي</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500"/>
        <w:gridCol w:w="2600"/>
        <w:gridCol w:w="2600"/>
        <w:gridCol w:w="2660"/>
      </w:tblGrid>
      <w:tr w:rsidR="00D70BB2">
        <w:trPr>
          <w:cantSplit/>
          <w:tblHeader/>
          <w:jc w:val="center"/>
        </w:trPr>
        <w:tc>
          <w:tcPr>
            <w:tcW w:w="1500" w:type="dxa"/>
            <w:shd w:val="clear" w:color="auto" w:fill="D9E2F3"/>
          </w:tcPr>
          <w:p w:rsidR="00D70BB2" w:rsidRDefault="005632E9" w:rsidP="005632E9">
            <w:pPr>
              <w:bidi/>
              <w:spacing w:after="0" w:line="240" w:lineRule="auto"/>
              <w:jc w:val="center"/>
            </w:pPr>
            <w:r>
              <w:rPr>
                <w:b/>
                <w:bCs/>
                <w:sz w:val="22"/>
                <w:szCs w:val="22"/>
                <w:rtl/>
              </w:rPr>
              <w:t>عنصر الرابطة</w:t>
            </w:r>
          </w:p>
        </w:tc>
        <w:tc>
          <w:tcPr>
            <w:tcW w:w="2600" w:type="dxa"/>
            <w:shd w:val="clear" w:color="auto" w:fill="D9E2F3"/>
          </w:tcPr>
          <w:p w:rsidR="00D70BB2" w:rsidRDefault="005632E9" w:rsidP="005632E9">
            <w:pPr>
              <w:bidi/>
              <w:spacing w:after="0" w:line="240" w:lineRule="auto"/>
              <w:jc w:val="center"/>
            </w:pPr>
            <w:r>
              <w:rPr>
                <w:b/>
                <w:bCs/>
                <w:sz w:val="22"/>
                <w:szCs w:val="22"/>
                <w:rtl/>
              </w:rPr>
              <w:t>بعد الدور الوقائي المقابل</w:t>
            </w:r>
          </w:p>
        </w:tc>
        <w:tc>
          <w:tcPr>
            <w:tcW w:w="2600" w:type="dxa"/>
            <w:shd w:val="clear" w:color="auto" w:fill="D9E2F3"/>
          </w:tcPr>
          <w:p w:rsidR="00D70BB2" w:rsidRDefault="005632E9" w:rsidP="005632E9">
            <w:pPr>
              <w:bidi/>
              <w:spacing w:after="0" w:line="240" w:lineRule="auto"/>
              <w:jc w:val="center"/>
            </w:pPr>
            <w:r>
              <w:rPr>
                <w:b/>
                <w:bCs/>
                <w:sz w:val="22"/>
                <w:szCs w:val="22"/>
                <w:rtl/>
              </w:rPr>
              <w:t>الآلية المفترضة للحد من السلوك المنحرف</w:t>
            </w:r>
          </w:p>
        </w:tc>
        <w:tc>
          <w:tcPr>
            <w:tcW w:w="2660" w:type="dxa"/>
            <w:shd w:val="clear" w:color="auto" w:fill="D9E2F3"/>
          </w:tcPr>
          <w:p w:rsidR="00D70BB2" w:rsidRDefault="005632E9" w:rsidP="005632E9">
            <w:pPr>
              <w:bidi/>
              <w:spacing w:after="0" w:line="240" w:lineRule="auto"/>
              <w:jc w:val="center"/>
            </w:pPr>
            <w:r>
              <w:rPr>
                <w:b/>
                <w:bCs/>
                <w:sz w:val="22"/>
                <w:szCs w:val="22"/>
                <w:rtl/>
              </w:rPr>
              <w:t>مثال على مؤشر في أداة القياس</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التعلق</w:t>
            </w:r>
          </w:p>
        </w:tc>
        <w:tc>
          <w:tcPr>
            <w:tcW w:w="2600" w:type="dxa"/>
          </w:tcPr>
          <w:p w:rsidR="00D70BB2" w:rsidRDefault="005632E9" w:rsidP="005632E9">
            <w:pPr>
              <w:bidi/>
              <w:spacing w:after="0" w:line="240" w:lineRule="auto"/>
              <w:jc w:val="center"/>
            </w:pPr>
            <w:r>
              <w:rPr>
                <w:sz w:val="22"/>
                <w:szCs w:val="22"/>
                <w:rtl/>
              </w:rPr>
              <w:t>الشراكة مع الأسرة والمجتمع؛ والعلاقة المهنية في البعد الإرشادي</w:t>
            </w:r>
          </w:p>
        </w:tc>
        <w:tc>
          <w:tcPr>
            <w:tcW w:w="2600" w:type="dxa"/>
          </w:tcPr>
          <w:p w:rsidR="00D70BB2" w:rsidRDefault="005632E9" w:rsidP="005632E9">
            <w:pPr>
              <w:bidi/>
              <w:spacing w:after="0" w:line="240" w:lineRule="auto"/>
              <w:jc w:val="center"/>
            </w:pPr>
            <w:r>
              <w:rPr>
                <w:sz w:val="22"/>
                <w:szCs w:val="22"/>
                <w:rtl/>
              </w:rPr>
              <w:t>تقوية الصلة بالأسرة والمؤسسة والأخصائي بوصفه راشدًا داعمًا، فيزداد أخذ توقعاتهم في الحسبان</w:t>
            </w:r>
          </w:p>
        </w:tc>
        <w:tc>
          <w:tcPr>
            <w:tcW w:w="2660" w:type="dxa"/>
          </w:tcPr>
          <w:p w:rsidR="00D70BB2" w:rsidRDefault="005632E9" w:rsidP="005632E9">
            <w:pPr>
              <w:bidi/>
              <w:spacing w:after="0" w:line="240" w:lineRule="auto"/>
              <w:jc w:val="center"/>
            </w:pPr>
            <w:r>
              <w:rPr>
                <w:sz w:val="22"/>
                <w:szCs w:val="22"/>
                <w:rtl/>
              </w:rPr>
              <w:t>يتواصل الأخصائي الاجتماعي مع أسرتي عند ملاحظة مشكلة تخصني</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الالتزام</w:t>
            </w:r>
          </w:p>
        </w:tc>
        <w:tc>
          <w:tcPr>
            <w:tcW w:w="2600" w:type="dxa"/>
          </w:tcPr>
          <w:p w:rsidR="00D70BB2" w:rsidRDefault="005632E9" w:rsidP="005632E9">
            <w:pPr>
              <w:bidi/>
              <w:spacing w:after="0" w:line="240" w:lineRule="auto"/>
              <w:jc w:val="center"/>
            </w:pPr>
            <w:r>
              <w:rPr>
                <w:sz w:val="22"/>
                <w:szCs w:val="22"/>
                <w:rtl/>
              </w:rPr>
              <w:t>البعد الإرشادي</w:t>
            </w:r>
          </w:p>
        </w:tc>
        <w:tc>
          <w:tcPr>
            <w:tcW w:w="2600" w:type="dxa"/>
          </w:tcPr>
          <w:p w:rsidR="00D70BB2" w:rsidRDefault="005632E9" w:rsidP="005632E9">
            <w:pPr>
              <w:bidi/>
              <w:spacing w:after="0" w:line="240" w:lineRule="auto"/>
              <w:jc w:val="center"/>
            </w:pPr>
            <w:r>
              <w:rPr>
                <w:sz w:val="22"/>
                <w:szCs w:val="22"/>
                <w:rtl/>
              </w:rPr>
              <w:t>مساعدة الشاب على تحديد أهداف تعليمية ومهنية والتمسك بها، فترتفع كلفة الانحراف</w:t>
            </w:r>
          </w:p>
        </w:tc>
        <w:tc>
          <w:tcPr>
            <w:tcW w:w="2660" w:type="dxa"/>
          </w:tcPr>
          <w:p w:rsidR="00D70BB2" w:rsidRDefault="005632E9" w:rsidP="005632E9">
            <w:pPr>
              <w:bidi/>
              <w:spacing w:after="0" w:line="240" w:lineRule="auto"/>
              <w:jc w:val="center"/>
            </w:pPr>
            <w:r>
              <w:rPr>
                <w:sz w:val="22"/>
                <w:szCs w:val="22"/>
                <w:rtl/>
              </w:rPr>
              <w:t>يساعدني الأخصائي الاجتماعي على وضع أهداف دراسية أو مهنية واضحة</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الانخراط</w:t>
            </w:r>
          </w:p>
        </w:tc>
        <w:tc>
          <w:tcPr>
            <w:tcW w:w="2600" w:type="dxa"/>
          </w:tcPr>
          <w:p w:rsidR="00D70BB2" w:rsidRDefault="005632E9" w:rsidP="005632E9">
            <w:pPr>
              <w:bidi/>
              <w:spacing w:after="0" w:line="240" w:lineRule="auto"/>
              <w:jc w:val="center"/>
            </w:pPr>
            <w:r>
              <w:rPr>
                <w:sz w:val="22"/>
                <w:szCs w:val="22"/>
                <w:rtl/>
              </w:rPr>
              <w:t>مستوى المشاركة في البرامج الوقائية (المتغير المستقل المساند)</w:t>
            </w:r>
          </w:p>
        </w:tc>
        <w:tc>
          <w:tcPr>
            <w:tcW w:w="2600" w:type="dxa"/>
          </w:tcPr>
          <w:p w:rsidR="00D70BB2" w:rsidRDefault="005632E9" w:rsidP="005632E9">
            <w:pPr>
              <w:bidi/>
              <w:spacing w:after="0" w:line="240" w:lineRule="auto"/>
              <w:jc w:val="center"/>
            </w:pPr>
            <w:r>
              <w:rPr>
                <w:sz w:val="22"/>
                <w:szCs w:val="22"/>
                <w:rtl/>
              </w:rPr>
              <w:t>شغل وقت الشاب بأنشطة منظمة تقلص فرص الانحراف</w:t>
            </w:r>
          </w:p>
        </w:tc>
        <w:tc>
          <w:tcPr>
            <w:tcW w:w="2660" w:type="dxa"/>
          </w:tcPr>
          <w:p w:rsidR="00D70BB2" w:rsidRDefault="005632E9" w:rsidP="005632E9">
            <w:pPr>
              <w:bidi/>
              <w:spacing w:after="0" w:line="240" w:lineRule="auto"/>
              <w:jc w:val="center"/>
            </w:pPr>
            <w:r>
              <w:rPr>
                <w:sz w:val="22"/>
                <w:szCs w:val="22"/>
                <w:rtl/>
              </w:rPr>
              <w:t>عدد البرامج والأنشطة الوقائية التي شاركت فيها خلال 12 شهرًا ومدى انتظامي فيها</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الاعتقاد</w:t>
            </w:r>
          </w:p>
        </w:tc>
        <w:tc>
          <w:tcPr>
            <w:tcW w:w="2600" w:type="dxa"/>
          </w:tcPr>
          <w:p w:rsidR="00D70BB2" w:rsidRDefault="005632E9" w:rsidP="005632E9">
            <w:pPr>
              <w:bidi/>
              <w:spacing w:after="0" w:line="240" w:lineRule="auto"/>
              <w:jc w:val="center"/>
            </w:pPr>
            <w:r>
              <w:rPr>
                <w:sz w:val="22"/>
                <w:szCs w:val="22"/>
                <w:rtl/>
              </w:rPr>
              <w:t>البعد التوعوي</w:t>
            </w:r>
          </w:p>
        </w:tc>
        <w:tc>
          <w:tcPr>
            <w:tcW w:w="2600" w:type="dxa"/>
          </w:tcPr>
          <w:p w:rsidR="00D70BB2" w:rsidRDefault="005632E9" w:rsidP="005632E9">
            <w:pPr>
              <w:bidi/>
              <w:spacing w:after="0" w:line="240" w:lineRule="auto"/>
              <w:jc w:val="center"/>
            </w:pPr>
            <w:r>
              <w:rPr>
                <w:sz w:val="22"/>
                <w:szCs w:val="22"/>
                <w:rtl/>
              </w:rPr>
              <w:t>ترسيخ الإيمان بمشروعية المعايير التي تحظر العنف والتنمر والتعاطي</w:t>
            </w:r>
          </w:p>
        </w:tc>
        <w:tc>
          <w:tcPr>
            <w:tcW w:w="2660" w:type="dxa"/>
          </w:tcPr>
          <w:p w:rsidR="00D70BB2" w:rsidRDefault="005632E9" w:rsidP="005632E9">
            <w:pPr>
              <w:bidi/>
              <w:spacing w:after="0" w:line="240" w:lineRule="auto"/>
              <w:jc w:val="center"/>
            </w:pPr>
            <w:r>
              <w:rPr>
                <w:sz w:val="22"/>
                <w:szCs w:val="22"/>
                <w:rtl/>
              </w:rPr>
              <w:t>تسهم الأنشطة التوعوية في إقناعي بخطورة التنمر الإلكتروني</w:t>
            </w:r>
          </w:p>
        </w:tc>
      </w:tr>
      <w:tr w:rsidR="00D70BB2">
        <w:trPr>
          <w:cantSplit/>
          <w:jc w:val="center"/>
        </w:trPr>
        <w:tc>
          <w:tcPr>
            <w:tcW w:w="1500" w:type="dxa"/>
          </w:tcPr>
          <w:p w:rsidR="00D70BB2" w:rsidRDefault="005632E9" w:rsidP="005632E9">
            <w:pPr>
              <w:bidi/>
              <w:spacing w:after="0" w:line="240" w:lineRule="auto"/>
              <w:jc w:val="center"/>
            </w:pPr>
            <w:r>
              <w:rPr>
                <w:sz w:val="22"/>
                <w:szCs w:val="22"/>
                <w:rtl/>
              </w:rPr>
              <w:t>(حماية الرابطة من الانقطاع)</w:t>
            </w:r>
          </w:p>
        </w:tc>
        <w:tc>
          <w:tcPr>
            <w:tcW w:w="2600" w:type="dxa"/>
          </w:tcPr>
          <w:p w:rsidR="00D70BB2" w:rsidRDefault="005632E9" w:rsidP="005632E9">
            <w:pPr>
              <w:bidi/>
              <w:spacing w:after="0" w:line="240" w:lineRule="auto"/>
              <w:jc w:val="center"/>
            </w:pPr>
            <w:r>
              <w:rPr>
                <w:sz w:val="22"/>
                <w:szCs w:val="22"/>
                <w:rtl/>
              </w:rPr>
              <w:t>الاكتشاف المبكر والإحالة</w:t>
            </w:r>
          </w:p>
        </w:tc>
        <w:tc>
          <w:tcPr>
            <w:tcW w:w="2600" w:type="dxa"/>
          </w:tcPr>
          <w:p w:rsidR="00D70BB2" w:rsidRDefault="005632E9" w:rsidP="005632E9">
            <w:pPr>
              <w:bidi/>
              <w:spacing w:after="0" w:line="240" w:lineRule="auto"/>
              <w:jc w:val="center"/>
            </w:pPr>
            <w:r>
              <w:rPr>
                <w:sz w:val="22"/>
                <w:szCs w:val="22"/>
                <w:rtl/>
              </w:rPr>
              <w:t>التدخل عند المؤشرات الأولى لضعف الرابطة (الغياب، والعزلة، وتراجع الأداء) قبل انقطاعها</w:t>
            </w:r>
          </w:p>
        </w:tc>
        <w:tc>
          <w:tcPr>
            <w:tcW w:w="2660" w:type="dxa"/>
          </w:tcPr>
          <w:p w:rsidR="00D70BB2" w:rsidRDefault="005632E9" w:rsidP="005632E9">
            <w:pPr>
              <w:bidi/>
              <w:spacing w:after="0" w:line="240" w:lineRule="auto"/>
              <w:jc w:val="center"/>
            </w:pPr>
            <w:r>
              <w:rPr>
                <w:sz w:val="22"/>
                <w:szCs w:val="22"/>
                <w:rtl/>
              </w:rPr>
              <w:t>يلاحظ الأخصائي الاجتماعي التغيرات في سلوك الطلبة ويتابعها مبكرًا</w:t>
            </w:r>
          </w:p>
        </w:tc>
      </w:tr>
    </w:tbl>
    <w:p w:rsidR="00D70BB2" w:rsidRDefault="00D70BB2">
      <w:pPr>
        <w:bidi/>
        <w:spacing w:after="0" w:line="360" w:lineRule="auto"/>
        <w:jc w:val="both"/>
      </w:pPr>
    </w:p>
    <w:p w:rsidR="00D70BB2" w:rsidRDefault="005632E9">
      <w:pPr>
        <w:bidi/>
        <w:spacing w:line="360" w:lineRule="auto"/>
        <w:jc w:val="both"/>
      </w:pPr>
      <w:r>
        <w:rPr>
          <w:b/>
          <w:bCs/>
          <w:rtl/>
        </w:rPr>
        <w:t>(ب) مستوى اشتقاق الفرضيات:</w:t>
      </w:r>
      <w:r>
        <w:rPr>
          <w:rtl/>
        </w:rPr>
        <w:t xml:space="preserve"> تُشتق الفرضية الأولى (ف1) من المسلمة الأساسية للنظرية؛ فإذا كان الدور الوقائي يقوي الرابطة، فالمتوقع أن ترتبط فاعليته </w:t>
      </w:r>
      <w:r>
        <w:rPr>
          <w:b/>
          <w:bCs/>
          <w:rtl/>
        </w:rPr>
        <w:t>عكسيًا</w:t>
      </w:r>
      <w:r>
        <w:rPr>
          <w:rtl/>
        </w:rPr>
        <w:t xml:space="preserve"> بدرجة السلوك المنحرف. وتُشتق الفرضية الثانية (ف2) من عنصر الانخراط تحديدًا؛ إذ يُتوقع أن يرتبط ارتفاع مستوى المشاركة في البرامج الوقائية </w:t>
      </w:r>
      <w:r>
        <w:rPr>
          <w:rtl/>
        </w:rPr>
        <w:lastRenderedPageBreak/>
        <w:t xml:space="preserve">بانخفاض السلوك المنحرف. وتُشتق الفرضية الرابعة (ف4) جزئيًا من نتائج اختبار النظرية التي تشير إلى اختلاف قوة الرابطة ومستوى الإشراف بين الذكور والإناث </w:t>
      </w:r>
      <w:r>
        <w:t>(Özbay &amp; Özcan, 2008)</w:t>
      </w:r>
      <w:r>
        <w:rPr>
          <w:rtl/>
        </w:rPr>
        <w:t xml:space="preserve">، ومن اختلاف طبيعة الرابطة بين المؤسسة التعليمية (رابطة يومية منتظمة) والمؤسسة المجتمعية (رابطة طوعية متقطعة). وتُشتق الفرضية الخامسة (ف5) من منظور سامبسون ولاوب </w:t>
      </w:r>
      <w:r>
        <w:t>(Sampson &amp; Laub, 1993)</w:t>
      </w:r>
      <w:r>
        <w:rPr>
          <w:rtl/>
        </w:rPr>
        <w:t xml:space="preserve"> القائل بتغير مصادر الرابطة بتغير المرحلة العمرية والوضع التعليمي.</w:t>
      </w:r>
    </w:p>
    <w:p w:rsidR="00D70BB2" w:rsidRDefault="005632E9">
      <w:pPr>
        <w:bidi/>
        <w:spacing w:line="360" w:lineRule="auto"/>
        <w:jc w:val="both"/>
      </w:pPr>
      <w:r>
        <w:rPr>
          <w:b/>
          <w:bCs/>
          <w:rtl/>
        </w:rPr>
        <w:t>(ج) مستوى بناء أداة القياس وصدقها البنائي:</w:t>
      </w:r>
      <w:r>
        <w:rPr>
          <w:rtl/>
        </w:rPr>
        <w:t xml:space="preserve"> تُصاغ فقرات مقياس فاعلية الدور الوقائي بحيث يمثل كل بعد عنصر الرابطة الذي يستهدفه، ما يسمح بالتحقق من الصدق البنائي للمقياس بالتحليل العاملي، وبفحص ارتباط كل بعد بالسلوك المنحرف على حدة لمعرفة أي عناصر الرابطة أكثر إسهامًا في الحد منه.</w:t>
      </w:r>
    </w:p>
    <w:p w:rsidR="00D70BB2" w:rsidRDefault="005632E9">
      <w:pPr>
        <w:bidi/>
        <w:spacing w:line="360" w:lineRule="auto"/>
        <w:jc w:val="both"/>
      </w:pPr>
      <w:r>
        <w:rPr>
          <w:b/>
          <w:bCs/>
          <w:rtl/>
        </w:rPr>
        <w:t>(د) مستوى تفسير النتائج:</w:t>
      </w:r>
      <w:r>
        <w:rPr>
          <w:rtl/>
        </w:rPr>
        <w:t xml:space="preserve"> تُفسَّر النتائج في ضوء النظرية؛ فإذا تحققت الفرضيات عُد ذلك دعمًا لقدرتها التفسيرية في السياق الإماراتي لدى الراشدين الشباب، وإذا لم تتحقق أو تحققت جزئيًا فُحص ذلك في ضوء خصوصية السياق (كقوة الضبط الأسري غير الرسمي في المجتمع الإماراتي، الذي قد يجعل أثر الدور المؤسسي إضافيًا ومحدودًا)، وفي ضوء انتقادات النظرية المذكورة آنفًا.</w:t>
      </w:r>
    </w:p>
    <w:p w:rsidR="00D70BB2" w:rsidRDefault="005632E9">
      <w:pPr>
        <w:keepNext/>
        <w:bidi/>
        <w:spacing w:before="160" w:after="80" w:line="360" w:lineRule="auto"/>
        <w:jc w:val="both"/>
      </w:pPr>
      <w:r>
        <w:rPr>
          <w:b/>
          <w:bCs/>
          <w:sz w:val="30"/>
          <w:szCs w:val="30"/>
          <w:rtl/>
        </w:rPr>
        <w:t xml:space="preserve">المطلب الثالث: نظرية التعلم الاجتماعي </w:t>
      </w:r>
      <w:r>
        <w:rPr>
          <w:b/>
          <w:bCs/>
          <w:sz w:val="30"/>
          <w:szCs w:val="30"/>
        </w:rPr>
        <w:t>(Social Learning Theory)</w:t>
      </w:r>
      <w:r>
        <w:rPr>
          <w:b/>
          <w:bCs/>
          <w:sz w:val="30"/>
          <w:szCs w:val="30"/>
          <w:rtl/>
        </w:rPr>
        <w:t xml:space="preserve"> – النظرية المساندة</w:t>
      </w:r>
    </w:p>
    <w:p w:rsidR="00D70BB2" w:rsidRDefault="005632E9">
      <w:pPr>
        <w:keepNext/>
        <w:bidi/>
        <w:spacing w:before="120" w:after="60" w:line="360" w:lineRule="auto"/>
        <w:jc w:val="both"/>
      </w:pPr>
      <w:r>
        <w:rPr>
          <w:b/>
          <w:bCs/>
          <w:rtl/>
        </w:rPr>
        <w:t>1. النشأة والمسلمات الأساسية</w:t>
      </w:r>
    </w:p>
    <w:p w:rsidR="00D70BB2" w:rsidRDefault="005632E9">
      <w:pPr>
        <w:bidi/>
        <w:spacing w:line="360" w:lineRule="auto"/>
        <w:jc w:val="both"/>
      </w:pPr>
      <w:r>
        <w:rPr>
          <w:rtl/>
        </w:rPr>
        <w:t xml:space="preserve">تمتد جذور النظرية إلى نظرية المخالطة الفارقة لسذرلاند </w:t>
      </w:r>
      <w:r>
        <w:t>(Sutherland, 1947)</w:t>
      </w:r>
      <w:r>
        <w:rPr>
          <w:rtl/>
        </w:rPr>
        <w:t xml:space="preserve"> التي ترى أن السلوك المنحرف يُتعلم في أثناء التفاعل مع الآخرين داخل الجماعات الأولية الحميمة، كما يُتعلم السلوك الممتثل. ثم طور ألبرت باندورا </w:t>
      </w:r>
      <w:r>
        <w:t>(Bandura, 1977a)</w:t>
      </w:r>
      <w:r>
        <w:rPr>
          <w:rtl/>
        </w:rPr>
        <w:t xml:space="preserve"> نظرية التعلم الاجتماعي في علم النفس الاجتماعي، مؤكدًا أن </w:t>
      </w:r>
      <w:r>
        <w:rPr>
          <w:rtl/>
        </w:rPr>
        <w:lastRenderedPageBreak/>
        <w:t xml:space="preserve">معظم السلوك الإنساني يُكتسب بالملاحظة والنمذجة، وأن هذا التعلم يمر بأربع عمليات: الانتباه إلى النموذج، والاحتفاظ بالسلوك الملاحَظ، وإعادة إنتاجه، والدافعية إلى أدائه بحسب ما يترتب عليه من نتائج. وأضاف باندورا مفهومي </w:t>
      </w:r>
      <w:r>
        <w:rPr>
          <w:b/>
          <w:bCs/>
          <w:rtl/>
        </w:rPr>
        <w:t>الحتمية التبادلية</w:t>
      </w:r>
      <w:r>
        <w:rPr>
          <w:rtl/>
        </w:rPr>
        <w:t xml:space="preserve"> بين الفرد والسلوك والبيئة، و</w:t>
      </w:r>
      <w:r>
        <w:rPr>
          <w:b/>
          <w:bCs/>
          <w:rtl/>
        </w:rPr>
        <w:t>الكفاءة الذاتية</w:t>
      </w:r>
      <w:r>
        <w:rPr>
          <w:rtl/>
        </w:rPr>
        <w:t xml:space="preserve"> </w:t>
      </w:r>
      <w:r>
        <w:t>(Bandura, 1977b; 1986)</w:t>
      </w:r>
      <w:r>
        <w:rPr>
          <w:rtl/>
        </w:rPr>
        <w:t xml:space="preserve"> أي اعتقاد الفرد بقدرته على أداء سلوك معين، ومنه القدرة على رفض الضغوط والتحكم في الانفعالات.</w:t>
      </w:r>
    </w:p>
    <w:p w:rsidR="00D70BB2" w:rsidRDefault="005632E9">
      <w:pPr>
        <w:bidi/>
        <w:spacing w:line="360" w:lineRule="auto"/>
        <w:jc w:val="both"/>
      </w:pPr>
      <w:r>
        <w:rPr>
          <w:rtl/>
        </w:rPr>
        <w:t xml:space="preserve">وفي علم اجتماع الانحراف، دمج رونالد أيكرز </w:t>
      </w:r>
      <w:r>
        <w:t>(Akers, 1998)</w:t>
      </w:r>
      <w:r>
        <w:rPr>
          <w:rtl/>
        </w:rPr>
        <w:t xml:space="preserve"> أفكار سذرلاند وباندورا في نظرية عامة للجريمة والانحراف، ترى أن احتمال السلوك المنحرف يزداد عندما يخالط الفرد آخرين يمارسونه ويؤيدونه، ويتبنى تعريفات مؤيدة له، ويتعرض لنماذج منحرفة، ويُعزَّز سلوكه المنحرف أكثر مما يُعاقَب.</w:t>
      </w:r>
    </w:p>
    <w:p w:rsidR="00D70BB2" w:rsidRDefault="005632E9">
      <w:pPr>
        <w:keepNext/>
        <w:bidi/>
        <w:spacing w:before="120" w:after="60" w:line="360" w:lineRule="auto"/>
        <w:jc w:val="both"/>
      </w:pPr>
      <w:r>
        <w:rPr>
          <w:b/>
          <w:bCs/>
          <w:rtl/>
        </w:rPr>
        <w:t>2. المفاهيم الأساسية للنظرية</w:t>
      </w:r>
    </w:p>
    <w:p w:rsidR="00D70BB2" w:rsidRDefault="005632E9">
      <w:pPr>
        <w:bidi/>
        <w:spacing w:line="360" w:lineRule="auto"/>
        <w:jc w:val="both"/>
      </w:pPr>
      <w:r>
        <w:rPr>
          <w:rtl/>
        </w:rPr>
        <w:t xml:space="preserve">حدد أيكرز </w:t>
      </w:r>
      <w:r>
        <w:t>(Akers, 1998; Akers &amp; Jensen, 2006)</w:t>
      </w:r>
      <w:r>
        <w:rPr>
          <w:rtl/>
        </w:rPr>
        <w:t xml:space="preserve"> أربع آليات رئيسة للتعلم الاجتماعي:</w:t>
      </w:r>
    </w:p>
    <w:p w:rsidR="00D70BB2" w:rsidRDefault="005632E9">
      <w:pPr>
        <w:pStyle w:val="ListParagraph"/>
        <w:numPr>
          <w:ilvl w:val="0"/>
          <w:numId w:val="12"/>
        </w:numPr>
        <w:bidi/>
        <w:spacing w:line="360" w:lineRule="auto"/>
        <w:jc w:val="both"/>
      </w:pPr>
      <w:r>
        <w:rPr>
          <w:b/>
          <w:bCs/>
          <w:rtl/>
        </w:rPr>
        <w:t xml:space="preserve">المخالطة الفارقة </w:t>
      </w:r>
      <w:r>
        <w:rPr>
          <w:b/>
          <w:bCs/>
        </w:rPr>
        <w:t>(Differential Association)</w:t>
      </w:r>
      <w:r>
        <w:rPr>
          <w:b/>
          <w:bCs/>
          <w:rtl/>
        </w:rPr>
        <w:t>:</w:t>
      </w:r>
      <w:r>
        <w:rPr>
          <w:rtl/>
        </w:rPr>
        <w:t xml:space="preserve"> التفاعل مع جماعات (الأسرة، والأقران، والمؤسسة) تختلف في معاييرها وسلوكها، ويكون أثرها أقوى كلما كان التفاعل أسبق وأطول وأكثر تكرارًا وأهمية.</w:t>
      </w:r>
    </w:p>
    <w:p w:rsidR="00D70BB2" w:rsidRDefault="005632E9">
      <w:pPr>
        <w:pStyle w:val="ListParagraph"/>
        <w:numPr>
          <w:ilvl w:val="0"/>
          <w:numId w:val="12"/>
        </w:numPr>
        <w:bidi/>
        <w:spacing w:line="360" w:lineRule="auto"/>
        <w:jc w:val="both"/>
      </w:pPr>
      <w:r>
        <w:rPr>
          <w:b/>
          <w:bCs/>
          <w:rtl/>
        </w:rPr>
        <w:t xml:space="preserve">التعريفات </w:t>
      </w:r>
      <w:r>
        <w:rPr>
          <w:b/>
          <w:bCs/>
        </w:rPr>
        <w:t>(Definitions)</w:t>
      </w:r>
      <w:r>
        <w:rPr>
          <w:b/>
          <w:bCs/>
          <w:rtl/>
        </w:rPr>
        <w:t>:</w:t>
      </w:r>
      <w:r>
        <w:rPr>
          <w:rtl/>
        </w:rPr>
        <w:t xml:space="preserve"> اتجاهات الفرد ومعانيه التي يضفيها على السلوك، أي تقييمه له بوصفه صحيحًا أو خاطئًا، مقبولًا أو مبررًا.</w:t>
      </w:r>
    </w:p>
    <w:p w:rsidR="00D70BB2" w:rsidRDefault="005632E9">
      <w:pPr>
        <w:pStyle w:val="ListParagraph"/>
        <w:numPr>
          <w:ilvl w:val="0"/>
          <w:numId w:val="12"/>
        </w:numPr>
        <w:bidi/>
        <w:spacing w:line="360" w:lineRule="auto"/>
        <w:jc w:val="both"/>
      </w:pPr>
      <w:r>
        <w:rPr>
          <w:b/>
          <w:bCs/>
          <w:rtl/>
        </w:rPr>
        <w:t xml:space="preserve">التعزيز الفارق </w:t>
      </w:r>
      <w:r>
        <w:rPr>
          <w:b/>
          <w:bCs/>
        </w:rPr>
        <w:t>(Differential Reinforcement)</w:t>
      </w:r>
      <w:r>
        <w:rPr>
          <w:b/>
          <w:bCs/>
          <w:rtl/>
        </w:rPr>
        <w:t>:</w:t>
      </w:r>
      <w:r>
        <w:rPr>
          <w:rtl/>
        </w:rPr>
        <w:t xml:space="preserve"> الموازنة بين المكافآت والعقوبات المتوقعة أو الفعلية المترتبة على السلوك.</w:t>
      </w:r>
    </w:p>
    <w:p w:rsidR="00D70BB2" w:rsidRDefault="005632E9">
      <w:pPr>
        <w:pStyle w:val="ListParagraph"/>
        <w:numPr>
          <w:ilvl w:val="0"/>
          <w:numId w:val="12"/>
        </w:numPr>
        <w:bidi/>
        <w:spacing w:line="360" w:lineRule="auto"/>
        <w:jc w:val="both"/>
      </w:pPr>
      <w:r>
        <w:rPr>
          <w:b/>
          <w:bCs/>
          <w:rtl/>
        </w:rPr>
        <w:lastRenderedPageBreak/>
        <w:t xml:space="preserve">التقليد </w:t>
      </w:r>
      <w:r>
        <w:rPr>
          <w:b/>
          <w:bCs/>
        </w:rPr>
        <w:t>(Imitation)</w:t>
      </w:r>
      <w:r>
        <w:rPr>
          <w:b/>
          <w:bCs/>
          <w:rtl/>
        </w:rPr>
        <w:t>:</w:t>
      </w:r>
      <w:r>
        <w:rPr>
          <w:rtl/>
        </w:rPr>
        <w:t xml:space="preserve"> محاكاة سلوك نماذج ملاحَظة، ويتأثر بخصائص النموذج ومكانته لدى الملاحِظ.</w:t>
      </w:r>
    </w:p>
    <w:p w:rsidR="00D70BB2" w:rsidRDefault="005632E9">
      <w:pPr>
        <w:keepNext/>
        <w:bidi/>
        <w:spacing w:before="120" w:after="60" w:line="360" w:lineRule="auto"/>
        <w:jc w:val="both"/>
      </w:pPr>
      <w:r>
        <w:rPr>
          <w:b/>
          <w:bCs/>
          <w:rtl/>
        </w:rPr>
        <w:t>3. الدعم الامبريقي والانتقادات</w:t>
      </w:r>
    </w:p>
    <w:p w:rsidR="00D70BB2" w:rsidRDefault="005632E9">
      <w:pPr>
        <w:bidi/>
        <w:spacing w:line="360" w:lineRule="auto"/>
        <w:jc w:val="both"/>
      </w:pPr>
      <w:r>
        <w:rPr>
          <w:rtl/>
        </w:rPr>
        <w:t xml:space="preserve">أظهر التحليل البعدي الذي أجراه برات وزملاؤه </w:t>
      </w:r>
      <w:r>
        <w:t>(Pratt et al., 2010)</w:t>
      </w:r>
      <w:r>
        <w:rPr>
          <w:rtl/>
        </w:rPr>
        <w:t xml:space="preserve"> أن الجريمة والانحراف يرتبطان بقوة بمتغيري المخالطة الفارقة والتعريفات (الاتجاهات المؤيدة للانحراف)، في حين كانت علاقتهما بالتعزيز الفارق والتقليد متواضعة. وتفيد الدراسة من هذه النتيجة في توجيه تفسيرها؛ إذ يُتوقع أن يكون أثر البعد التوعوي (المستهدف للتعريفات) وأثر المشاركة في البرامج (المستهدفة للمخالطة) أوضح من غيرهما.</w:t>
      </w:r>
    </w:p>
    <w:p w:rsidR="00D70BB2" w:rsidRDefault="005632E9">
      <w:pPr>
        <w:bidi/>
        <w:spacing w:line="360" w:lineRule="auto"/>
        <w:jc w:val="both"/>
      </w:pPr>
      <w:r>
        <w:rPr>
          <w:rtl/>
        </w:rPr>
        <w:t>ومن أبرز ما وُجه إلى النظرية من نقد: صعوبة تحديد الاتجاه السببي بين مخالطة الأقران المنحرفين والانحراف (هل يخالط الفرد المنحرفين فينحرف، أم ينحرف فيختار مخالطتهم؟)، وإغفالها – في صياغتها الأولى – للفروق الفردية في الاستعداد للتعلم. وتراعي الدراسة الحالية ذلك بعدم ادعاء علاقة سببية من بيانات مقطعية، والاقتصار على اختبار العلاقات الارتباطية والتنبؤية (ف1–ف3) وتفسيرها في ضوء النظريتين معًا.</w:t>
      </w:r>
    </w:p>
    <w:p w:rsidR="00D70BB2" w:rsidRDefault="005632E9">
      <w:pPr>
        <w:keepNext/>
        <w:bidi/>
        <w:spacing w:before="120" w:after="60" w:line="360" w:lineRule="auto"/>
        <w:jc w:val="both"/>
      </w:pPr>
      <w:r>
        <w:rPr>
          <w:b/>
          <w:bCs/>
          <w:rtl/>
        </w:rPr>
        <w:t>4. توظيف نظرية التعلم الاجتماعي في الدراسة الحالية</w:t>
      </w:r>
    </w:p>
    <w:p w:rsidR="00D70BB2" w:rsidRDefault="005632E9">
      <w:pPr>
        <w:keepNext/>
        <w:bidi/>
        <w:spacing w:before="120" w:after="60" w:line="360" w:lineRule="auto"/>
        <w:jc w:val="center"/>
      </w:pPr>
      <w:r>
        <w:rPr>
          <w:b/>
          <w:bCs/>
          <w:rtl/>
        </w:rPr>
        <w:t>جدول (5): توظيف مفاهيم نظرية التعلم الاجتماعي في أبعاد الدور الوقائي للأخصائي الاجتماعي</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3400"/>
        <w:gridCol w:w="3960"/>
      </w:tblGrid>
      <w:tr w:rsidR="00D70BB2">
        <w:trPr>
          <w:cantSplit/>
          <w:tblHeader/>
          <w:jc w:val="center"/>
        </w:trPr>
        <w:tc>
          <w:tcPr>
            <w:tcW w:w="2000" w:type="dxa"/>
            <w:shd w:val="clear" w:color="auto" w:fill="D9E2F3"/>
          </w:tcPr>
          <w:p w:rsidR="00D70BB2" w:rsidRDefault="005632E9" w:rsidP="00C102DF">
            <w:pPr>
              <w:bidi/>
              <w:spacing w:after="0" w:line="240" w:lineRule="auto"/>
              <w:jc w:val="center"/>
            </w:pPr>
            <w:r>
              <w:rPr>
                <w:b/>
                <w:bCs/>
                <w:sz w:val="22"/>
                <w:szCs w:val="22"/>
                <w:rtl/>
              </w:rPr>
              <w:t>مفهوم النظرية</w:t>
            </w:r>
          </w:p>
        </w:tc>
        <w:tc>
          <w:tcPr>
            <w:tcW w:w="3400" w:type="dxa"/>
            <w:shd w:val="clear" w:color="auto" w:fill="D9E2F3"/>
          </w:tcPr>
          <w:p w:rsidR="00D70BB2" w:rsidRDefault="005632E9" w:rsidP="00C102DF">
            <w:pPr>
              <w:bidi/>
              <w:spacing w:after="0" w:line="240" w:lineRule="auto"/>
              <w:jc w:val="center"/>
            </w:pPr>
            <w:r>
              <w:rPr>
                <w:b/>
                <w:bCs/>
                <w:sz w:val="22"/>
                <w:szCs w:val="22"/>
                <w:rtl/>
              </w:rPr>
              <w:t>بعد الدور الوقائي المقابل</w:t>
            </w:r>
          </w:p>
        </w:tc>
        <w:tc>
          <w:tcPr>
            <w:tcW w:w="3960" w:type="dxa"/>
            <w:shd w:val="clear" w:color="auto" w:fill="D9E2F3"/>
          </w:tcPr>
          <w:p w:rsidR="00D70BB2" w:rsidRDefault="005632E9" w:rsidP="00C102DF">
            <w:pPr>
              <w:bidi/>
              <w:spacing w:after="0" w:line="240" w:lineRule="auto"/>
              <w:jc w:val="center"/>
            </w:pPr>
            <w:r>
              <w:rPr>
                <w:b/>
                <w:bCs/>
                <w:sz w:val="22"/>
                <w:szCs w:val="22"/>
                <w:rtl/>
              </w:rPr>
              <w:t>الآلية المفترضة للحد من السلوك المنحرف</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التعريفات</w:t>
            </w:r>
          </w:p>
        </w:tc>
        <w:tc>
          <w:tcPr>
            <w:tcW w:w="3400" w:type="dxa"/>
          </w:tcPr>
          <w:p w:rsidR="00D70BB2" w:rsidRDefault="005632E9" w:rsidP="00C102DF">
            <w:pPr>
              <w:bidi/>
              <w:spacing w:after="0" w:line="240" w:lineRule="auto"/>
              <w:jc w:val="center"/>
            </w:pPr>
            <w:r>
              <w:rPr>
                <w:sz w:val="22"/>
                <w:szCs w:val="22"/>
                <w:rtl/>
              </w:rPr>
              <w:t>البعد التوعوي</w:t>
            </w:r>
          </w:p>
        </w:tc>
        <w:tc>
          <w:tcPr>
            <w:tcW w:w="3960" w:type="dxa"/>
          </w:tcPr>
          <w:p w:rsidR="00D70BB2" w:rsidRDefault="005632E9" w:rsidP="00C102DF">
            <w:pPr>
              <w:bidi/>
              <w:spacing w:after="0" w:line="240" w:lineRule="auto"/>
              <w:jc w:val="center"/>
            </w:pPr>
            <w:r>
              <w:rPr>
                <w:sz w:val="22"/>
                <w:szCs w:val="22"/>
                <w:rtl/>
              </w:rPr>
              <w:t>تعديل التعريفات المؤيدة للتعاطي والعنف والتنمر (مثل: «المدواخ لا يضر»، «التنمر الإلكتروني مزاح») وإحلال تعريفات رافضة لها</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المخالطة الفارقة</w:t>
            </w:r>
          </w:p>
        </w:tc>
        <w:tc>
          <w:tcPr>
            <w:tcW w:w="3400" w:type="dxa"/>
          </w:tcPr>
          <w:p w:rsidR="00D70BB2" w:rsidRDefault="005632E9" w:rsidP="00C102DF">
            <w:pPr>
              <w:bidi/>
              <w:spacing w:after="0" w:line="240" w:lineRule="auto"/>
              <w:jc w:val="center"/>
            </w:pPr>
            <w:r>
              <w:rPr>
                <w:sz w:val="22"/>
                <w:szCs w:val="22"/>
                <w:rtl/>
              </w:rPr>
              <w:t>مستوى المشاركة في البرامج الوقائية؛ والشراكة مع الأسرة والمجتمع</w:t>
            </w:r>
          </w:p>
        </w:tc>
        <w:tc>
          <w:tcPr>
            <w:tcW w:w="3960" w:type="dxa"/>
          </w:tcPr>
          <w:p w:rsidR="00D70BB2" w:rsidRDefault="005632E9" w:rsidP="00C102DF">
            <w:pPr>
              <w:bidi/>
              <w:spacing w:after="0" w:line="240" w:lineRule="auto"/>
              <w:jc w:val="center"/>
            </w:pPr>
            <w:r>
              <w:rPr>
                <w:sz w:val="22"/>
                <w:szCs w:val="22"/>
                <w:rtl/>
              </w:rPr>
              <w:t>توسيع شبكة الشاب بأقران وراشدين ممتثلين، وتقليص التعرض لجماعات الأقران المنحرفة</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lastRenderedPageBreak/>
              <w:t>التعزيز الفارق</w:t>
            </w:r>
          </w:p>
        </w:tc>
        <w:tc>
          <w:tcPr>
            <w:tcW w:w="3400" w:type="dxa"/>
          </w:tcPr>
          <w:p w:rsidR="00D70BB2" w:rsidRDefault="005632E9" w:rsidP="00C102DF">
            <w:pPr>
              <w:bidi/>
              <w:spacing w:after="0" w:line="240" w:lineRule="auto"/>
              <w:jc w:val="center"/>
            </w:pPr>
            <w:r>
              <w:rPr>
                <w:sz w:val="22"/>
                <w:szCs w:val="22"/>
                <w:rtl/>
              </w:rPr>
              <w:t>البعد الإرشادي؛ والاكتشاف المبكر والإحالة</w:t>
            </w:r>
          </w:p>
        </w:tc>
        <w:tc>
          <w:tcPr>
            <w:tcW w:w="3960" w:type="dxa"/>
          </w:tcPr>
          <w:p w:rsidR="00D70BB2" w:rsidRDefault="005632E9" w:rsidP="00C102DF">
            <w:pPr>
              <w:bidi/>
              <w:spacing w:after="0" w:line="240" w:lineRule="auto"/>
              <w:jc w:val="center"/>
            </w:pPr>
            <w:r>
              <w:rPr>
                <w:sz w:val="22"/>
                <w:szCs w:val="22"/>
                <w:rtl/>
              </w:rPr>
              <w:t>تعزيز السلوك الإيجابي بالتقدير والمتابعة، وجعل عواقب السلوك المنحرف مدركة مبكرًا</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التقليد والنمذجة</w:t>
            </w:r>
          </w:p>
        </w:tc>
        <w:tc>
          <w:tcPr>
            <w:tcW w:w="3400" w:type="dxa"/>
          </w:tcPr>
          <w:p w:rsidR="00D70BB2" w:rsidRDefault="005632E9" w:rsidP="00C102DF">
            <w:pPr>
              <w:bidi/>
              <w:spacing w:after="0" w:line="240" w:lineRule="auto"/>
              <w:jc w:val="center"/>
            </w:pPr>
            <w:r>
              <w:rPr>
                <w:sz w:val="22"/>
                <w:szCs w:val="22"/>
                <w:rtl/>
              </w:rPr>
              <w:t>البعد التوعوي والإرشادي</w:t>
            </w:r>
          </w:p>
        </w:tc>
        <w:tc>
          <w:tcPr>
            <w:tcW w:w="3960" w:type="dxa"/>
          </w:tcPr>
          <w:p w:rsidR="00D70BB2" w:rsidRDefault="005632E9" w:rsidP="00C102DF">
            <w:pPr>
              <w:bidi/>
              <w:spacing w:after="0" w:line="240" w:lineRule="auto"/>
              <w:jc w:val="center"/>
            </w:pPr>
            <w:r>
              <w:rPr>
                <w:sz w:val="22"/>
                <w:szCs w:val="22"/>
                <w:rtl/>
              </w:rPr>
              <w:t>تقديم الأخصائي الاجتماعي والأقران القادة نماذج سلوكية إيجابية</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الكفاءة الذاتية (باندورا)</w:t>
            </w:r>
          </w:p>
        </w:tc>
        <w:tc>
          <w:tcPr>
            <w:tcW w:w="3400" w:type="dxa"/>
          </w:tcPr>
          <w:p w:rsidR="00D70BB2" w:rsidRDefault="005632E9" w:rsidP="00C102DF">
            <w:pPr>
              <w:bidi/>
              <w:spacing w:after="0" w:line="240" w:lineRule="auto"/>
              <w:jc w:val="center"/>
            </w:pPr>
            <w:r>
              <w:rPr>
                <w:sz w:val="22"/>
                <w:szCs w:val="22"/>
                <w:rtl/>
              </w:rPr>
              <w:t>البعد الإرشادي</w:t>
            </w:r>
          </w:p>
        </w:tc>
        <w:tc>
          <w:tcPr>
            <w:tcW w:w="3960" w:type="dxa"/>
          </w:tcPr>
          <w:p w:rsidR="00D70BB2" w:rsidRDefault="005632E9" w:rsidP="00C102DF">
            <w:pPr>
              <w:bidi/>
              <w:spacing w:after="0" w:line="240" w:lineRule="auto"/>
              <w:jc w:val="center"/>
            </w:pPr>
            <w:r>
              <w:rPr>
                <w:sz w:val="22"/>
                <w:szCs w:val="22"/>
                <w:rtl/>
              </w:rPr>
              <w:t>تنمية مهارات حل المشكلات وضبط الانفعال ورفض ضغط الأقران</w:t>
            </w:r>
          </w:p>
        </w:tc>
      </w:tr>
    </w:tbl>
    <w:p w:rsidR="00D70BB2" w:rsidRDefault="00D70BB2">
      <w:pPr>
        <w:bidi/>
        <w:spacing w:after="0" w:line="360" w:lineRule="auto"/>
        <w:jc w:val="both"/>
      </w:pPr>
    </w:p>
    <w:p w:rsidR="00D70BB2" w:rsidRDefault="005632E9">
      <w:pPr>
        <w:bidi/>
        <w:spacing w:line="360" w:lineRule="auto"/>
        <w:jc w:val="both"/>
      </w:pPr>
      <w:r>
        <w:rPr>
          <w:rtl/>
        </w:rPr>
        <w:t xml:space="preserve">وتُوظف النظرية في </w:t>
      </w:r>
      <w:r>
        <w:rPr>
          <w:b/>
          <w:bCs/>
          <w:rtl/>
        </w:rPr>
        <w:t>تفسير الفرضية الثانية (ف2)</w:t>
      </w:r>
      <w:r>
        <w:rPr>
          <w:rtl/>
        </w:rPr>
        <w:t xml:space="preserve"> من زاوية مكملة لنظرية الروابط؛ فالمشاركة في البرامج الوقائية لا تشغل وقت الشاب فحسب (الانخراط عند هيرشي)، بل تعرضه أيضًا لجماعة أقران وراشدين ذوي تعريفات رافضة للانحراف (المخالطة الفارقة عند أيكرز). كما تفسر النظرية جانبًا من </w:t>
      </w:r>
      <w:r>
        <w:rPr>
          <w:b/>
          <w:bCs/>
          <w:rtl/>
        </w:rPr>
        <w:t>الفروق المتوقعة بحسب الجنس (ف4)</w:t>
      </w:r>
      <w:r>
        <w:rPr>
          <w:rtl/>
        </w:rPr>
        <w:t xml:space="preserve">؛ إذ تختلف فرص المخالطة وأنماط التعزيز الاجتماعي للسلوك بين الذكور والإناث في المجتمع الإماراتي، ويتسق ذلك مع ما رصدته الدراسات المحلية من ارتفاع التدخين لدى الذكور الجامعيين بصورة كبيرة مقارنة بالإناث </w:t>
      </w:r>
      <w:r>
        <w:t>(Ahmed et al., 2021)</w:t>
      </w:r>
      <w:r>
        <w:rPr>
          <w:rtl/>
        </w:rPr>
        <w:t xml:space="preserve">. وتُوظف كذلك في </w:t>
      </w:r>
      <w:r>
        <w:rPr>
          <w:b/>
          <w:bCs/>
          <w:rtl/>
        </w:rPr>
        <w:t>بناء فقرات مقياس السلوكيات المنحرفة</w:t>
      </w:r>
      <w:r>
        <w:rPr>
          <w:rtl/>
        </w:rPr>
        <w:t xml:space="preserve"> ومحور الأسئلة المفتوحة، بحيث تُرصد مصادر تعلم السلوك (الأقران، ووسائل التواصل) بوصفها بيانات تفسيرية مساندة.</w:t>
      </w:r>
    </w:p>
    <w:p w:rsidR="00D70BB2" w:rsidRDefault="005632E9">
      <w:pPr>
        <w:keepNext/>
        <w:bidi/>
        <w:spacing w:before="160" w:after="80" w:line="360" w:lineRule="auto"/>
        <w:jc w:val="both"/>
      </w:pPr>
      <w:r>
        <w:rPr>
          <w:b/>
          <w:bCs/>
          <w:sz w:val="30"/>
          <w:szCs w:val="30"/>
          <w:rtl/>
        </w:rPr>
        <w:t>المطلب الرابع: التكامل بين النظريتين والنموذج النظري للدراسة</w:t>
      </w:r>
    </w:p>
    <w:p w:rsidR="00D70BB2" w:rsidRDefault="005632E9">
      <w:pPr>
        <w:keepNext/>
        <w:bidi/>
        <w:spacing w:before="120" w:after="60" w:line="360" w:lineRule="auto"/>
        <w:jc w:val="both"/>
      </w:pPr>
      <w:r>
        <w:rPr>
          <w:b/>
          <w:bCs/>
          <w:rtl/>
        </w:rPr>
        <w:t>1. أساس التكامل: نموذج التنمية الاجتماعية</w:t>
      </w:r>
    </w:p>
    <w:p w:rsidR="00D70BB2" w:rsidRDefault="005632E9">
      <w:pPr>
        <w:bidi/>
        <w:spacing w:line="360" w:lineRule="auto"/>
        <w:jc w:val="both"/>
      </w:pPr>
      <w:r>
        <w:rPr>
          <w:rtl/>
        </w:rPr>
        <w:t xml:space="preserve">لا تجمع الدراسة بين النظريتين جمعًا تراكميًا، بل تستند في الربط بينهما إلى نموذج التنمية الاجتماعية </w:t>
      </w:r>
      <w:r>
        <w:t>(Social Development Model)</w:t>
      </w:r>
      <w:r>
        <w:rPr>
          <w:rtl/>
        </w:rPr>
        <w:t xml:space="preserve"> الذي قدمه كاتالانو وهوكنز </w:t>
      </w:r>
      <w:r>
        <w:t>(Catalano &amp; Hawkins, 1996)</w:t>
      </w:r>
      <w:r>
        <w:rPr>
          <w:rtl/>
        </w:rPr>
        <w:t xml:space="preserve">، </w:t>
      </w:r>
      <w:r>
        <w:rPr>
          <w:rtl/>
        </w:rPr>
        <w:lastRenderedPageBreak/>
        <w:t xml:space="preserve">وهو نموذج تكاملي يدمج نظرية الضبط الاجتماعي ونظرية التعلم الاجتماعي ونظرية المخالطة الفارقة، على غرار المحاولات التكاملية السابقة </w:t>
      </w:r>
      <w:r>
        <w:t>(Elliott et al., 1985)</w:t>
      </w:r>
      <w:r>
        <w:rPr>
          <w:rtl/>
        </w:rPr>
        <w:t xml:space="preserve">. ويقوم النموذج على أن </w:t>
      </w:r>
      <w:r>
        <w:rPr>
          <w:b/>
          <w:bCs/>
          <w:rtl/>
        </w:rPr>
        <w:t>الرابطة الاجتماعية تتكون من خلال عمليات تعلم</w:t>
      </w:r>
      <w:r>
        <w:rPr>
          <w:rtl/>
        </w:rPr>
        <w:t>، وأن تكوّنها مع جماعة ممتثلة يتطلب ثلاثة شروط:</w:t>
      </w:r>
    </w:p>
    <w:p w:rsidR="00D70BB2" w:rsidRDefault="005632E9">
      <w:pPr>
        <w:pStyle w:val="ListParagraph"/>
        <w:numPr>
          <w:ilvl w:val="0"/>
          <w:numId w:val="12"/>
        </w:numPr>
        <w:bidi/>
        <w:spacing w:line="360" w:lineRule="auto"/>
        <w:jc w:val="both"/>
      </w:pPr>
      <w:r>
        <w:rPr>
          <w:b/>
          <w:bCs/>
          <w:rtl/>
        </w:rPr>
        <w:t>إتاحة فرص</w:t>
      </w:r>
      <w:r>
        <w:rPr>
          <w:rtl/>
        </w:rPr>
        <w:t xml:space="preserve"> المشاركة والتفاعل الإيجابي مع الأسرة والمؤسسة والأقران.</w:t>
      </w:r>
    </w:p>
    <w:p w:rsidR="00D70BB2" w:rsidRDefault="005632E9">
      <w:pPr>
        <w:pStyle w:val="ListParagraph"/>
        <w:numPr>
          <w:ilvl w:val="0"/>
          <w:numId w:val="12"/>
        </w:numPr>
        <w:bidi/>
        <w:spacing w:line="360" w:lineRule="auto"/>
        <w:jc w:val="both"/>
      </w:pPr>
      <w:r>
        <w:rPr>
          <w:b/>
          <w:bCs/>
          <w:rtl/>
        </w:rPr>
        <w:t>امتلاك المهارات</w:t>
      </w:r>
      <w:r>
        <w:rPr>
          <w:rtl/>
        </w:rPr>
        <w:t xml:space="preserve"> اللازمة للنجاح في هذه المشاركة.</w:t>
      </w:r>
    </w:p>
    <w:p w:rsidR="00D70BB2" w:rsidRDefault="005632E9">
      <w:pPr>
        <w:pStyle w:val="ListParagraph"/>
        <w:numPr>
          <w:ilvl w:val="0"/>
          <w:numId w:val="12"/>
        </w:numPr>
        <w:bidi/>
        <w:spacing w:line="360" w:lineRule="auto"/>
        <w:jc w:val="both"/>
      </w:pPr>
      <w:r>
        <w:rPr>
          <w:b/>
          <w:bCs/>
          <w:rtl/>
        </w:rPr>
        <w:t>التعزيز والتقدير</w:t>
      </w:r>
      <w:r>
        <w:rPr>
          <w:rtl/>
        </w:rPr>
        <w:t xml:space="preserve"> الذي يتلقاه الفرد على مشاركته.</w:t>
      </w:r>
    </w:p>
    <w:p w:rsidR="00D70BB2" w:rsidRDefault="005632E9">
      <w:pPr>
        <w:bidi/>
        <w:spacing w:line="360" w:lineRule="auto"/>
        <w:jc w:val="both"/>
      </w:pPr>
      <w:r>
        <w:rPr>
          <w:rtl/>
        </w:rPr>
        <w:t xml:space="preserve">فإذا توافرت هذه الشروط تكونت رابطة (تعلق والتزام) بالجماعة الممتثلة، وترسخ الاعتقاد بمعاييرها، فانخفض احتمال الانحراف. وإذا كانت الفرص والتعزيز متاحة مع جماعة منحرفة تكونت الرابطة معها وتعلم الفرد سلوكها. وبهذا يعالج النموذج الخلاف بين هيرشي وأيكرز حول الأقران: فالمهم ليس قوة الرابطة وحدها، بل </w:t>
      </w:r>
      <w:r>
        <w:rPr>
          <w:b/>
          <w:bCs/>
          <w:rtl/>
        </w:rPr>
        <w:t>قوة الرابطة ونوع الجماعة التي يرتبط بها الفرد معًا</w:t>
      </w:r>
      <w:r>
        <w:rPr>
          <w:rtl/>
        </w:rPr>
        <w:t xml:space="preserve">. وقد اتخذ هذا النموذج أساسًا نظريًا لنظام «المجتمعات التي تهتم» </w:t>
      </w:r>
      <w:r>
        <w:t>(Communities That Care)</w:t>
      </w:r>
      <w:r>
        <w:rPr>
          <w:rtl/>
        </w:rPr>
        <w:t xml:space="preserve"> الذي أثبتت تجربة عشوائية على مستوى المجتمعات المحلية أثره في خفض بدء التعاطي والجنوح والعنف لدى المراهقين </w:t>
      </w:r>
      <w:r>
        <w:t>(Hawkins et al., 2014)</w:t>
      </w:r>
      <w:r>
        <w:rPr>
          <w:rtl/>
        </w:rPr>
        <w:t>.</w:t>
      </w:r>
    </w:p>
    <w:p w:rsidR="00D70BB2" w:rsidRDefault="005632E9">
      <w:pPr>
        <w:bidi/>
        <w:spacing w:line="360" w:lineRule="auto"/>
        <w:jc w:val="both"/>
      </w:pPr>
      <w:r>
        <w:rPr>
          <w:rtl/>
        </w:rPr>
        <w:t xml:space="preserve">ويتيح النموذج قراءة أبعاد الدور الوقائي للأخصائي الاجتماعي بوصفها أدوات لتحقيق شروط تكوّن الرابطة: فالمشاركة في البرامج الوقائية </w:t>
      </w:r>
      <w:r>
        <w:rPr>
          <w:b/>
          <w:bCs/>
          <w:rtl/>
        </w:rPr>
        <w:t>تتيح الفرص</w:t>
      </w:r>
      <w:r>
        <w:rPr>
          <w:rtl/>
        </w:rPr>
        <w:t xml:space="preserve">، والبعد الإرشادي </w:t>
      </w:r>
      <w:r>
        <w:rPr>
          <w:b/>
          <w:bCs/>
          <w:rtl/>
        </w:rPr>
        <w:t>ينمي المهارات</w:t>
      </w:r>
      <w:r>
        <w:rPr>
          <w:rtl/>
        </w:rPr>
        <w:t xml:space="preserve">، والشراكة مع الأسرة والمجتمع والاكتشاف المبكر </w:t>
      </w:r>
      <w:r>
        <w:rPr>
          <w:b/>
          <w:bCs/>
          <w:rtl/>
        </w:rPr>
        <w:t>يوفران التعزيز والمتابعة</w:t>
      </w:r>
      <w:r>
        <w:rPr>
          <w:rtl/>
        </w:rPr>
        <w:t xml:space="preserve">، والبعد التوعوي </w:t>
      </w:r>
      <w:r>
        <w:rPr>
          <w:b/>
          <w:bCs/>
          <w:rtl/>
        </w:rPr>
        <w:t>يرسخ الاعتقاد والتعريفات الرافضة للانحراف</w:t>
      </w:r>
      <w:r>
        <w:rPr>
          <w:rtl/>
        </w:rPr>
        <w:t>.</w:t>
      </w:r>
    </w:p>
    <w:p w:rsidR="00D70BB2" w:rsidRDefault="005632E9">
      <w:pPr>
        <w:keepNext/>
        <w:bidi/>
        <w:spacing w:before="120" w:after="60" w:line="360" w:lineRule="auto"/>
        <w:jc w:val="both"/>
      </w:pPr>
      <w:r>
        <w:rPr>
          <w:b/>
          <w:bCs/>
          <w:rtl/>
        </w:rPr>
        <w:lastRenderedPageBreak/>
        <w:t>2. الدور الوقائي في ضوء مستويات الوقاية</w:t>
      </w:r>
    </w:p>
    <w:p w:rsidR="00D70BB2" w:rsidRDefault="005632E9">
      <w:pPr>
        <w:bidi/>
        <w:spacing w:line="360" w:lineRule="auto"/>
        <w:jc w:val="both"/>
      </w:pPr>
      <w:r>
        <w:rPr>
          <w:rtl/>
        </w:rPr>
        <w:t xml:space="preserve">يُكمل التصنيف العملي للوقاية الذي قدمه جوردون </w:t>
      </w:r>
      <w:r>
        <w:t>(Gordon, 1983)</w:t>
      </w:r>
      <w:r>
        <w:rPr>
          <w:rtl/>
        </w:rPr>
        <w:t xml:space="preserve"> الإطار النظري بتحديد الفئة المستهدفة بكل بعد؛ إذ تستهدف </w:t>
      </w:r>
      <w:r>
        <w:rPr>
          <w:b/>
          <w:bCs/>
          <w:rtl/>
        </w:rPr>
        <w:t>الوقاية الشاملة</w:t>
      </w:r>
      <w:r>
        <w:rPr>
          <w:rtl/>
        </w:rPr>
        <w:t xml:space="preserve"> جميع الشباب دون تمييز (ويقابلها البعد التوعوي)، وتستهدف </w:t>
      </w:r>
      <w:r>
        <w:rPr>
          <w:b/>
          <w:bCs/>
          <w:rtl/>
        </w:rPr>
        <w:t>الوقاية الانتقائية</w:t>
      </w:r>
      <w:r>
        <w:rPr>
          <w:rtl/>
        </w:rPr>
        <w:t xml:space="preserve"> الفئات الأعلى خطرًا (ويقابلها البعد الإرشادي الجماعي والفردي)، وتستهدف </w:t>
      </w:r>
      <w:r>
        <w:rPr>
          <w:b/>
          <w:bCs/>
          <w:rtl/>
        </w:rPr>
        <w:t>الوقاية المحددة</w:t>
      </w:r>
      <w:r>
        <w:rPr>
          <w:rtl/>
        </w:rPr>
        <w:t xml:space="preserve"> من ظهرت لديهم مؤشرات أولية للسلوك (ويقابلها بعد الاكتشاف المبكر والإحالة)، في حين يمثل بعد الشراكة مع الأسرة والمجتمع بعدًا عابرًا للمستويات الثلاثة. ويضمن هذا الربط أن أبعاد المتغير المستقل الأربعة تغطي سلسلة الوقاية كاملة، لا جانبًا واحدًا منها.</w:t>
      </w:r>
    </w:p>
    <w:p w:rsidR="00D70BB2" w:rsidRDefault="005632E9">
      <w:pPr>
        <w:keepNext/>
        <w:bidi/>
        <w:spacing w:before="120" w:after="60" w:line="360" w:lineRule="auto"/>
        <w:jc w:val="both"/>
      </w:pPr>
      <w:r>
        <w:rPr>
          <w:b/>
          <w:bCs/>
          <w:rtl/>
        </w:rPr>
        <w:t>3. النموذج النظري للدراسة</w:t>
      </w:r>
    </w:p>
    <w:p w:rsidR="00D70BB2" w:rsidRDefault="005632E9">
      <w:pPr>
        <w:bidi/>
        <w:spacing w:line="360" w:lineRule="auto"/>
        <w:jc w:val="both"/>
      </w:pPr>
      <w:r>
        <w:rPr>
          <w:rtl/>
        </w:rPr>
        <w:t>يلخص الجدول (6) النموذج النظري المتكامل للدراسة، ويبين الأساس النظري لكل فرضية.</w:t>
      </w:r>
    </w:p>
    <w:p w:rsidR="00D70BB2" w:rsidRDefault="005632E9">
      <w:pPr>
        <w:keepNext/>
        <w:bidi/>
        <w:spacing w:before="120" w:after="60" w:line="360" w:lineRule="auto"/>
        <w:jc w:val="center"/>
      </w:pPr>
      <w:r>
        <w:rPr>
          <w:b/>
          <w:bCs/>
          <w:rtl/>
        </w:rPr>
        <w:t>جدول (6): الأساس النظري لفرضيات الدراسة</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500"/>
        <w:gridCol w:w="2600"/>
        <w:gridCol w:w="2600"/>
        <w:gridCol w:w="2660"/>
      </w:tblGrid>
      <w:tr w:rsidR="00D70BB2">
        <w:trPr>
          <w:cantSplit/>
          <w:tblHeader/>
          <w:jc w:val="center"/>
        </w:trPr>
        <w:tc>
          <w:tcPr>
            <w:tcW w:w="1500" w:type="dxa"/>
            <w:shd w:val="clear" w:color="auto" w:fill="D9E2F3"/>
          </w:tcPr>
          <w:p w:rsidR="00D70BB2" w:rsidRDefault="005632E9" w:rsidP="00C102DF">
            <w:pPr>
              <w:bidi/>
              <w:spacing w:after="0" w:line="240" w:lineRule="auto"/>
              <w:jc w:val="center"/>
            </w:pPr>
            <w:r>
              <w:rPr>
                <w:b/>
                <w:bCs/>
                <w:sz w:val="22"/>
                <w:szCs w:val="22"/>
                <w:rtl/>
              </w:rPr>
              <w:t>الفرضية</w:t>
            </w:r>
          </w:p>
        </w:tc>
        <w:tc>
          <w:tcPr>
            <w:tcW w:w="2600" w:type="dxa"/>
            <w:shd w:val="clear" w:color="auto" w:fill="D9E2F3"/>
          </w:tcPr>
          <w:p w:rsidR="00D70BB2" w:rsidRDefault="005632E9" w:rsidP="00C102DF">
            <w:pPr>
              <w:bidi/>
              <w:spacing w:after="0" w:line="240" w:lineRule="auto"/>
              <w:jc w:val="center"/>
            </w:pPr>
            <w:r>
              <w:rPr>
                <w:b/>
                <w:bCs/>
                <w:sz w:val="22"/>
                <w:szCs w:val="22"/>
                <w:rtl/>
              </w:rPr>
              <w:t>العلاقة المختبرة</w:t>
            </w:r>
          </w:p>
        </w:tc>
        <w:tc>
          <w:tcPr>
            <w:tcW w:w="2600" w:type="dxa"/>
            <w:shd w:val="clear" w:color="auto" w:fill="D9E2F3"/>
          </w:tcPr>
          <w:p w:rsidR="00D70BB2" w:rsidRDefault="005632E9" w:rsidP="00C102DF">
            <w:pPr>
              <w:bidi/>
              <w:spacing w:after="0" w:line="240" w:lineRule="auto"/>
              <w:jc w:val="center"/>
            </w:pPr>
            <w:r>
              <w:rPr>
                <w:b/>
                <w:bCs/>
                <w:sz w:val="22"/>
                <w:szCs w:val="22"/>
                <w:rtl/>
              </w:rPr>
              <w:t>الأساس في نظرية الروابط الاجتماعية</w:t>
            </w:r>
          </w:p>
        </w:tc>
        <w:tc>
          <w:tcPr>
            <w:tcW w:w="2660" w:type="dxa"/>
            <w:shd w:val="clear" w:color="auto" w:fill="D9E2F3"/>
          </w:tcPr>
          <w:p w:rsidR="00D70BB2" w:rsidRDefault="005632E9" w:rsidP="00C102DF">
            <w:pPr>
              <w:bidi/>
              <w:spacing w:after="0" w:line="240" w:lineRule="auto"/>
              <w:jc w:val="center"/>
            </w:pPr>
            <w:r>
              <w:rPr>
                <w:b/>
                <w:bCs/>
                <w:sz w:val="22"/>
                <w:szCs w:val="22"/>
                <w:rtl/>
              </w:rPr>
              <w:t>الأساس في نظرية التعلم الاجتماعي</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t>ف1</w:t>
            </w:r>
          </w:p>
        </w:tc>
        <w:tc>
          <w:tcPr>
            <w:tcW w:w="2600" w:type="dxa"/>
          </w:tcPr>
          <w:p w:rsidR="00D70BB2" w:rsidRDefault="005632E9" w:rsidP="00C102DF">
            <w:pPr>
              <w:bidi/>
              <w:spacing w:after="0" w:line="240" w:lineRule="auto"/>
              <w:jc w:val="center"/>
            </w:pPr>
            <w:r>
              <w:rPr>
                <w:sz w:val="22"/>
                <w:szCs w:val="22"/>
                <w:rtl/>
              </w:rPr>
              <w:t>فاعلية الدور الوقائي ← (عكسية) ← السلوك المنحرف</w:t>
            </w:r>
          </w:p>
        </w:tc>
        <w:tc>
          <w:tcPr>
            <w:tcW w:w="2600" w:type="dxa"/>
          </w:tcPr>
          <w:p w:rsidR="00D70BB2" w:rsidRDefault="005632E9" w:rsidP="00C102DF">
            <w:pPr>
              <w:bidi/>
              <w:spacing w:after="0" w:line="240" w:lineRule="auto"/>
              <w:jc w:val="center"/>
            </w:pPr>
            <w:r>
              <w:rPr>
                <w:sz w:val="22"/>
                <w:szCs w:val="22"/>
                <w:rtl/>
              </w:rPr>
              <w:t>الدور يقوي التعلق والالتزام والاعتقاد ويحمي الرابطة من الانقطاع</w:t>
            </w:r>
          </w:p>
        </w:tc>
        <w:tc>
          <w:tcPr>
            <w:tcW w:w="2660" w:type="dxa"/>
          </w:tcPr>
          <w:p w:rsidR="00D70BB2" w:rsidRDefault="005632E9" w:rsidP="00C102DF">
            <w:pPr>
              <w:bidi/>
              <w:spacing w:after="0" w:line="240" w:lineRule="auto"/>
              <w:jc w:val="center"/>
            </w:pPr>
            <w:r>
              <w:rPr>
                <w:sz w:val="22"/>
                <w:szCs w:val="22"/>
                <w:rtl/>
              </w:rPr>
              <w:t>الدور يعدل التعريفات ويقدم نماذج ويعزز السلوك الممتثل</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t>ف2</w:t>
            </w:r>
          </w:p>
        </w:tc>
        <w:tc>
          <w:tcPr>
            <w:tcW w:w="2600" w:type="dxa"/>
          </w:tcPr>
          <w:p w:rsidR="00D70BB2" w:rsidRDefault="005632E9" w:rsidP="00C102DF">
            <w:pPr>
              <w:bidi/>
              <w:spacing w:after="0" w:line="240" w:lineRule="auto"/>
              <w:jc w:val="center"/>
            </w:pPr>
            <w:r>
              <w:rPr>
                <w:sz w:val="22"/>
                <w:szCs w:val="22"/>
                <w:rtl/>
              </w:rPr>
              <w:t>مستوى المشاركة ← (عكسية) ← السلوك المنحرف</w:t>
            </w:r>
          </w:p>
        </w:tc>
        <w:tc>
          <w:tcPr>
            <w:tcW w:w="2600" w:type="dxa"/>
          </w:tcPr>
          <w:p w:rsidR="00D70BB2" w:rsidRDefault="005632E9" w:rsidP="00C102DF">
            <w:pPr>
              <w:bidi/>
              <w:spacing w:after="0" w:line="240" w:lineRule="auto"/>
              <w:jc w:val="center"/>
            </w:pPr>
            <w:r>
              <w:rPr>
                <w:sz w:val="22"/>
                <w:szCs w:val="22"/>
                <w:rtl/>
              </w:rPr>
              <w:t>عنصر الانخراط: تقليص الوقت المتاح للانحراف</w:t>
            </w:r>
          </w:p>
        </w:tc>
        <w:tc>
          <w:tcPr>
            <w:tcW w:w="2660" w:type="dxa"/>
          </w:tcPr>
          <w:p w:rsidR="00D70BB2" w:rsidRDefault="005632E9" w:rsidP="00C102DF">
            <w:pPr>
              <w:bidi/>
              <w:spacing w:after="0" w:line="240" w:lineRule="auto"/>
              <w:jc w:val="center"/>
            </w:pPr>
            <w:r>
              <w:rPr>
                <w:sz w:val="22"/>
                <w:szCs w:val="22"/>
                <w:rtl/>
              </w:rPr>
              <w:t>المخالطة الفارقة: التعرض لأقران وراشدين ممتثلين</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t>ف3</w:t>
            </w:r>
          </w:p>
        </w:tc>
        <w:tc>
          <w:tcPr>
            <w:tcW w:w="2600" w:type="dxa"/>
          </w:tcPr>
          <w:p w:rsidR="00D70BB2" w:rsidRDefault="005632E9" w:rsidP="00C102DF">
            <w:pPr>
              <w:bidi/>
              <w:spacing w:after="0" w:line="240" w:lineRule="auto"/>
              <w:jc w:val="center"/>
            </w:pPr>
            <w:r>
              <w:rPr>
                <w:sz w:val="22"/>
                <w:szCs w:val="22"/>
                <w:rtl/>
              </w:rPr>
              <w:t>الفاعلية والمشاركة معًا تتنبآن بالسلوك المنحرف</w:t>
            </w:r>
          </w:p>
        </w:tc>
        <w:tc>
          <w:tcPr>
            <w:tcW w:w="2600" w:type="dxa"/>
          </w:tcPr>
          <w:p w:rsidR="00D70BB2" w:rsidRDefault="005632E9" w:rsidP="00C102DF">
            <w:pPr>
              <w:bidi/>
              <w:spacing w:after="0" w:line="240" w:lineRule="auto"/>
              <w:jc w:val="center"/>
            </w:pPr>
            <w:r>
              <w:rPr>
                <w:sz w:val="22"/>
                <w:szCs w:val="22"/>
                <w:rtl/>
              </w:rPr>
              <w:t>تكامل عناصر الرابطة الأربعة</w:t>
            </w:r>
          </w:p>
        </w:tc>
        <w:tc>
          <w:tcPr>
            <w:tcW w:w="2660" w:type="dxa"/>
          </w:tcPr>
          <w:p w:rsidR="00D70BB2" w:rsidRDefault="005632E9" w:rsidP="00C102DF">
            <w:pPr>
              <w:bidi/>
              <w:spacing w:after="0" w:line="240" w:lineRule="auto"/>
              <w:jc w:val="center"/>
            </w:pPr>
            <w:r>
              <w:rPr>
                <w:sz w:val="22"/>
                <w:szCs w:val="22"/>
                <w:rtl/>
              </w:rPr>
              <w:t>نموذج التنمية الاجتماعية: الفرص + المهارات + التعزيز ← الرابطة ← الامتثال</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lastRenderedPageBreak/>
              <w:t>ف4</w:t>
            </w:r>
          </w:p>
        </w:tc>
        <w:tc>
          <w:tcPr>
            <w:tcW w:w="2600" w:type="dxa"/>
          </w:tcPr>
          <w:p w:rsidR="00D70BB2" w:rsidRDefault="005632E9" w:rsidP="00C102DF">
            <w:pPr>
              <w:bidi/>
              <w:spacing w:after="0" w:line="240" w:lineRule="auto"/>
              <w:jc w:val="center"/>
            </w:pPr>
            <w:r>
              <w:rPr>
                <w:sz w:val="22"/>
                <w:szCs w:val="22"/>
                <w:rtl/>
              </w:rPr>
              <w:t>الفروق بحسب الجنس ونوع المؤسسة</w:t>
            </w:r>
          </w:p>
        </w:tc>
        <w:tc>
          <w:tcPr>
            <w:tcW w:w="2600" w:type="dxa"/>
          </w:tcPr>
          <w:p w:rsidR="00D70BB2" w:rsidRDefault="005632E9" w:rsidP="00C102DF">
            <w:pPr>
              <w:bidi/>
              <w:spacing w:after="0" w:line="240" w:lineRule="auto"/>
              <w:jc w:val="center"/>
            </w:pPr>
            <w:r>
              <w:rPr>
                <w:sz w:val="22"/>
                <w:szCs w:val="22"/>
                <w:rtl/>
              </w:rPr>
              <w:t>اختلاف قوة الرابطة والإشراف بين الجنسين، واختلاف طبيعة الرابطة بين المؤسسة التعليمية والمجتمعية</w:t>
            </w:r>
          </w:p>
        </w:tc>
        <w:tc>
          <w:tcPr>
            <w:tcW w:w="2660" w:type="dxa"/>
          </w:tcPr>
          <w:p w:rsidR="00D70BB2" w:rsidRDefault="005632E9" w:rsidP="00C102DF">
            <w:pPr>
              <w:bidi/>
              <w:spacing w:after="0" w:line="240" w:lineRule="auto"/>
              <w:jc w:val="center"/>
            </w:pPr>
            <w:r>
              <w:rPr>
                <w:sz w:val="22"/>
                <w:szCs w:val="22"/>
                <w:rtl/>
              </w:rPr>
              <w:t>اختلاف فرص المخالطة وأنماط التعزيز الاجتماعي بين الجنسين</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t>ف5</w:t>
            </w:r>
          </w:p>
        </w:tc>
        <w:tc>
          <w:tcPr>
            <w:tcW w:w="2600" w:type="dxa"/>
          </w:tcPr>
          <w:p w:rsidR="00D70BB2" w:rsidRDefault="005632E9" w:rsidP="00C102DF">
            <w:pPr>
              <w:bidi/>
              <w:spacing w:after="0" w:line="240" w:lineRule="auto"/>
              <w:jc w:val="center"/>
            </w:pPr>
            <w:r>
              <w:rPr>
                <w:sz w:val="22"/>
                <w:szCs w:val="22"/>
                <w:rtl/>
              </w:rPr>
              <w:t>الفروق بحسب الفئة العمرية والمستوى التعليمي</w:t>
            </w:r>
          </w:p>
        </w:tc>
        <w:tc>
          <w:tcPr>
            <w:tcW w:w="2600" w:type="dxa"/>
          </w:tcPr>
          <w:p w:rsidR="00D70BB2" w:rsidRDefault="005632E9" w:rsidP="00C102DF">
            <w:pPr>
              <w:bidi/>
              <w:spacing w:after="0" w:line="240" w:lineRule="auto"/>
              <w:jc w:val="center"/>
            </w:pPr>
            <w:r>
              <w:rPr>
                <w:sz w:val="22"/>
                <w:szCs w:val="22"/>
                <w:rtl/>
              </w:rPr>
              <w:t xml:space="preserve">تغير مصادر الرابطة عبر مراحل العمر </w:t>
            </w:r>
            <w:r>
              <w:rPr>
                <w:sz w:val="22"/>
                <w:szCs w:val="22"/>
              </w:rPr>
              <w:t>(Sampson &amp; Laub, 1993)</w:t>
            </w:r>
          </w:p>
        </w:tc>
        <w:tc>
          <w:tcPr>
            <w:tcW w:w="2660" w:type="dxa"/>
          </w:tcPr>
          <w:p w:rsidR="00D70BB2" w:rsidRDefault="005632E9" w:rsidP="00C102DF">
            <w:pPr>
              <w:bidi/>
              <w:spacing w:after="0" w:line="240" w:lineRule="auto"/>
              <w:jc w:val="center"/>
            </w:pPr>
            <w:r>
              <w:rPr>
                <w:sz w:val="22"/>
                <w:szCs w:val="22"/>
                <w:rtl/>
              </w:rPr>
              <w:t>تغير جماعات المخالطة بالانتقال من التعليم إلى العمل</w:t>
            </w:r>
          </w:p>
        </w:tc>
      </w:tr>
      <w:tr w:rsidR="00D70BB2">
        <w:trPr>
          <w:cantSplit/>
          <w:jc w:val="center"/>
        </w:trPr>
        <w:tc>
          <w:tcPr>
            <w:tcW w:w="1500" w:type="dxa"/>
          </w:tcPr>
          <w:p w:rsidR="00D70BB2" w:rsidRDefault="005632E9" w:rsidP="00C102DF">
            <w:pPr>
              <w:bidi/>
              <w:spacing w:after="0" w:line="240" w:lineRule="auto"/>
              <w:jc w:val="center"/>
            </w:pPr>
            <w:r>
              <w:rPr>
                <w:sz w:val="22"/>
                <w:szCs w:val="22"/>
                <w:rtl/>
              </w:rPr>
              <w:t>ف6</w:t>
            </w:r>
          </w:p>
        </w:tc>
        <w:tc>
          <w:tcPr>
            <w:tcW w:w="2600" w:type="dxa"/>
          </w:tcPr>
          <w:p w:rsidR="00D70BB2" w:rsidRDefault="005632E9" w:rsidP="00C102DF">
            <w:pPr>
              <w:bidi/>
              <w:spacing w:after="0" w:line="240" w:lineRule="auto"/>
              <w:jc w:val="center"/>
            </w:pPr>
            <w:r>
              <w:rPr>
                <w:sz w:val="22"/>
                <w:szCs w:val="22"/>
                <w:rtl/>
              </w:rPr>
              <w:t>الفروق بين تقديرات الشباب والأخصائيين</w:t>
            </w:r>
          </w:p>
        </w:tc>
        <w:tc>
          <w:tcPr>
            <w:tcW w:w="2600" w:type="dxa"/>
          </w:tcPr>
          <w:p w:rsidR="00D70BB2" w:rsidRDefault="005632E9" w:rsidP="00C102DF">
            <w:pPr>
              <w:bidi/>
              <w:spacing w:after="0" w:line="240" w:lineRule="auto"/>
              <w:jc w:val="center"/>
            </w:pPr>
            <w:r>
              <w:rPr>
                <w:sz w:val="22"/>
                <w:szCs w:val="22"/>
                <w:rtl/>
              </w:rPr>
              <w:t>لا تُشتق من النظريتين، بل من أدبيات تقويم البرامج التي تشير إلى اختلاف تقدير المنفذين عن المستفيدين</w:t>
            </w:r>
          </w:p>
        </w:tc>
        <w:tc>
          <w:tcPr>
            <w:tcW w:w="2660" w:type="dxa"/>
          </w:tcPr>
          <w:p w:rsidR="00D70BB2" w:rsidRDefault="005632E9" w:rsidP="00C102DF">
            <w:pPr>
              <w:bidi/>
              <w:spacing w:after="0" w:line="240" w:lineRule="auto"/>
              <w:jc w:val="center"/>
            </w:pPr>
            <w:r>
              <w:rPr>
                <w:sz w:val="22"/>
                <w:szCs w:val="22"/>
                <w:rtl/>
              </w:rPr>
              <w:t>—</w:t>
            </w:r>
          </w:p>
        </w:tc>
      </w:tr>
    </w:tbl>
    <w:p w:rsidR="00D70BB2" w:rsidRDefault="00D70BB2">
      <w:pPr>
        <w:bidi/>
        <w:spacing w:after="0" w:line="360" w:lineRule="auto"/>
        <w:jc w:val="both"/>
      </w:pPr>
    </w:p>
    <w:p w:rsidR="00D70BB2" w:rsidRDefault="005632E9">
      <w:pPr>
        <w:bidi/>
        <w:spacing w:line="360" w:lineRule="auto"/>
        <w:jc w:val="both"/>
      </w:pPr>
      <w:r>
        <w:rPr>
          <w:rtl/>
        </w:rPr>
        <w:t>ويتضح من الجدول أن الفرضيات من الأولى إلى الخامسة مشتقة نظريًا، في حين تمثل الفرضية السادسة فرضية منهجية تقويمية تستند إلى الدراسات السابقة لا إلى النظريتين، وهو ما تحرص الدراسة على بيانه تجنبًا لتحميل النظريتين ما لا تفسرانه. كما يُجاب عن التساؤل السادس (المعوقات) بتحليل نوعي يُقرأ في ضوء شروط نموذج التنمية الاجتماعية؛ إذ تُصنف المعوقات بحسب ما تعطله من شروط: إتاحة الفرص، أو تنمية المهارات، أو التعزيز والمتابعة.</w:t>
      </w:r>
    </w:p>
    <w:p w:rsidR="00D70BB2" w:rsidRDefault="005632E9">
      <w:pPr>
        <w:keepNext/>
        <w:bidi/>
        <w:spacing w:before="240" w:after="120" w:line="360" w:lineRule="auto"/>
        <w:jc w:val="center"/>
      </w:pPr>
      <w:r>
        <w:rPr>
          <w:b/>
          <w:bCs/>
          <w:sz w:val="32"/>
          <w:szCs w:val="32"/>
          <w:rtl/>
        </w:rPr>
        <w:t>المبحث الثاني: الدراسات السابقة</w:t>
      </w:r>
    </w:p>
    <w:p w:rsidR="00D70BB2" w:rsidRDefault="005632E9">
      <w:pPr>
        <w:keepNext/>
        <w:bidi/>
        <w:spacing w:before="160" w:after="80" w:line="360" w:lineRule="auto"/>
        <w:jc w:val="both"/>
      </w:pPr>
      <w:r>
        <w:rPr>
          <w:b/>
          <w:bCs/>
          <w:sz w:val="30"/>
          <w:szCs w:val="30"/>
          <w:rtl/>
        </w:rPr>
        <w:t>تمهيد: معايير اختيار الدراسات وطريقة عرضها</w:t>
      </w:r>
    </w:p>
    <w:p w:rsidR="00D70BB2" w:rsidRDefault="005632E9">
      <w:pPr>
        <w:bidi/>
        <w:spacing w:line="360" w:lineRule="auto"/>
        <w:jc w:val="both"/>
      </w:pPr>
      <w:r>
        <w:rPr>
          <w:rtl/>
        </w:rPr>
        <w:t xml:space="preserve">اعتمدت الباحثة في اختيار الدراسات السابقة على المعايير الآتية: (1) صلة الدراسة المباشرة أو غير المباشرة بأحد متغيري الدراسة (الدور الوقائي للأخصائي الاجتماعي، والسلوكيات المنحرفة بصورها الثلاث) </w:t>
      </w:r>
      <w:r>
        <w:rPr>
          <w:rtl/>
        </w:rPr>
        <w:lastRenderedPageBreak/>
        <w:t>أو بإطارها النظري، (2) أن تكون منشورة في مجلات علمية محكمة أو صادرة عن جهات أكاديمية معتمدة، (3) إعطاء الأولوية للدراسات الحديثة (2020–2026) مع الإبقاء على عدد محدود من الدراسات الأقدم لأهميتها التأسيسية، (4) التنوع بين الدراسات الكمية والنوعية والتحليلية والمراجعات المنهجية. وقد بُحث في قواعد البيانات العربية (دار المنظومة، وبنك المعرفة المصري، والمجلات المحكمة العربية) والأجنبية (</w:t>
      </w:r>
      <w:r>
        <w:t>PubMed</w:t>
      </w:r>
      <w:r>
        <w:rPr>
          <w:rtl/>
        </w:rPr>
        <w:t>، و</w:t>
      </w:r>
      <w:r>
        <w:t>Springer</w:t>
      </w:r>
      <w:r>
        <w:rPr>
          <w:rtl/>
        </w:rPr>
        <w:t>، و</w:t>
      </w:r>
      <w:r>
        <w:t>MDPI</w:t>
      </w:r>
      <w:r>
        <w:rPr>
          <w:rtl/>
        </w:rPr>
        <w:t>، و</w:t>
      </w:r>
      <w:r>
        <w:t>Campbell Library</w:t>
      </w:r>
      <w:r>
        <w:rPr>
          <w:rtl/>
        </w:rPr>
        <w:t>).</w:t>
      </w:r>
    </w:p>
    <w:p w:rsidR="00D70BB2" w:rsidRDefault="005632E9">
      <w:pPr>
        <w:bidi/>
        <w:spacing w:line="360" w:lineRule="auto"/>
        <w:jc w:val="both"/>
      </w:pPr>
      <w:r>
        <w:rPr>
          <w:rtl/>
        </w:rPr>
        <w:t xml:space="preserve">كما أفادت الباحثة في تكوين الخلفية المعرفية للموضوع من عدد من المؤلفات العربية العامة حول العمل الاجتماعي ودور الأخصائي الاجتماعي في المؤسسات التعليمية ومواجهة المشكلات الاجتماعية والانحرافات السلوكية لدى الشباب (أبو زيد، 2015؛ أحمد، 2018؛ عبد الحميد، 2019؛ علي، 2021)، ومن دراسات حول دور الأخصائي الاجتماعي المدرسي في تعديل السلوك وتعزيز الدافعية (أبو عيادة، 2023؛ الحضرمية وآخرون، 2023)، ودراسات حول حماية الطفل وفاعلية مؤسسات التنمية الاجتماعية في الوقاية من الجنوح </w:t>
      </w:r>
      <w:r>
        <w:t>(Vajpeyi et al., 2025; Alkhaza’leh et al., 2026)</w:t>
      </w:r>
      <w:r>
        <w:rPr>
          <w:rtl/>
        </w:rPr>
        <w:t xml:space="preserve">، ودراسة حول الوعي السياسي لدى الشباب المصري </w:t>
      </w:r>
      <w:r>
        <w:t>(Ashour, 2026)</w:t>
      </w:r>
      <w:r>
        <w:rPr>
          <w:rtl/>
        </w:rPr>
        <w:t>. غير أن العرض التفصيلي يقتصر على الدراسات الأوثق صلة بمتغيرات الدراسة التي أتيح للباحثة الاطلاع على بياناتها المنهجية ونتائجها.</w:t>
      </w:r>
    </w:p>
    <w:p w:rsidR="00D70BB2" w:rsidRDefault="005632E9">
      <w:pPr>
        <w:bidi/>
        <w:spacing w:line="360" w:lineRule="auto"/>
        <w:jc w:val="both"/>
      </w:pPr>
      <w:r>
        <w:rPr>
          <w:rtl/>
        </w:rPr>
        <w:t>وتُعرض الدراسات في ثلاث فئات: المحلية (الإماراتية)، ثم العربية، ثم الأجنبية، مرتبة داخل كل فئة من الأحدث إلى الأقدم، ويُعرض لكل دراسة: هدفها، ومنهجها وعينتها وأداتها، وأبرز نتائجها، ثم علاقتها بالدراسة الحالية.</w:t>
      </w:r>
    </w:p>
    <w:p w:rsidR="00D70BB2" w:rsidRDefault="005632E9">
      <w:pPr>
        <w:keepNext/>
        <w:bidi/>
        <w:spacing w:before="160" w:after="80" w:line="360" w:lineRule="auto"/>
        <w:jc w:val="both"/>
      </w:pPr>
      <w:r>
        <w:rPr>
          <w:b/>
          <w:bCs/>
          <w:sz w:val="30"/>
          <w:szCs w:val="30"/>
          <w:rtl/>
        </w:rPr>
        <w:lastRenderedPageBreak/>
        <w:t>المطلب الأول: الدراسات المحلية (الإماراتية)</w:t>
      </w:r>
    </w:p>
    <w:p w:rsidR="00D70BB2" w:rsidRDefault="005632E9">
      <w:pPr>
        <w:keepNext/>
        <w:bidi/>
        <w:spacing w:before="120" w:after="60" w:line="360" w:lineRule="auto"/>
        <w:jc w:val="both"/>
      </w:pPr>
      <w:r>
        <w:rPr>
          <w:b/>
          <w:bCs/>
          <w:rtl/>
        </w:rPr>
        <w:t xml:space="preserve">1. دراسة الزيودي وآخرين </w:t>
      </w:r>
      <w:r>
        <w:rPr>
          <w:b/>
          <w:bCs/>
        </w:rPr>
        <w:t>(Alzeyoudi et al., 2026)</w:t>
      </w:r>
      <w:r>
        <w:rPr>
          <w:b/>
          <w:bCs/>
          <w:rtl/>
        </w:rPr>
        <w:t xml:space="preserve"> بعنوان: «دور الأخصائي الاجتماعي المدرسي في التعامل مع المشكلات السلوكية لدى الطلبة في مدارس دولة الإمارات العربية المتحدة: دراسة نظرية تحليلية»</w:t>
      </w:r>
    </w:p>
    <w:p w:rsidR="00D70BB2" w:rsidRDefault="005632E9">
      <w:pPr>
        <w:bidi/>
        <w:spacing w:line="360" w:lineRule="auto"/>
        <w:jc w:val="both"/>
      </w:pPr>
      <w:r>
        <w:rPr>
          <w:rtl/>
        </w:rPr>
        <w:t>هدفت الدراسة إلى تحليل الأدوار الوقائية والعلاجية والتنموية للأخصائي الاجتماعي المدرسي في التعامل مع المشكلات السلوكية في مدارس الدولة، وتحديد أسبابها النفسية والأسرية والمدرسية، وتقويم فاعلية تدخلاته والمعوقات التي تواجهه. واعتمدت المنهج الوصفي التحليلي القائم على تحليل الدراسات العربية والأجنبية السابقة دون جمع بيانات ميدانية، واستندت إلى نظرية الدور والبنائية الوظيفية. وخلصت إلى أن الأخصائي الاجتماعي المدرسي يؤدي دورًا أساسيًا في الحد من المشكلات السلوكية، وأن فاعليته تزداد بتوافر الدعم المؤسسي والتعاون مع أولياء الأمور والمعلمين والتدريب المهني المستمر، وأوصت بتطوير السياسات المدرسية وتوسيع النطاق المهني للأخصائي الاجتماعي.</w:t>
      </w:r>
    </w:p>
    <w:p w:rsidR="00D70BB2" w:rsidRDefault="005632E9">
      <w:pPr>
        <w:bidi/>
        <w:spacing w:line="360" w:lineRule="auto"/>
        <w:jc w:val="both"/>
      </w:pPr>
      <w:r>
        <w:rPr>
          <w:b/>
          <w:bCs/>
          <w:rtl/>
        </w:rPr>
        <w:t>علاقتها بالدراسة الحالية:</w:t>
      </w:r>
      <w:r>
        <w:rPr>
          <w:rtl/>
        </w:rPr>
        <w:t xml:space="preserve"> تتفق معها في تناول الدور الوقائي للأخصائي الاجتماعي في السياق الإماراتي، وتفيد منها في تحديد بعد «الشراكة مع الأسرة والمجتمع» ومحور المعوقات المؤسسية. وتختلف عنها في أن الدراسة الحالية ميدانية تختبر الفاعلية إحصائيًا، وتتناول الشباب الراشدين لا طلبة المدارس، وتعتمد إطارًا نظريًا مفسرًا للانحراف لا لموقع الدور.</w:t>
      </w:r>
    </w:p>
    <w:p w:rsidR="00D70BB2" w:rsidRDefault="005632E9">
      <w:pPr>
        <w:keepNext/>
        <w:bidi/>
        <w:spacing w:before="120" w:after="60" w:line="360" w:lineRule="auto"/>
        <w:jc w:val="both"/>
      </w:pPr>
      <w:r>
        <w:rPr>
          <w:b/>
          <w:bCs/>
          <w:rtl/>
        </w:rPr>
        <w:lastRenderedPageBreak/>
        <w:t xml:space="preserve">2. دراسة المرزوقي والغرايبة </w:t>
      </w:r>
      <w:r>
        <w:rPr>
          <w:b/>
          <w:bCs/>
        </w:rPr>
        <w:t>(Almarzooqi &amp; Algharaiba, 2025)</w:t>
      </w:r>
      <w:r>
        <w:rPr>
          <w:b/>
          <w:bCs/>
          <w:rtl/>
        </w:rPr>
        <w:t xml:space="preserve"> بعنوان: «تقييم البرامج الوقائية الموجهة لحماية الطفل في دولة الإمارات: دراسة نوعية»</w:t>
      </w:r>
    </w:p>
    <w:p w:rsidR="00D70BB2" w:rsidRDefault="005632E9">
      <w:pPr>
        <w:bidi/>
        <w:spacing w:line="360" w:lineRule="auto"/>
        <w:jc w:val="both"/>
      </w:pPr>
      <w:r>
        <w:rPr>
          <w:rtl/>
        </w:rPr>
        <w:t>هدفت الدراسة – التي أجريت في جامعة الشارقة – إلى تحليل مضمون البرامج الوقائية الموجهة إلى الأطفال في دولة الإمارات التي تنفذها المؤسسات الاجتماعية الحكومية، والكشف عن مجالات التوعية التي تركز عليها، ومدى تعليمها الأطفال حماية أنفسهم والإبلاغ عن العنف. واعتمدت المنهج النوعي بأسلوب تحليل المضمون لـ(23) برنامجًا لحماية الطفل تنفذها جهات اتحادية ومحلية في أبوظبي ودبي والشارقة. وتوصلت إلى أن البرامج تركز أولًا على تعليم الأطفال الحماية الذاتية، ثم على التعريف بحقوقهم وفق قانون حماية الطفل (وديمة)، ثم على التعريف بآليات الإبلاغ وخطوط المساندة، وإلى أن الدولة تمتلك خطة استجابة موحدة وشبكة إحالة مؤسسية منظمة بحسب اختصاص كل إمارة.</w:t>
      </w:r>
    </w:p>
    <w:p w:rsidR="00D70BB2" w:rsidRDefault="005632E9">
      <w:pPr>
        <w:bidi/>
        <w:spacing w:line="360" w:lineRule="auto"/>
        <w:jc w:val="both"/>
      </w:pPr>
      <w:r>
        <w:rPr>
          <w:b/>
          <w:bCs/>
          <w:rtl/>
        </w:rPr>
        <w:t>علاقتها بالدراسة الحالية:</w:t>
      </w:r>
      <w:r>
        <w:rPr>
          <w:rtl/>
        </w:rPr>
        <w:t xml:space="preserve"> تقدم دليلًا محليًا – من إمارة الشارقة تحديدًا – على أن البرامج الوقائية القائمة تركز على البعد التوعوي وعلى آليات الإحالة، ما يدعم إدراج بعدي «التوعية» و«الاكتشاف المبكر والإحالة» في مقياس الدور الوقائي، ويؤكد أهمية تقويم أثر هذه البرامج لا مضمونها فقط. وتختلف عنها في الفئة المستهدفة (الأطفال)، وفي تحليلها مضمون البرامج دون قياس أثرها في السلوك.</w:t>
      </w:r>
    </w:p>
    <w:p w:rsidR="00D70BB2" w:rsidRDefault="005632E9">
      <w:pPr>
        <w:keepNext/>
        <w:bidi/>
        <w:spacing w:before="120" w:after="60" w:line="360" w:lineRule="auto"/>
        <w:jc w:val="both"/>
      </w:pPr>
      <w:r>
        <w:rPr>
          <w:b/>
          <w:bCs/>
          <w:rtl/>
        </w:rPr>
        <w:t xml:space="preserve">3. دراسة مورفي وآخرين </w:t>
      </w:r>
      <w:r>
        <w:rPr>
          <w:b/>
          <w:bCs/>
        </w:rPr>
        <w:t>(Murphy et al., 2025)</w:t>
      </w:r>
      <w:r>
        <w:rPr>
          <w:b/>
          <w:bCs/>
          <w:rtl/>
        </w:rPr>
        <w:t xml:space="preserve"> بعنوان: «فحص متمركز حول الشخص لخبرات الطفولة السلبية ونتائجها الصحية والنفسية والسلوكية اللاحقة في الإمارات العربية المتحدة»</w:t>
      </w:r>
    </w:p>
    <w:p w:rsidR="00D70BB2" w:rsidRDefault="005632E9">
      <w:pPr>
        <w:bidi/>
        <w:spacing w:line="360" w:lineRule="auto"/>
        <w:jc w:val="both"/>
      </w:pPr>
      <w:r>
        <w:rPr>
          <w:rtl/>
        </w:rPr>
        <w:t xml:space="preserve">هدفت الدراسة إلى الكشف عن أنماط خبرات الطفولة السلبية لدى عينة مجتمعية في أبوظبي وعلاقتها بالسلوكيات الخطرة والصحة الجسدية والنفسية في الرشد. واعتمدت تصميمًا مقطعيًا باستبانة إلكترونية </w:t>
      </w:r>
      <w:r>
        <w:rPr>
          <w:rtl/>
        </w:rPr>
        <w:lastRenderedPageBreak/>
        <w:t xml:space="preserve">باللغتين العربية والإنجليزية (استبانة منظمة الصحة العالمية الدولية لخبرات الطفولة السلبية، ومقياس الاكتئاب والقلق والضغوط </w:t>
      </w:r>
      <w:r>
        <w:t>DASS-21</w:t>
      </w:r>
      <w:r>
        <w:rPr>
          <w:rtl/>
        </w:rPr>
        <w:t>) على عينة متاحة من (922) راشدًا (18 سنة فأكثر)، واستخدمت تحليل الفئات الكامنة. وكشفت عن ثلاث فئات: منخفضة الخبرات السلبية (77.77%)، وخبرات أسرية سلبية (17.24%)، وخبرات عنف (4.99%)، وأن الفئتين الأخيرتين أعلى في تعاطي المخدرات غير المشروعة والسلوكيات الخطرة ومستويات الاكتئاب والقلق، وأن المواطنين الإماراتيين ممثلون بنسبة أعلى في فئة خبرات العنف.</w:t>
      </w:r>
    </w:p>
    <w:p w:rsidR="00D70BB2" w:rsidRDefault="005632E9">
      <w:pPr>
        <w:bidi/>
        <w:spacing w:line="360" w:lineRule="auto"/>
        <w:jc w:val="both"/>
      </w:pPr>
      <w:r>
        <w:rPr>
          <w:b/>
          <w:bCs/>
          <w:rtl/>
        </w:rPr>
        <w:t>علاقتها بالدراسة الحالية:</w:t>
      </w:r>
      <w:r>
        <w:rPr>
          <w:rtl/>
        </w:rPr>
        <w:t xml:space="preserve"> تقدم دليلًا محليًا على ارتباط ضعف البيئة الأسرية (أي ضعف التعلق بلغة هيرشي) بتعاطي المواد في الرشد، ما يدعم أهمية بعد «الشراكة مع الأسرة» وبعد «الاكتشاف المبكر». وتختلف عنها في تناولها العوامل المسببة لا فاعلية التدخل الوقائي.</w:t>
      </w:r>
    </w:p>
    <w:p w:rsidR="00D70BB2" w:rsidRDefault="005632E9">
      <w:pPr>
        <w:keepNext/>
        <w:bidi/>
        <w:spacing w:before="120" w:after="60" w:line="360" w:lineRule="auto"/>
        <w:jc w:val="both"/>
      </w:pPr>
      <w:r>
        <w:rPr>
          <w:b/>
          <w:bCs/>
          <w:rtl/>
        </w:rPr>
        <w:t xml:space="preserve">4. دراسة البريثن والفلاسي </w:t>
      </w:r>
      <w:r>
        <w:rPr>
          <w:b/>
          <w:bCs/>
        </w:rPr>
        <w:t>(Albrithen &amp; Alfalasi, 2024)</w:t>
      </w:r>
      <w:r>
        <w:rPr>
          <w:b/>
          <w:bCs/>
          <w:rtl/>
        </w:rPr>
        <w:t xml:space="preserve"> بعنوان: «ممارسة العمل الاجتماعي في مدارس الإمارات العربية المتحدة خلال جائحة كوفيد-19 وبعدها: دراسة نوعية»</w:t>
      </w:r>
    </w:p>
    <w:p w:rsidR="00D70BB2" w:rsidRDefault="005632E9">
      <w:pPr>
        <w:bidi/>
        <w:spacing w:line="360" w:lineRule="auto"/>
        <w:jc w:val="both"/>
      </w:pPr>
      <w:r>
        <w:rPr>
          <w:rtl/>
        </w:rPr>
        <w:t xml:space="preserve">هدفت الدراسة إلى المقارنة بين المهام التي أداها الأخصائيون الاجتماعيون في المدارس الحكومية والخاصة خلال الجائحة وبعدها، وتحديد التحديات التي واجهوها. واعتمدت المنهج النوعي بمقابلات متعمقة شبه مقننة مع (22) أخصائيًا اجتماعيًا مواطنًا في مدينة العين، وحللت البيانات موضوعيًا ببرنامج </w:t>
      </w:r>
      <w:r>
        <w:t>NVivo.</w:t>
      </w:r>
      <w:r>
        <w:rPr>
          <w:rtl/>
        </w:rPr>
        <w:t xml:space="preserve"> وتوصلت إلى صعوبة بناء العلاقة المهنية واستخدام أدوات التشخيص عن بعد، وإلى تزايد الطلب على الدعم النفسي بعد الجائحة، وتوسع الأخصائيين في الحملات التوعوية والتنسيق مع المستشفيات والمراكز الصحية، كما </w:t>
      </w:r>
      <w:r>
        <w:rPr>
          <w:rtl/>
        </w:rPr>
        <w:lastRenderedPageBreak/>
        <w:t>رصدت مشكلات سلوكية كالغياب وتعطيل الحصص الافتراضية، وأشارت إلى غياب أدلة إرشادية قائمة على البراهين للممارسة.</w:t>
      </w:r>
    </w:p>
    <w:p w:rsidR="00D70BB2" w:rsidRDefault="005632E9">
      <w:pPr>
        <w:bidi/>
        <w:spacing w:line="360" w:lineRule="auto"/>
        <w:jc w:val="both"/>
      </w:pPr>
      <w:r>
        <w:rPr>
          <w:b/>
          <w:bCs/>
          <w:rtl/>
        </w:rPr>
        <w:t>علاقتها بالدراسة الحالية:</w:t>
      </w:r>
      <w:r>
        <w:rPr>
          <w:rtl/>
        </w:rPr>
        <w:t xml:space="preserve"> تفيد منها الدراسة في تحديد مهام الأخصائي الاجتماعي الفعلية في الميدان الإماراتي (التوعية والتنسيق مع المؤسسات)، وفي بناء دليل المقابلة مع الأخصائيين حول المعوقات. وتختلف عنها في المنهج (كمي ونوعي مقابل نوعي فقط)، وفي المرحلة العمرية، وفي تركيز الدراسة الحالية على السلوكيات المنحرفة تحديدًا.</w:t>
      </w:r>
    </w:p>
    <w:p w:rsidR="00D70BB2" w:rsidRDefault="005632E9">
      <w:pPr>
        <w:keepNext/>
        <w:bidi/>
        <w:spacing w:before="120" w:after="60" w:line="360" w:lineRule="auto"/>
        <w:jc w:val="both"/>
      </w:pPr>
      <w:r>
        <w:rPr>
          <w:b/>
          <w:bCs/>
          <w:rtl/>
        </w:rPr>
        <w:t>5. دراسة حريد والحوراني (2024) بعنوان: «التغير الاجتماعي وتصاعد الانحراف في مجتمع الإمارات: دراسة تحليلية»</w:t>
      </w:r>
    </w:p>
    <w:p w:rsidR="00D70BB2" w:rsidRDefault="005632E9">
      <w:pPr>
        <w:bidi/>
        <w:spacing w:line="360" w:lineRule="auto"/>
        <w:jc w:val="both"/>
      </w:pPr>
      <w:r>
        <w:rPr>
          <w:rtl/>
        </w:rPr>
        <w:t>هدفت الدراسة – التي أجريت في جامعة الشارقة – إلى تفسير العلاقة بين التغير الاجتماعي وتصاعد الانحراف في المجتمع الإماراتي، من خلال تحليل التغيرات في المجال العام وأثرها في بنية الأسرة ووظائفها، والعوامل الثقافية والاجتماعية الناتجة عنها، ودور سياسات الضبط العام في الوقاية من الانحراف. واعتمدت المنهج التحليلي. وتوصلت إلى أن التغيرات الاجتماعية والثقافية والاقتصادية التي مست الأسرة والمجتمع كان لها أثر واضح في تزايد انحراف الأحداث، وأوصت بإنشاء مراكز لإعادة التأهيل، وبمراجعة السياسات المؤسسية التي تعتمد على العقاب وحده لتشمل برامج تأهيلية وإصلاحية للوقاية من الانحراف.</w:t>
      </w:r>
    </w:p>
    <w:p w:rsidR="00D70BB2" w:rsidRDefault="005632E9">
      <w:pPr>
        <w:bidi/>
        <w:spacing w:line="360" w:lineRule="auto"/>
        <w:jc w:val="both"/>
      </w:pPr>
      <w:r>
        <w:rPr>
          <w:b/>
          <w:bCs/>
          <w:rtl/>
        </w:rPr>
        <w:t>علاقتها بالدراسة الحالية:</w:t>
      </w:r>
      <w:r>
        <w:rPr>
          <w:rtl/>
        </w:rPr>
        <w:t xml:space="preserve"> تؤكد أهمية الانتقال من المقاربة العقابية إلى المقاربة الوقائية، وهو منطلق الدراسة الحالية، وتدعم تفسير الانحراف بضعف وظائف الضبط الأسري، وهو ما يتسق مع نظرية الروابط الاجتماعية. وتختلف عنها في كونها تحليلية لا ميدانية، وفي تركيزها على الأحداث لا الشباب الراشدين.</w:t>
      </w:r>
    </w:p>
    <w:p w:rsidR="00D70BB2" w:rsidRDefault="005632E9">
      <w:pPr>
        <w:keepNext/>
        <w:bidi/>
        <w:spacing w:before="120" w:after="60" w:line="360" w:lineRule="auto"/>
        <w:jc w:val="both"/>
      </w:pPr>
      <w:r>
        <w:rPr>
          <w:b/>
          <w:bCs/>
          <w:rtl/>
        </w:rPr>
        <w:lastRenderedPageBreak/>
        <w:t xml:space="preserve">6. دراسة الدرمكي وآخرين </w:t>
      </w:r>
      <w:r>
        <w:rPr>
          <w:b/>
          <w:bCs/>
        </w:rPr>
        <w:t>(Al-Darmaki et al., 2022)</w:t>
      </w:r>
      <w:r>
        <w:rPr>
          <w:b/>
          <w:bCs/>
          <w:rtl/>
        </w:rPr>
        <w:t xml:space="preserve"> بعنوان: «انتشار سلوكيات التنمر بين طلبة جامعة وطنية في الإمارات العربية المتحدة: دراسة مقطعية»</w:t>
      </w:r>
    </w:p>
    <w:p w:rsidR="00D70BB2" w:rsidRDefault="005632E9">
      <w:pPr>
        <w:bidi/>
        <w:spacing w:line="360" w:lineRule="auto"/>
        <w:jc w:val="both"/>
      </w:pPr>
      <w:r>
        <w:rPr>
          <w:rtl/>
        </w:rPr>
        <w:t>هدفت الدراسة إلى قياس انتشار التنمر بين طلبة الجامعة والكشف عن الخصائص النفسية لمن تعرضوا له. واعتمدت تصميمًا مقطعيًا على عينة عشوائية طبقية من (839) طالبًا وطالبة من جميع كليات جامعة وطنية، واستخدمت استبانة للتنمر ومقياس العدوانية لباص وبيري ومقاييس للقلق والاكتئاب واضطراب ما بعد الصدمة. وتوصلت إلى أن (26.3%) من الطلبة تعرضوا للتنمر أو مارسوه أو شهدوه، منهم (8.7%) تعرضوا له و(3.6%) مارسوه، وأن التنمر التقليدي (اللفظي والجسدي) أكثر انتشارًا من الإلكتروني، وأن الإناث أكثر تعرضًا له، وأن الطلبة الممارسين للتنمر أعلى في درجات العدوانية، وأوصت ببرامج وقائية توعوية ودعم نفسي في الجامعات.</w:t>
      </w:r>
    </w:p>
    <w:p w:rsidR="00D70BB2" w:rsidRDefault="005632E9">
      <w:pPr>
        <w:bidi/>
        <w:spacing w:line="360" w:lineRule="auto"/>
        <w:jc w:val="both"/>
      </w:pPr>
      <w:r>
        <w:rPr>
          <w:b/>
          <w:bCs/>
          <w:rtl/>
        </w:rPr>
        <w:t>علاقتها بالدراسة الحالية:</w:t>
      </w:r>
      <w:r>
        <w:rPr>
          <w:rtl/>
        </w:rPr>
        <w:t xml:space="preserve"> من أقرب الدراسات المحلية إليها من حيث الفئة (طلبة جامعيون راشدون) وأسلوب المعاينة (العشوائية الطبقية)، وتفيد منها الدراسة في بناء بعد التنمر بصورتيه وفي الربط بين التنمر والعدوانية. وتختلف عنها في أنها وصفت الظاهرة دون اختبار أثر الدور الوقائي.</w:t>
      </w:r>
    </w:p>
    <w:p w:rsidR="00D70BB2" w:rsidRDefault="005632E9">
      <w:pPr>
        <w:keepNext/>
        <w:bidi/>
        <w:spacing w:before="120" w:after="60" w:line="360" w:lineRule="auto"/>
        <w:jc w:val="both"/>
      </w:pPr>
      <w:r>
        <w:rPr>
          <w:b/>
          <w:bCs/>
          <w:rtl/>
        </w:rPr>
        <w:t xml:space="preserve">7. دراسة أحمد وآخرين </w:t>
      </w:r>
      <w:r>
        <w:rPr>
          <w:b/>
          <w:bCs/>
        </w:rPr>
        <w:t>(Ahmed et al., 2021)</w:t>
      </w:r>
      <w:r>
        <w:rPr>
          <w:b/>
          <w:bCs/>
          <w:rtl/>
        </w:rPr>
        <w:t xml:space="preserve"> بعنوان: «أنماط تدخين التبغ والتدخين الإلكتروني بين طلبة الجامعات في الإمارات العربية المتحدة: دراسة مقطعية»</w:t>
      </w:r>
    </w:p>
    <w:p w:rsidR="00D70BB2" w:rsidRDefault="005632E9">
      <w:pPr>
        <w:bidi/>
        <w:spacing w:line="360" w:lineRule="auto"/>
        <w:jc w:val="both"/>
      </w:pPr>
      <w:r>
        <w:rPr>
          <w:rtl/>
        </w:rPr>
        <w:t xml:space="preserve">هدفت الدراسة إلى تقدير انتشار التدخين والتدخين الإلكتروني بين طلبة الجامعات والعوامل المرتبطة بهما. واعتمدت مسحًا إلكترونيًا مقطعيًا على طلبة ثلاث جامعات حكومية (دُعي 1,123 طالبًا وأكمل 81.7% منهم الاستبانة، بمتوسط عمر 20.7 سنة). وتوصلت إلى أن (15.1%) يدخنون حاليًا و(4.0%) </w:t>
      </w:r>
      <w:r>
        <w:rPr>
          <w:rtl/>
        </w:rPr>
        <w:lastRenderedPageBreak/>
        <w:t>يستخدمون السجائر الإلكترونية، وأن المدواخ أكثر المنتجات استخدامًا (47.5% من المدخنين) يليه الشيشة والسجائر، وأن احتمال التدخين لدى الذكور يفوق الإناث بأكثر من خمسة أضعاف، وأنه يزداد مع العمر (أعلى لدى من تزيد أعمارهم على 25 سنة مقارنة بفئة 17–19 سنة)، وأوصت بإجراءات مكافحة تدخين موجهة داخل الجامعات.</w:t>
      </w:r>
    </w:p>
    <w:p w:rsidR="00D70BB2" w:rsidRDefault="005632E9">
      <w:pPr>
        <w:bidi/>
        <w:spacing w:line="360" w:lineRule="auto"/>
        <w:jc w:val="both"/>
      </w:pPr>
      <w:r>
        <w:rPr>
          <w:b/>
          <w:bCs/>
          <w:rtl/>
        </w:rPr>
        <w:t>علاقتها بالدراسة الحالية:</w:t>
      </w:r>
      <w:r>
        <w:rPr>
          <w:rtl/>
        </w:rPr>
        <w:t xml:space="preserve"> تقدم أساسًا امبريقيًا محليًا لإدراج المدواخ والسجائر الإلكترونية في بعد التعاطي، ولاشتقاق الفرضيتين الرابعة والخامسة المتعلقتين بالفروق بحسب الجنس والعمر. وتختلف عنها في اقتصارها على صورة واحدة من الانحراف وعدم تناولها للتدخل المهني.</w:t>
      </w:r>
    </w:p>
    <w:p w:rsidR="00D70BB2" w:rsidRDefault="005632E9">
      <w:pPr>
        <w:keepNext/>
        <w:bidi/>
        <w:spacing w:before="120" w:after="60" w:line="360" w:lineRule="auto"/>
        <w:jc w:val="both"/>
      </w:pPr>
      <w:r>
        <w:rPr>
          <w:b/>
          <w:bCs/>
          <w:rtl/>
        </w:rPr>
        <w:t xml:space="preserve">8. دراسة بنغبيد وبيلتزر </w:t>
      </w:r>
      <w:r>
        <w:rPr>
          <w:b/>
          <w:bCs/>
        </w:rPr>
        <w:t>(Pengpid &amp; Peltzer, 2020)</w:t>
      </w:r>
      <w:r>
        <w:rPr>
          <w:b/>
          <w:bCs/>
          <w:rtl/>
        </w:rPr>
        <w:t xml:space="preserve"> بعنوان: «اتجاهات انتشار عشرين مؤشرًا صحيًا لدى المراهقين في الإمارات العربية المتحدة: مسوح مدرسية وطنية مقطعية في الأعوام 2005 و2010 و2016»</w:t>
      </w:r>
    </w:p>
    <w:p w:rsidR="00D70BB2" w:rsidRDefault="005632E9">
      <w:pPr>
        <w:bidi/>
        <w:spacing w:line="360" w:lineRule="auto"/>
        <w:jc w:val="both"/>
      </w:pPr>
      <w:r>
        <w:rPr>
          <w:rtl/>
        </w:rPr>
        <w:t xml:space="preserve">هدفت الدراسة إلى تتبع التغير في المؤشرات الصحية والسلوكية والعوامل الحمائية لدى المراهقين عبر ثلاث موجات من المسح المدرسي الصحي العالمي. واعتمدت التحليل الثانوي لبيانات عينة وطنية ممثلة بلغت (24,220) طالبًا وطالبة في الصفوف من الثامن إلى العاشر، باستخدام الانحدار اللوجستي المرجح. وتوصلت إلى ارتفاع التعرض للتنمر لدى الجنسين، وانخفاض الشجار الجسدي لدى الذكور، وزيادة غير دالة في استخدام التبغ، كما كشفت عن </w:t>
      </w:r>
      <w:r>
        <w:rPr>
          <w:b/>
          <w:bCs/>
          <w:rtl/>
        </w:rPr>
        <w:t>انخفاض الإشراف الوالدي</w:t>
      </w:r>
      <w:r>
        <w:rPr>
          <w:rtl/>
        </w:rPr>
        <w:t xml:space="preserve"> لدى الجنسين مع ثبات الترابط الوالدي ودعم الأقران.</w:t>
      </w:r>
    </w:p>
    <w:p w:rsidR="00D70BB2" w:rsidRDefault="005632E9">
      <w:pPr>
        <w:bidi/>
        <w:spacing w:line="360" w:lineRule="auto"/>
        <w:jc w:val="both"/>
      </w:pPr>
      <w:r>
        <w:rPr>
          <w:b/>
          <w:bCs/>
          <w:rtl/>
        </w:rPr>
        <w:lastRenderedPageBreak/>
        <w:t>علاقتها بالدراسة الحالية:</w:t>
      </w:r>
      <w:r>
        <w:rPr>
          <w:rtl/>
        </w:rPr>
        <w:t xml:space="preserve"> تكشف عن تراجع أحد مؤشرات الرابطة الاجتماعية (الإشراف الوالدي) بالتزامن مع ارتفاع التنمر، وهو ما يدعم توظيف نظرية الروابط الاجتماعية وأهمية بعد الشراكة مع الأسرة. وتختلف عنها في الفئة العمرية (مراهقون في المدارس) وفي كونها مسحًا وبائيًا لا يقيس أثر التدخلات.</w:t>
      </w:r>
    </w:p>
    <w:p w:rsidR="00D70BB2" w:rsidRDefault="005632E9">
      <w:pPr>
        <w:keepNext/>
        <w:bidi/>
        <w:spacing w:before="120" w:after="60" w:line="360" w:lineRule="auto"/>
        <w:jc w:val="both"/>
      </w:pPr>
      <w:r>
        <w:rPr>
          <w:b/>
          <w:bCs/>
          <w:rtl/>
        </w:rPr>
        <w:t xml:space="preserve">9. دراسة العلي </w:t>
      </w:r>
      <w:r>
        <w:rPr>
          <w:b/>
          <w:bCs/>
        </w:rPr>
        <w:t>(Al Ali, 2013)</w:t>
      </w:r>
      <w:r>
        <w:rPr>
          <w:b/>
          <w:bCs/>
          <w:rtl/>
        </w:rPr>
        <w:t xml:space="preserve"> بعنوان: «نحو استراتيجيات وسياسات فاعلة للوقاية من جنوح الأحداث في شرطة أبوظبي: دراسة للعوامل الحاسمة» (أطروحة دكتوراه، جامعة ستيرلنغ)</w:t>
      </w:r>
    </w:p>
    <w:p w:rsidR="00D70BB2" w:rsidRDefault="005632E9">
      <w:pPr>
        <w:bidi/>
        <w:spacing w:line="360" w:lineRule="auto"/>
        <w:jc w:val="both"/>
      </w:pPr>
      <w:r>
        <w:rPr>
          <w:rtl/>
        </w:rPr>
        <w:t>هدفت الدراسة إلى تحديد متطلبات تطبيق استراتيجيات وبرامج فاعلة للوقاية من جنوح الأحداث في دولة الإمارات، في ظل ندرة بحوث الوقاية من الجريمة في البلدان العربية. واعتمدت المنهج النوعي بتحليل الوثائق ومقابلات شبه مقننة مع ممثلين عن شرطة أبوظبي والمؤسسات المعنية بالوقاية. وتوصلت إلى تحديد عوامل الخطر الحاسمة، والاعتبارات الثقافية الواجب مراعاتها في تصميم البرامج الوقائية في المجتمع الإماراتي، ومتطلبات الشراكة بين المؤسسات، وقدمت توصيات لشرطة أبوظبي والحكومة الاتحادية.</w:t>
      </w:r>
    </w:p>
    <w:p w:rsidR="00D70BB2" w:rsidRDefault="005632E9">
      <w:pPr>
        <w:bidi/>
        <w:spacing w:line="360" w:lineRule="auto"/>
        <w:jc w:val="both"/>
      </w:pPr>
      <w:r>
        <w:rPr>
          <w:b/>
          <w:bCs/>
          <w:rtl/>
        </w:rPr>
        <w:t>علاقتها بالدراسة الحالية:</w:t>
      </w:r>
      <w:r>
        <w:rPr>
          <w:rtl/>
        </w:rPr>
        <w:t xml:space="preserve"> تؤكد أهمية الشراكة المؤسسية ومراعاة الخصوصية الثقافية في البرامج الوقائية، ما يدعم بعد الشراكة مع الأسرة والمجتمع وبعد الإحالة. وتختلف عنها في تناولها الجنوح بمعناه القانوني من منظور أمني، في حين تتناول الدراسة الحالية الانحراف السلوكي لدى الراشدين من منظور العمل الاجتماعي.</w:t>
      </w:r>
    </w:p>
    <w:p w:rsidR="00D70BB2" w:rsidRDefault="005632E9">
      <w:pPr>
        <w:keepNext/>
        <w:bidi/>
        <w:spacing w:before="160" w:after="80" w:line="360" w:lineRule="auto"/>
        <w:jc w:val="both"/>
      </w:pPr>
      <w:r>
        <w:rPr>
          <w:b/>
          <w:bCs/>
          <w:sz w:val="30"/>
          <w:szCs w:val="30"/>
          <w:rtl/>
        </w:rPr>
        <w:lastRenderedPageBreak/>
        <w:t>المطلب الثاني: الدراسات العربية</w:t>
      </w:r>
    </w:p>
    <w:p w:rsidR="00D70BB2" w:rsidRDefault="005632E9">
      <w:pPr>
        <w:keepNext/>
        <w:bidi/>
        <w:spacing w:before="120" w:after="60" w:line="360" w:lineRule="auto"/>
        <w:jc w:val="both"/>
      </w:pPr>
      <w:r>
        <w:rPr>
          <w:b/>
          <w:bCs/>
          <w:rtl/>
        </w:rPr>
        <w:t>1. دراسة إبراهيم (2025) بعنوان: «أدوار الأخصائي الاجتماعي كممارس عام في التخفيف من حدة التنمر السيبراني لدى الشباب الجامعي»</w:t>
      </w:r>
    </w:p>
    <w:p w:rsidR="00D70BB2" w:rsidRDefault="005632E9">
      <w:pPr>
        <w:bidi/>
        <w:spacing w:line="360" w:lineRule="auto"/>
        <w:jc w:val="both"/>
      </w:pPr>
      <w:r>
        <w:rPr>
          <w:rtl/>
        </w:rPr>
        <w:t xml:space="preserve">هدفت الدراسة إلى تحديد أشكال التنمر السيبراني لدى الشباب الجامعي، والأنشطة والبرامج المقدمة للحد منه، وأدوار الأخصائي الاجتماعي كممارس عام في التخفيف منه، والمعوقات التي تواجهه ومقترحات التغلب عليها. واعتمدت المنهج الوصفي بالمسح الاجتماعي الشامل للأخصائيين الاجتماعيين بإدارات رعاية الشباب في عشر كليات بجامعة أسيوط، وعينة من أعضاء الاتحادات الطلابية في الكليات نفسها، باستخدام استبانتين (للأخصائيين وللطلبة). وتوصلت إلى ارتفاع انتشار صور التنمر السيبراني (الانتحال والتخفي، والمضايقة، والتحرش، والملاحقة الإلكترونية)، وإلى أن أدوار الأخصائي الاجتماعي والبرامج المقدمة جاءت بمستوى </w:t>
      </w:r>
      <w:r>
        <w:rPr>
          <w:b/>
          <w:bCs/>
          <w:rtl/>
        </w:rPr>
        <w:t>متوسط</w:t>
      </w:r>
      <w:r>
        <w:rPr>
          <w:rtl/>
        </w:rPr>
        <w:t xml:space="preserve">، في حين جاءت المعوقات بمستوى </w:t>
      </w:r>
      <w:r>
        <w:rPr>
          <w:b/>
          <w:bCs/>
          <w:rtl/>
        </w:rPr>
        <w:t>مرتفع</w:t>
      </w:r>
      <w:r>
        <w:rPr>
          <w:rtl/>
        </w:rPr>
        <w:t>.</w:t>
      </w:r>
    </w:p>
    <w:p w:rsidR="00D70BB2" w:rsidRDefault="005632E9">
      <w:pPr>
        <w:bidi/>
        <w:spacing w:line="360" w:lineRule="auto"/>
        <w:jc w:val="both"/>
      </w:pPr>
      <w:r>
        <w:rPr>
          <w:b/>
          <w:bCs/>
          <w:rtl/>
        </w:rPr>
        <w:t>علاقتها بالدراسة الحالية:</w:t>
      </w:r>
      <w:r>
        <w:rPr>
          <w:rtl/>
        </w:rPr>
        <w:t xml:space="preserve"> هي الأقرب إليها تصميمًا؛ إذ تجمع بين وجهتي نظر الأخصائيين والشباب الجامعي، وتتناول دور الأخصائي في الحد من صورة من صور الانحراف التي تقيسها الدراسة الحالية، وتفيد منها في بناء محور المعوقات. وتختلف عنها في اقتصارها على صورة واحدة للانحراف، وعدم اختبارها العلاقة بين الدور ومستوى السلوك لدى الشباب، وفي السياق المكاني.</w:t>
      </w:r>
    </w:p>
    <w:p w:rsidR="00D70BB2" w:rsidRDefault="005632E9">
      <w:pPr>
        <w:keepNext/>
        <w:bidi/>
        <w:spacing w:before="120" w:after="60" w:line="360" w:lineRule="auto"/>
        <w:jc w:val="both"/>
      </w:pPr>
      <w:r>
        <w:rPr>
          <w:b/>
          <w:bCs/>
          <w:rtl/>
        </w:rPr>
        <w:lastRenderedPageBreak/>
        <w:t>2. دراسة صياح (2025) بعنوان: «متطلبات الدور المهني للأخصائي الاجتماعي كمخطط اجتماعي في الحد من الاستقواء الإلكتروني لدى طلاب المرحلة الجامعية»</w:t>
      </w:r>
    </w:p>
    <w:p w:rsidR="00D70BB2" w:rsidRDefault="005632E9">
      <w:pPr>
        <w:bidi/>
        <w:spacing w:line="360" w:lineRule="auto"/>
        <w:jc w:val="both"/>
      </w:pPr>
      <w:r>
        <w:rPr>
          <w:rtl/>
        </w:rPr>
        <w:t>هدفت الدراسة إلى تحديد المتطلبات المعرفية والقيمية والتكنولوجية والمهارية للدور المهني للأخصائي الاجتماعي في الحد من التنمر الإلكتروني لدى طلبة الجامعة. وطبقت استبانة على جميع الأخصائيين الاجتماعيين العاملين بالإدارة العامة لرعاية الشباب بجامعة حلوان وعددهم (140) أخصائيًا. وتوصلت إلى أن المتطلبات بأنواعها الأربعة جاءت بمستوى مرتفع، وأن أهم المعوقات ضعف تعاون الطلبة مع الأخصائيين الاجتماعيين في الحد من مخاطر التنمر الإلكتروني، وأن أهم المقترحات توفير عدد كافٍ من الأخصائيين في إدارات رعاية الشباب.</w:t>
      </w:r>
    </w:p>
    <w:p w:rsidR="00D70BB2" w:rsidRDefault="005632E9">
      <w:pPr>
        <w:bidi/>
        <w:spacing w:line="360" w:lineRule="auto"/>
        <w:jc w:val="both"/>
      </w:pPr>
      <w:r>
        <w:rPr>
          <w:b/>
          <w:bCs/>
          <w:rtl/>
        </w:rPr>
        <w:t>علاقتها بالدراسة الحالية:</w:t>
      </w:r>
      <w:r>
        <w:rPr>
          <w:rtl/>
        </w:rPr>
        <w:t xml:space="preserve"> تكشف أن ضعف مشاركة الطلبة وتعاونهم معوق رئيس لفاعلية الدور، ما يدعم إدراج «مستوى المشاركة» متغيرًا مستقلًا مساندًا. وتختلف عنها في اعتمادها على وجهة نظر الأخصائيين فقط.</w:t>
      </w:r>
    </w:p>
    <w:p w:rsidR="00D70BB2" w:rsidRDefault="005632E9">
      <w:pPr>
        <w:keepNext/>
        <w:bidi/>
        <w:spacing w:before="120" w:after="60" w:line="360" w:lineRule="auto"/>
        <w:jc w:val="both"/>
      </w:pPr>
      <w:r>
        <w:rPr>
          <w:b/>
          <w:bCs/>
          <w:rtl/>
        </w:rPr>
        <w:t>3. دراسة بن صنه (2023) بعنوان: «أثر استخدام المدخل الروحي في الخدمة الاجتماعية للحد من ظاهرة التنمر المدرسي: دراسة مطبقة على الأخصائيين الاجتماعيين العاملين بمدارس التربية والتعليم في مديرية المكلا»</w:t>
      </w:r>
    </w:p>
    <w:p w:rsidR="00D70BB2" w:rsidRDefault="005632E9">
      <w:pPr>
        <w:bidi/>
        <w:spacing w:line="360" w:lineRule="auto"/>
        <w:jc w:val="both"/>
      </w:pPr>
      <w:r>
        <w:rPr>
          <w:rtl/>
        </w:rPr>
        <w:t xml:space="preserve">هدفت الدراسة إلى التعرف على الأساليب العلاجية والاستراتيجيات المستمدة من المدخل الروحي التي يستخدمها الأخصائيون الاجتماعيون ومدى إسهامها في الحد من التنمر المدرسي في اليمن. واعتمدت المنهج الوصفي بالمسح الاجتماعي الشامل لـ(93) أخصائيًا اجتماعيًا، باستبانة محكمة بلغ معامل ثباتها </w:t>
      </w:r>
      <w:r>
        <w:rPr>
          <w:rtl/>
        </w:rPr>
        <w:lastRenderedPageBreak/>
        <w:t xml:space="preserve">(0.871). وتوصلت إلى وجود علاقة ارتباطية طردية متوسطة دالة بين الأساليب والاستراتيجيات المستخدمة والحد من التنمر، وإلى أن </w:t>
      </w:r>
      <w:r>
        <w:rPr>
          <w:b/>
          <w:bCs/>
          <w:rtl/>
        </w:rPr>
        <w:t>استخدام القدوة والنمذجة</w:t>
      </w:r>
      <w:r>
        <w:rPr>
          <w:rtl/>
        </w:rPr>
        <w:t xml:space="preserve"> جاء في مقدمة الاستراتيجيات، وإلى حاجة الأخصائيين إلى التدريب.</w:t>
      </w:r>
    </w:p>
    <w:p w:rsidR="00D70BB2" w:rsidRDefault="005632E9">
      <w:pPr>
        <w:bidi/>
        <w:spacing w:line="360" w:lineRule="auto"/>
        <w:jc w:val="both"/>
      </w:pPr>
      <w:r>
        <w:rPr>
          <w:b/>
          <w:bCs/>
          <w:rtl/>
        </w:rPr>
        <w:t>علاقتها بالدراسة الحالية:</w:t>
      </w:r>
      <w:r>
        <w:rPr>
          <w:rtl/>
        </w:rPr>
        <w:t xml:space="preserve"> تدعم توظيف مفهوم النمذجة من نظرية التعلم الاجتماعي في تفسير أثر الأخصائي، وتفيد منها الدراسة منهجيًا في إجراءات الصدق والثبات. وتختلف عنها في المرحلة العمرية، وفي اعتمادها على تقدير الأخصائيين لأثر أساليبهم دون قياس السلوك لدى المستفيدين.</w:t>
      </w:r>
    </w:p>
    <w:p w:rsidR="00D70BB2" w:rsidRDefault="005632E9">
      <w:pPr>
        <w:keepNext/>
        <w:bidi/>
        <w:spacing w:before="120" w:after="60" w:line="360" w:lineRule="auto"/>
        <w:jc w:val="both"/>
      </w:pPr>
      <w:r>
        <w:rPr>
          <w:b/>
          <w:bCs/>
          <w:rtl/>
        </w:rPr>
        <w:t>4. دراسة الحنفي (2023) بعنوان: «دور مدارس الحلقة الثانية من التعليم الأساسي في مواجهة ظاهرة التنمر من وجهة نظر بعض أعضاء المجتمع المدرسي: دراسة ميدانية»</w:t>
      </w:r>
    </w:p>
    <w:p w:rsidR="00D70BB2" w:rsidRDefault="005632E9">
      <w:pPr>
        <w:bidi/>
        <w:spacing w:line="360" w:lineRule="auto"/>
        <w:jc w:val="both"/>
      </w:pPr>
      <w:r>
        <w:rPr>
          <w:rtl/>
        </w:rPr>
        <w:t>هدفت الدراسة إلى الكشف عن واقع دور المدرسة في مواجهة التنمر بمحافظة الشرقية في مصر وتقديم تصور مقترح لتفعيله. واعتمدت المنهج الوصفي على عينة من (852) فردًا من أعضاء المجتمع المدرسي، منهم (143) أخصائيًا اجتماعيًا، باستخدام استبانة ومقابلات. وتوصلت إلى أن التنمر اللفظي أكثر الأنواع انتشارًا (77.9%)، وإلى وجود فروق دالة إحصائيًا في تقدير الأدوار بحسب الجنس لصالح الذكور، وبحسب حضور دورات تدريبية عن التنمر لصالح الحاضرين.</w:t>
      </w:r>
    </w:p>
    <w:p w:rsidR="00D70BB2" w:rsidRDefault="005632E9">
      <w:pPr>
        <w:bidi/>
        <w:spacing w:line="360" w:lineRule="auto"/>
        <w:jc w:val="both"/>
      </w:pPr>
      <w:r>
        <w:rPr>
          <w:b/>
          <w:bCs/>
          <w:rtl/>
        </w:rPr>
        <w:t>علاقتها بالدراسة الحالية:</w:t>
      </w:r>
      <w:r>
        <w:rPr>
          <w:rtl/>
        </w:rPr>
        <w:t xml:space="preserve"> تفيد في دعم فرضية الفروق بحسب الجنس (ف4)، وفي إبراز أثر التدريب في فاعلية الدور، وهو ما يُرصد في محور المعوقات. وتختلف عنها في المرحلة العمرية وفي توزيع الدور على أطراف المجتمع المدرسي كافة.</w:t>
      </w:r>
    </w:p>
    <w:p w:rsidR="00D70BB2" w:rsidRDefault="005632E9">
      <w:pPr>
        <w:keepNext/>
        <w:bidi/>
        <w:spacing w:before="120" w:after="60" w:line="360" w:lineRule="auto"/>
        <w:jc w:val="both"/>
      </w:pPr>
      <w:r>
        <w:rPr>
          <w:b/>
          <w:bCs/>
          <w:rtl/>
        </w:rPr>
        <w:lastRenderedPageBreak/>
        <w:t xml:space="preserve">5. دراسة خوري-قصبري وآخرين </w:t>
      </w:r>
      <w:r>
        <w:rPr>
          <w:b/>
          <w:bCs/>
        </w:rPr>
        <w:t>(Khoury-Kassabri et al., 2023)</w:t>
      </w:r>
      <w:r>
        <w:rPr>
          <w:b/>
          <w:bCs/>
          <w:rtl/>
        </w:rPr>
        <w:t xml:space="preserve"> بعنوان: «انخراط الشباب العرب في السلوكيات الجانحة: استكشاف نظرية الروابط الاجتماعية لهيرشي من منظور نوعي»</w:t>
      </w:r>
    </w:p>
    <w:p w:rsidR="00D70BB2" w:rsidRDefault="005632E9">
      <w:pPr>
        <w:bidi/>
        <w:spacing w:line="360" w:lineRule="auto"/>
        <w:jc w:val="both"/>
      </w:pPr>
      <w:r>
        <w:rPr>
          <w:rtl/>
        </w:rPr>
        <w:t>هدفت الدراسة إلى فحص قدرة نظرية الروابط الاجتماعية – التي اختُبرت غالبًا في المجتمعات الغربية – على تفسير الانحراف لدى شباب عرب في سياق اجتماعي محافظ. واعتمدت المنهج النوعي بالمقابلات المتعمقة. وتوصلت إلى أن الروابط مع الوالدين والأصدقاء والجيران والمعلمين وأصحاب العمل قد تؤدي دورًا حمائيًا من الانحراف، مع خصوصية في أشكال الضبط الأسري والمجتمعي في المجتمع العربي.</w:t>
      </w:r>
    </w:p>
    <w:p w:rsidR="00D70BB2" w:rsidRDefault="005632E9">
      <w:pPr>
        <w:bidi/>
        <w:spacing w:line="360" w:lineRule="auto"/>
        <w:jc w:val="both"/>
      </w:pPr>
      <w:r>
        <w:rPr>
          <w:b/>
          <w:bCs/>
          <w:rtl/>
        </w:rPr>
        <w:t>علاقتها بالدراسة الحالية:</w:t>
      </w:r>
      <w:r>
        <w:rPr>
          <w:rtl/>
        </w:rPr>
        <w:t xml:space="preserve"> تقدم سندًا لصلاحية النظرية الرئيسة للدراسة في سياق عربي، وتلفت إلى أهمية الروابط خارج الأسرة (المعلمين وأصحاب العمل)، وهو ما يسوغ النظر إلى الأخصائي الاجتماعي بوصفه مصدرًا للرابطة. وتختلف عنها في المنهج (نوعي) والسياق، وفي عدم تناولها للتدخل المهني.</w:t>
      </w:r>
    </w:p>
    <w:p w:rsidR="00D70BB2" w:rsidRDefault="005632E9">
      <w:pPr>
        <w:keepNext/>
        <w:bidi/>
        <w:spacing w:before="120" w:after="60" w:line="360" w:lineRule="auto"/>
        <w:jc w:val="both"/>
      </w:pPr>
      <w:r>
        <w:rPr>
          <w:b/>
          <w:bCs/>
          <w:rtl/>
        </w:rPr>
        <w:t>6. دراسة الجبالي (2020) بعنوان: «دور جماعات نشاط الأسر الطلابية في وقاية الشباب الجامعي من الانحراف الفكري الإلكتروني»</w:t>
      </w:r>
    </w:p>
    <w:p w:rsidR="00D70BB2" w:rsidRDefault="005632E9">
      <w:pPr>
        <w:bidi/>
        <w:spacing w:line="360" w:lineRule="auto"/>
        <w:jc w:val="both"/>
      </w:pPr>
      <w:r>
        <w:rPr>
          <w:rtl/>
        </w:rPr>
        <w:t>هدفت الدراسة إلى تحديد دور جماعات النشاط الطلابي في وقاية طلبة الجامعة من الانحراف الإلكتروني. واعتمدت المنهج الوصفي بالمسح الاجتماعي على (43) عضوًا من جماعات نشاط الأسر الطلابية بالمعهد العالي للخدمة الاجتماعية بالإسكندرية. وتوصلت إلى أن وسائل التواصل الاجتماعي تسهم في نشر الأفكار المنحرفة بين الشباب، وأن الأخصائي الاجتماعي العامل مع الجماعات يمكنه الإسهام في الوقاية بالتوعية بمخاطر المواقع غير المنضبطة، وقدمت تصورًا لتفعيل الدور الوقائي لهذه الجماعات.</w:t>
      </w:r>
    </w:p>
    <w:p w:rsidR="00D70BB2" w:rsidRDefault="005632E9">
      <w:pPr>
        <w:bidi/>
        <w:spacing w:line="360" w:lineRule="auto"/>
        <w:jc w:val="both"/>
      </w:pPr>
      <w:r>
        <w:rPr>
          <w:b/>
          <w:bCs/>
          <w:rtl/>
        </w:rPr>
        <w:lastRenderedPageBreak/>
        <w:t>علاقتها بالدراسة الحالية:</w:t>
      </w:r>
      <w:r>
        <w:rPr>
          <w:rtl/>
        </w:rPr>
        <w:t xml:space="preserve"> تدعم افتراض أن </w:t>
      </w:r>
      <w:r>
        <w:rPr>
          <w:b/>
          <w:bCs/>
          <w:rtl/>
        </w:rPr>
        <w:t>المشاركة في الأنشطة الجماعية المنظمة</w:t>
      </w:r>
      <w:r>
        <w:rPr>
          <w:rtl/>
        </w:rPr>
        <w:t xml:space="preserve"> آلية وقائية (الانخراط عند هيرشي والمخالطة الفارقة عند أيكرز). وتختلف عنها في نوع الانحراف المدروس وصغر العينة.</w:t>
      </w:r>
    </w:p>
    <w:p w:rsidR="00D70BB2" w:rsidRDefault="005632E9">
      <w:pPr>
        <w:keepNext/>
        <w:bidi/>
        <w:spacing w:before="120" w:after="60" w:line="360" w:lineRule="auto"/>
        <w:jc w:val="both"/>
      </w:pPr>
      <w:r>
        <w:rPr>
          <w:b/>
          <w:bCs/>
          <w:rtl/>
        </w:rPr>
        <w:t>7. دراسة العتيبي (2009) بعنوان: «انحرافات الشباب: دراسة اجتماعية لأنماط وعوامل انحرافات الشباب بمحافظة جدة»</w:t>
      </w:r>
    </w:p>
    <w:p w:rsidR="00D70BB2" w:rsidRDefault="005632E9">
      <w:pPr>
        <w:bidi/>
        <w:spacing w:line="360" w:lineRule="auto"/>
        <w:jc w:val="both"/>
      </w:pPr>
      <w:r>
        <w:rPr>
          <w:rtl/>
        </w:rPr>
        <w:t>هدفت الدراسة إلى الكشف عن أنماط الانحراف التي يُقر بها الشباب أنفسهم – لا نزلاء مؤسسات الإصلاح – في المنزل والمؤسسات التعليمية والمراكز التجارية، وعوامله. واعتمدت على مسح ميداني لعينة من الشباب في جدة إلى جانب ملاحظة إثنوغرافية في خمسة مراكز تجارية، واستندت إلى نظرية الأنومي وعلم الإجرام الثقافي. وقدمت توصيفًا لأنماط الانحراف ومعدلاته وعوامله الاجتماعية والثقافية، وانتهت بتوصيات وقائية.</w:t>
      </w:r>
    </w:p>
    <w:p w:rsidR="00D70BB2" w:rsidRDefault="005632E9">
      <w:pPr>
        <w:bidi/>
        <w:spacing w:line="360" w:lineRule="auto"/>
        <w:jc w:val="both"/>
      </w:pPr>
      <w:r>
        <w:rPr>
          <w:b/>
          <w:bCs/>
          <w:rtl/>
        </w:rPr>
        <w:t>علاقتها بالدراسة الحالية:</w:t>
      </w:r>
      <w:r>
        <w:rPr>
          <w:rtl/>
        </w:rPr>
        <w:t xml:space="preserve"> تتفق معها في الاعتماد على </w:t>
      </w:r>
      <w:r>
        <w:rPr>
          <w:b/>
          <w:bCs/>
          <w:rtl/>
        </w:rPr>
        <w:t>التقرير الذاتي</w:t>
      </w:r>
      <w:r>
        <w:rPr>
          <w:rtl/>
        </w:rPr>
        <w:t xml:space="preserve"> للشباب غير المحتجزين في قياس الانحراف، وهو أسلوب الدراسة الحالية. وتختلف عنها في الإطار النظري (الأنومي مقابل الروابط والتعلم)، وفي عدم تناولها للدور الوقائي.</w:t>
      </w:r>
    </w:p>
    <w:p w:rsidR="00D70BB2" w:rsidRDefault="005632E9">
      <w:pPr>
        <w:keepNext/>
        <w:bidi/>
        <w:spacing w:before="160" w:after="80" w:line="360" w:lineRule="auto"/>
        <w:jc w:val="both"/>
      </w:pPr>
      <w:r>
        <w:rPr>
          <w:b/>
          <w:bCs/>
          <w:sz w:val="30"/>
          <w:szCs w:val="30"/>
          <w:rtl/>
        </w:rPr>
        <w:t>المطلب الثالث: الدراسات الأجنبية</w:t>
      </w:r>
    </w:p>
    <w:p w:rsidR="00D70BB2" w:rsidRDefault="005632E9">
      <w:pPr>
        <w:keepNext/>
        <w:bidi/>
        <w:spacing w:before="120" w:after="60" w:line="360" w:lineRule="auto"/>
        <w:jc w:val="both"/>
      </w:pPr>
      <w:r>
        <w:rPr>
          <w:b/>
          <w:bCs/>
          <w:rtl/>
        </w:rPr>
        <w:t xml:space="preserve">1. دراسة سواريش وآخرين </w:t>
      </w:r>
      <w:r>
        <w:rPr>
          <w:b/>
          <w:bCs/>
        </w:rPr>
        <w:t>(Soares et al., 2026)</w:t>
      </w:r>
      <w:r>
        <w:rPr>
          <w:b/>
          <w:bCs/>
          <w:rtl/>
        </w:rPr>
        <w:t xml:space="preserve"> بعنوان: «تنمية المهارات الشخصية والاجتماعية لدى الشباب ذوي السلوكيات المضطربة: مراجعة منهجية للبرامج الثالثية»</w:t>
      </w:r>
    </w:p>
    <w:p w:rsidR="00D70BB2" w:rsidRDefault="005632E9">
      <w:pPr>
        <w:bidi/>
        <w:spacing w:line="360" w:lineRule="auto"/>
        <w:jc w:val="both"/>
      </w:pPr>
      <w:r>
        <w:rPr>
          <w:rtl/>
        </w:rPr>
        <w:t xml:space="preserve">هدفت الدراسة إلى تجميع الأدلة حول فاعلية البرامج القائمة على تنمية المهارات التي تستهدف منع تصاعد السلوك المضطرب لدى الشباب وتقوية مهاراتهم الشخصية والاجتماعية. واعتمدت المراجعة المنهجية وفق معايير </w:t>
      </w:r>
      <w:r>
        <w:t>PRISMA 2020</w:t>
      </w:r>
      <w:r>
        <w:rPr>
          <w:rtl/>
        </w:rPr>
        <w:t xml:space="preserve"> لـ(43) دراسة محكمة نشرت بين عامي 2013 و2025، تناولت تدخلات لشباب </w:t>
      </w:r>
      <w:r>
        <w:rPr>
          <w:rtl/>
        </w:rPr>
        <w:lastRenderedPageBreak/>
        <w:t>تتراوح أعمارهم بين (10–24) سنة. وتوصلت إلى أن البرامج متعددة المكونات والمركزة موضوعيًا والكافية في كثافتها هي الأكثر ارتباطًا بانخفاض العدوان والعنف وتحسن مهارات تنظيم الانفعال وضبط الذات والتعاطف وحل المشكلات، مع تباين ملحوظ في جودة الدراسات ومحدودية بيانات المتابعة، واقترحت تصميمًا مرنًا للبرامج يجمع بين جوهر منظم قائم على الأدلة ومرونة في المحتوى والجرعة بحسب مستوى خطورة الشباب واحتياجاتهم.</w:t>
      </w:r>
    </w:p>
    <w:p w:rsidR="00D70BB2" w:rsidRDefault="005632E9">
      <w:pPr>
        <w:bidi/>
        <w:spacing w:line="360" w:lineRule="auto"/>
        <w:jc w:val="both"/>
      </w:pPr>
      <w:r>
        <w:rPr>
          <w:b/>
          <w:bCs/>
          <w:rtl/>
        </w:rPr>
        <w:t>علاقتها بالدراسة الحالية:</w:t>
      </w:r>
      <w:r>
        <w:rPr>
          <w:rtl/>
        </w:rPr>
        <w:t xml:space="preserve"> تدعم البعد الإرشادي في الدراسة الحالية (تنمية مهارات حل المشكلات وضبط الذات)، ومفهوم الكفاءة الذاتية في نظرية التعلم الاجتماعي، وتغطي جزءًا من الفئة العمرية للدراسة (حتى 24 سنة). وتختلف عنها في أنها مراجعة منهجية لبرامج علاجية ثالثية، في حين تتناول الدراسة الحالية الدور الوقائي.</w:t>
      </w:r>
    </w:p>
    <w:p w:rsidR="00D70BB2" w:rsidRDefault="005632E9">
      <w:pPr>
        <w:keepNext/>
        <w:bidi/>
        <w:spacing w:before="120" w:after="60" w:line="360" w:lineRule="auto"/>
        <w:jc w:val="both"/>
      </w:pPr>
      <w:r>
        <w:rPr>
          <w:b/>
          <w:bCs/>
          <w:rtl/>
        </w:rPr>
        <w:t xml:space="preserve">2. دراسة ليتل وآخرين </w:t>
      </w:r>
      <w:r>
        <w:rPr>
          <w:b/>
          <w:bCs/>
        </w:rPr>
        <w:t>(Little et al., 2026)</w:t>
      </w:r>
      <w:r>
        <w:rPr>
          <w:b/>
          <w:bCs/>
          <w:rtl/>
        </w:rPr>
        <w:t xml:space="preserve"> بعنوان: «تدخلات الوقاية من العنف ضد الأطفال والمراهقين والحد منه والاستجابة له: مراجعة منهجية للمراجعات المنهجية لتحديث إطار </w:t>
      </w:r>
      <w:r>
        <w:rPr>
          <w:b/>
          <w:bCs/>
        </w:rPr>
        <w:t>INSPIRE</w:t>
      </w:r>
      <w:r>
        <w:rPr>
          <w:b/>
          <w:bCs/>
          <w:rtl/>
        </w:rPr>
        <w:t>»</w:t>
      </w:r>
    </w:p>
    <w:p w:rsidR="00D70BB2" w:rsidRDefault="005632E9">
      <w:pPr>
        <w:bidi/>
        <w:spacing w:line="360" w:lineRule="auto"/>
        <w:jc w:val="both"/>
      </w:pPr>
      <w:r>
        <w:rPr>
          <w:rtl/>
        </w:rPr>
        <w:t>هدفت الدراسة إلى تحديث قاعدة الأدلة لإطار «</w:t>
      </w:r>
      <w:r>
        <w:t>INSPIRE</w:t>
      </w:r>
      <w:r>
        <w:rPr>
          <w:rtl/>
        </w:rPr>
        <w:t>» الذي تقوده منظمة الصحة العالمية بعد عقد من إطلاقه، وتحديد التدخلات ذات الأولوية في التطبيق. واعتمدت مراجعة للمراجعات المنهجية شملت (216) مراجعة منهجية من بين أكثر من (22,000) دراسة فُحصت. وتوصلت إلى أن أقوى الأدلة تدعم: برامج الوالدية في الحد من إساءة معاملة الأطفال، و</w:t>
      </w:r>
      <w:r>
        <w:rPr>
          <w:b/>
          <w:bCs/>
          <w:rtl/>
        </w:rPr>
        <w:t>مقاربات المدرسة الشاملة في الوقاية من عنف الشباب</w:t>
      </w:r>
      <w:r>
        <w:rPr>
          <w:rtl/>
        </w:rPr>
        <w:t>، وبرامج التثقيف حول العلاقات الصحية، والتدريب على المهارات الحياتية، والعلاج المعرفي السلوكي للأطفال المعرضين للعنف، وأوصت بالتوسع في تطبيق هذه المقاربات القائمة على الأدلة.</w:t>
      </w:r>
    </w:p>
    <w:p w:rsidR="00D70BB2" w:rsidRDefault="005632E9">
      <w:pPr>
        <w:bidi/>
        <w:spacing w:line="360" w:lineRule="auto"/>
        <w:jc w:val="both"/>
      </w:pPr>
      <w:r>
        <w:rPr>
          <w:b/>
          <w:bCs/>
          <w:rtl/>
        </w:rPr>
        <w:lastRenderedPageBreak/>
        <w:t>علاقتها بالدراسة الحالية:</w:t>
      </w:r>
      <w:r>
        <w:rPr>
          <w:rtl/>
        </w:rPr>
        <w:t xml:space="preserve"> تقدم سندًا دوليًا قويًا للمقاربة المؤسسية الشاملة في الوقاية من العنف لدى الشباب، ولأهمية الشراكة مع الأسرة (برامج الوالدية)، وهما بعدان في الدور الوقائي الذي تقيسه الدراسة. وتختلف عنها في شمولها الأطفال والمراهقين وتركيزها على العنف وحده.</w:t>
      </w:r>
    </w:p>
    <w:p w:rsidR="00D70BB2" w:rsidRDefault="005632E9">
      <w:pPr>
        <w:keepNext/>
        <w:bidi/>
        <w:spacing w:before="120" w:after="60" w:line="360" w:lineRule="auto"/>
        <w:jc w:val="both"/>
      </w:pPr>
      <w:r>
        <w:rPr>
          <w:b/>
          <w:bCs/>
          <w:rtl/>
        </w:rPr>
        <w:t xml:space="preserve">3. دراسة برنتي وآخرين </w:t>
      </w:r>
      <w:r>
        <w:rPr>
          <w:b/>
          <w:bCs/>
        </w:rPr>
        <w:t>(Prunty et al., 2026)</w:t>
      </w:r>
      <w:r>
        <w:rPr>
          <w:b/>
          <w:bCs/>
          <w:rtl/>
        </w:rPr>
        <w:t xml:space="preserve"> بعنوان: «دعم العقول الشابة: تدخلات الصحة النفسية ودور العمل الاجتماعي مع الشباب»</w:t>
      </w:r>
    </w:p>
    <w:p w:rsidR="00D70BB2" w:rsidRDefault="005632E9">
      <w:pPr>
        <w:bidi/>
        <w:spacing w:line="360" w:lineRule="auto"/>
        <w:jc w:val="both"/>
      </w:pPr>
      <w:r>
        <w:rPr>
          <w:rtl/>
        </w:rPr>
        <w:t xml:space="preserve">ورقة علمية تحليلية نشرت في مجلة العمل الاجتماعي مع الأطفال والمراهقين، هدفت إلى مناقشة نتائج مراجعة منهجية للمراجعات حول تدخلات الوقاية الثانوية (الانتقائية) للأطفال والشباب الأكثر عرضة للخطر، واستخلاص دلالاتها لممارسة العمل الاجتماعي. وأكدت الحاجة إلى إجراءات وقائية تستهدف من يواجهون ظروفًا صعبة أو يفتقرون إلى الدعم، ونبهت إلى المخاطر التي يواجهها الشباب في مرحلة </w:t>
      </w:r>
      <w:r>
        <w:rPr>
          <w:b/>
          <w:bCs/>
          <w:rtl/>
        </w:rPr>
        <w:t>الانتقال من خدمات الأطفال إلى خدمات الراشدين</w:t>
      </w:r>
      <w:r>
        <w:rPr>
          <w:rtl/>
        </w:rPr>
        <w:t>، وإلى الضغوط التي تحد من قدرة الأنظمة على تقديم الدعم.</w:t>
      </w:r>
    </w:p>
    <w:p w:rsidR="00D70BB2" w:rsidRDefault="005632E9">
      <w:pPr>
        <w:bidi/>
        <w:spacing w:line="360" w:lineRule="auto"/>
        <w:jc w:val="both"/>
      </w:pPr>
      <w:r>
        <w:rPr>
          <w:b/>
          <w:bCs/>
          <w:rtl/>
        </w:rPr>
        <w:t>علاقتها بالدراسة الحالية:</w:t>
      </w:r>
      <w:r>
        <w:rPr>
          <w:rtl/>
        </w:rPr>
        <w:t xml:space="preserve"> تدعم تركيز الدراسة على الوقاية الانتقائية (البعد الإرشادي) لدى فئة عمرية انتقالية (18–30 سنة) تقع بين خدمات المدرسة وخدمات الراشدين. وتختلف عنها في كونها ورقة نقاشية لا دراسة امبريقية، وفي تركيزها على الصحة النفسية.</w:t>
      </w:r>
    </w:p>
    <w:p w:rsidR="00D70BB2" w:rsidRDefault="005632E9">
      <w:pPr>
        <w:keepNext/>
        <w:bidi/>
        <w:spacing w:before="120" w:after="60" w:line="360" w:lineRule="auto"/>
        <w:jc w:val="both"/>
      </w:pPr>
      <w:r>
        <w:rPr>
          <w:b/>
          <w:bCs/>
          <w:rtl/>
        </w:rPr>
        <w:lastRenderedPageBreak/>
        <w:t xml:space="preserve">4. دراسة يانسن وماتيسن وفان باكل </w:t>
      </w:r>
      <w:r>
        <w:rPr>
          <w:b/>
          <w:bCs/>
        </w:rPr>
        <w:t>(Janssen et al., 2024)</w:t>
      </w:r>
      <w:r>
        <w:rPr>
          <w:b/>
          <w:bCs/>
          <w:rtl/>
        </w:rPr>
        <w:t xml:space="preserve"> بعنوان: «النتائج المستدامة لرعاية الشباب المتمركزة حول الأسرة: مراجعة منهجية لأداء الطفل والوالدين والأسرة بعد انتهاء الرعاية وفي فترة المتابعة»</w:t>
      </w:r>
    </w:p>
    <w:p w:rsidR="00D70BB2" w:rsidRDefault="005632E9">
      <w:pPr>
        <w:bidi/>
        <w:spacing w:line="360" w:lineRule="auto"/>
        <w:jc w:val="both"/>
      </w:pPr>
      <w:r>
        <w:rPr>
          <w:rtl/>
        </w:rPr>
        <w:t>هدفت الدراسة إلى فحص مدى استمرار آثار خدمات رعاية الشباب المتمركزة حول الأسرة في أداء الطفل والوالدين والأسرة بعد انتهاء التدخل. واعتمدت المراجعة المنهجية لـ(26) دراسة تضمنت قياسًا بعديًا وقياسًا تتبعيًا واحدًا على الأقل. وتوصلت إلى نتائج إيجابية على المديين القصير والأطول في أداء الطفل والوالدين والأسرة عند انتهاء الرعاية وفي فترة المتابعة، مع صعوبة الحكم على الآثار طويلة المدى لأن معظم الدراسات أجرت المتابعة خلال سنة واحدة فقط.</w:t>
      </w:r>
    </w:p>
    <w:p w:rsidR="00D70BB2" w:rsidRDefault="005632E9">
      <w:pPr>
        <w:bidi/>
        <w:spacing w:line="360" w:lineRule="auto"/>
        <w:jc w:val="both"/>
      </w:pPr>
      <w:r>
        <w:rPr>
          <w:b/>
          <w:bCs/>
          <w:rtl/>
        </w:rPr>
        <w:t>علاقتها بالدراسة الحالية:</w:t>
      </w:r>
      <w:r>
        <w:rPr>
          <w:rtl/>
        </w:rPr>
        <w:t xml:space="preserve"> تدعم بعد «الشراكة مع الأسرة والمجتمع»، وتؤكد – بلغة نظرية الروابط الاجتماعية – أن تقوية التعلق الأسري عبر التدخل المهني ينعكس إيجابيًا على سلوك الأبناء. وتختلف عنها في أنها مراجعة لخدمات رعاية علاجية لا وقائية، وفي الفئة العمرية.</w:t>
      </w:r>
    </w:p>
    <w:p w:rsidR="00D70BB2" w:rsidRDefault="005632E9">
      <w:pPr>
        <w:keepNext/>
        <w:bidi/>
        <w:spacing w:before="120" w:after="60" w:line="360" w:lineRule="auto"/>
        <w:jc w:val="both"/>
      </w:pPr>
      <w:r>
        <w:rPr>
          <w:b/>
          <w:bCs/>
          <w:rtl/>
        </w:rPr>
        <w:t xml:space="preserve">5. دراسة جافني وتوفي وفارينغتون </w:t>
      </w:r>
      <w:r>
        <w:rPr>
          <w:b/>
          <w:bCs/>
        </w:rPr>
        <w:t>(Gaffney et al., 2021)</w:t>
      </w:r>
      <w:r>
        <w:rPr>
          <w:b/>
          <w:bCs/>
          <w:rtl/>
        </w:rPr>
        <w:t xml:space="preserve"> بعنوان: «فاعلية البرامج المدرسية في الحد من ممارسة التنمر والتعرض له: مراجعة منهجية وتحليل بعدي محدَّث»</w:t>
      </w:r>
    </w:p>
    <w:p w:rsidR="00D70BB2" w:rsidRDefault="005632E9">
      <w:pPr>
        <w:bidi/>
        <w:spacing w:line="360" w:lineRule="auto"/>
        <w:jc w:val="both"/>
      </w:pPr>
      <w:r>
        <w:rPr>
          <w:rtl/>
        </w:rPr>
        <w:t>هدفت الدراسة إلى تقدير فاعلية برامج مكافحة التنمر. واعتمدت المراجعة المنهجية والتحليل البعدي لـ(100) تقويم لبرامج مكافحة التنمر (103 أحجام أثر مستقلة)، منها (45) تجربة عشوائية. وتوصلت إلى أن البرامج تخفض ممارسة التنمر (نسبة أرجحية = 1.309) والتعرض له (نسبة أرجحية = 1.244) خفضًا دالًا إحصائيًا، مع تباين في الأثر بحسب مكونات البرامج والسياق.</w:t>
      </w:r>
    </w:p>
    <w:p w:rsidR="00D70BB2" w:rsidRDefault="005632E9">
      <w:pPr>
        <w:bidi/>
        <w:spacing w:line="360" w:lineRule="auto"/>
        <w:jc w:val="both"/>
      </w:pPr>
      <w:r>
        <w:rPr>
          <w:b/>
          <w:bCs/>
          <w:rtl/>
        </w:rPr>
        <w:lastRenderedPageBreak/>
        <w:t>علاقتها بالدراسة الحالية:</w:t>
      </w:r>
      <w:r>
        <w:rPr>
          <w:rtl/>
        </w:rPr>
        <w:t xml:space="preserve"> تقدم أقوى دليل متاح على أن التدخلات المؤسسية المنظمة قادرة على خفض التنمر، ما يسوغ توقع العلاقة العكسية في الفرضية الأولى. وتختلف عنها في اقتصارها على البيئة المدرسية وصورة واحدة من الانحراف.</w:t>
      </w:r>
    </w:p>
    <w:p w:rsidR="00D70BB2" w:rsidRDefault="005632E9">
      <w:pPr>
        <w:keepNext/>
        <w:bidi/>
        <w:spacing w:before="120" w:after="60" w:line="360" w:lineRule="auto"/>
        <w:jc w:val="both"/>
      </w:pPr>
      <w:r>
        <w:rPr>
          <w:b/>
          <w:bCs/>
          <w:rtl/>
        </w:rPr>
        <w:t xml:space="preserve">6. دراسة تانر-سميث وليبسي </w:t>
      </w:r>
      <w:r>
        <w:rPr>
          <w:b/>
          <w:bCs/>
        </w:rPr>
        <w:t>(Tanner-Smith &amp; Lipsey, 2015)</w:t>
      </w:r>
      <w:r>
        <w:rPr>
          <w:b/>
          <w:bCs/>
          <w:rtl/>
        </w:rPr>
        <w:t xml:space="preserve"> بعنوان: «التدخلات المختصرة في تعاطي الكحول لدى المراهقين والراشدين الشباب: مراجعة منهجية وتحليل بعدي»</w:t>
      </w:r>
    </w:p>
    <w:p w:rsidR="00D70BB2" w:rsidRDefault="005632E9">
      <w:pPr>
        <w:bidi/>
        <w:spacing w:line="360" w:lineRule="auto"/>
        <w:jc w:val="both"/>
      </w:pPr>
      <w:r>
        <w:rPr>
          <w:rtl/>
        </w:rPr>
        <w:t xml:space="preserve">هدفت الدراسة إلى تقدير فاعلية التدخلات الإرشادية المختصرة في الحد من التعاطي. واعتمدت تحليلًا بعديًا لـ(185) عينة دراسية. وتوصلت إلى أن هذه التدخلات تخفض الاستهلاك والمشكلات المرتبطة به خفضًا دالًا، بأحجام أثر أكبر لدى المراهقين (11–18 سنة) منها لدى </w:t>
      </w:r>
      <w:r>
        <w:rPr>
          <w:b/>
          <w:bCs/>
          <w:rtl/>
        </w:rPr>
        <w:t>الراشدين الشباب (19–30 سنة)</w:t>
      </w:r>
      <w:r>
        <w:rPr>
          <w:rtl/>
        </w:rPr>
        <w:t>، وأن الأثر يستمر حتى سنة بعد التدخل، وأن التدخلات التي تتضمن المقابلة التحفيزية وتمارين الموازنة بين القرارات ووضع الأهداف كانت أكبر أثرًا.</w:t>
      </w:r>
    </w:p>
    <w:p w:rsidR="00D70BB2" w:rsidRDefault="005632E9">
      <w:pPr>
        <w:bidi/>
        <w:spacing w:line="360" w:lineRule="auto"/>
        <w:jc w:val="both"/>
      </w:pPr>
      <w:r>
        <w:rPr>
          <w:b/>
          <w:bCs/>
          <w:rtl/>
        </w:rPr>
        <w:t>علاقتها بالدراسة الحالية:</w:t>
      </w:r>
      <w:r>
        <w:rPr>
          <w:rtl/>
        </w:rPr>
        <w:t xml:space="preserve"> تتطابق الفئة العمرية التي تناولتها تقريبًا مع الفئة العمرية للدراسة الحالية، وتدعم توقع أثر للبعد الإرشادي في الحد من التعاطي، كما تنبه إلى أن أحجام الأثر لدى الراشدين أصغر منها لدى المراهقين، وهو ما يُراعى في تفسير قوة معاملات الارتباط في الدراسة الحالية. وتختلف عنها في أنها تقيس أثر تدخلات تجريبية لا دور مهني ممتد.</w:t>
      </w:r>
    </w:p>
    <w:p w:rsidR="00D70BB2" w:rsidRDefault="005632E9">
      <w:pPr>
        <w:keepNext/>
        <w:bidi/>
        <w:spacing w:before="120" w:after="60" w:line="360" w:lineRule="auto"/>
        <w:jc w:val="both"/>
      </w:pPr>
      <w:r>
        <w:rPr>
          <w:b/>
          <w:bCs/>
          <w:rtl/>
        </w:rPr>
        <w:lastRenderedPageBreak/>
        <w:t xml:space="preserve">7. دراسة هوكنز وآخرين </w:t>
      </w:r>
      <w:r>
        <w:rPr>
          <w:b/>
          <w:bCs/>
        </w:rPr>
        <w:t>(Hawkins et al., 2014)</w:t>
      </w:r>
      <w:r>
        <w:rPr>
          <w:b/>
          <w:bCs/>
          <w:rtl/>
        </w:rPr>
        <w:t xml:space="preserve"> بعنوان: «مشكلات السلوك لدى الشباب بعد ثماني سنوات من تطبيق نظام الوقاية "المجتمعات التي تهتم" في تجربة عشوائية على مستوى المجتمعات»</w:t>
      </w:r>
    </w:p>
    <w:p w:rsidR="00D70BB2" w:rsidRDefault="005632E9">
      <w:pPr>
        <w:bidi/>
        <w:spacing w:line="360" w:lineRule="auto"/>
        <w:jc w:val="both"/>
      </w:pPr>
      <w:r>
        <w:rPr>
          <w:rtl/>
        </w:rPr>
        <w:t xml:space="preserve">هدفت الدراسة إلى تقويم الأثر طويل المدى لنظام وقائي مجتمعي قائم على نموذج التنمية الاجتماعية. واعتمدت تجربة عشوائية على (24) مجتمعًا محليًا في سبع ولايات أمريكية، تتبعت (4,407) طلاب من الصف الخامس حتى الثاني عشر. وتوصلت إلى أن الطلبة في المجتمعات التجريبية كانوا أكثر استمرارًا في الامتناع عن تعاطي المخدرات والكحول والتدخين والجنوح حتى الصف الثاني عشر، وأقل في الإقدام على العنف، لكن </w:t>
      </w:r>
      <w:r>
        <w:rPr>
          <w:b/>
          <w:bCs/>
          <w:rtl/>
        </w:rPr>
        <w:t>دون فروق دالة في معدلات الانتشار الحالية</w:t>
      </w:r>
      <w:r>
        <w:rPr>
          <w:rtl/>
        </w:rPr>
        <w:t xml:space="preserve"> للسلوكيات أو في عوامل الخطر المستهدفة.</w:t>
      </w:r>
    </w:p>
    <w:p w:rsidR="00D70BB2" w:rsidRDefault="005632E9">
      <w:pPr>
        <w:bidi/>
        <w:spacing w:line="360" w:lineRule="auto"/>
        <w:jc w:val="both"/>
      </w:pPr>
      <w:r>
        <w:rPr>
          <w:b/>
          <w:bCs/>
          <w:rtl/>
        </w:rPr>
        <w:t>علاقتها بالدراسة الحالية:</w:t>
      </w:r>
      <w:r>
        <w:rPr>
          <w:rtl/>
        </w:rPr>
        <w:t xml:space="preserve"> تمثل تطبيقًا امبريقيًا مباشرًا للإطار التكاملي الذي تستند إليه الدراسة، وتنبه إلى أن أثر الوقاية قد يظهر في </w:t>
      </w:r>
      <w:r>
        <w:rPr>
          <w:b/>
          <w:bCs/>
          <w:rtl/>
        </w:rPr>
        <w:t>منع بدء السلوك</w:t>
      </w:r>
      <w:r>
        <w:rPr>
          <w:rtl/>
        </w:rPr>
        <w:t xml:space="preserve"> أكثر من ظهوره في خفض انتشاره الحالي، وهو ما تراعيه الدراسة في تفسير نتائجها المقطعية. وتختلف عنها في التصميم التجريبي والفئة العمرية.</w:t>
      </w:r>
    </w:p>
    <w:p w:rsidR="00D70BB2" w:rsidRDefault="005632E9">
      <w:pPr>
        <w:keepNext/>
        <w:bidi/>
        <w:spacing w:before="120" w:after="60" w:line="360" w:lineRule="auto"/>
        <w:jc w:val="both"/>
      </w:pPr>
      <w:r>
        <w:rPr>
          <w:b/>
          <w:bCs/>
          <w:rtl/>
        </w:rPr>
        <w:t xml:space="preserve">8. دراسة فرانكلين وكيم وتريبودي </w:t>
      </w:r>
      <w:r>
        <w:rPr>
          <w:b/>
          <w:bCs/>
        </w:rPr>
        <w:t>(Franklin et al., 2009)</w:t>
      </w:r>
      <w:r>
        <w:rPr>
          <w:b/>
          <w:bCs/>
          <w:rtl/>
        </w:rPr>
        <w:t xml:space="preserve"> بعنوان: «تحليل بعدي لدراسات ممارسة العمل الاجتماعي المدرسي المنشورة: 1980–2007»</w:t>
      </w:r>
    </w:p>
    <w:p w:rsidR="00D70BB2" w:rsidRDefault="005632E9">
      <w:pPr>
        <w:bidi/>
        <w:spacing w:line="360" w:lineRule="auto"/>
        <w:jc w:val="both"/>
      </w:pPr>
      <w:r>
        <w:rPr>
          <w:rtl/>
        </w:rPr>
        <w:t xml:space="preserve">هدفت الدراسة إلى تقدير فاعلية تدخلات الأخصائيين الاجتماعيين في المدارس. واعتمدت التحليل البعدي لـ(21) دراسة منشورة. وتوصلت إلى أن تدخلات العمل الاجتماعي المدرسي ذات أثر إيجابي عام، وأن أحجام الأثر كانت أكبر في المشكلات الداخلية (كالقلق والاكتئاب) والنتائج المدرسية منها في </w:t>
      </w:r>
      <w:r>
        <w:rPr>
          <w:b/>
          <w:bCs/>
          <w:rtl/>
        </w:rPr>
        <w:t xml:space="preserve">المشكلات </w:t>
      </w:r>
      <w:r>
        <w:rPr>
          <w:b/>
          <w:bCs/>
          <w:rtl/>
        </w:rPr>
        <w:lastRenderedPageBreak/>
        <w:t>السلوكية الخارجية</w:t>
      </w:r>
      <w:r>
        <w:rPr>
          <w:rtl/>
        </w:rPr>
        <w:t xml:space="preserve"> (كالعدوان واضطراب المسلك)، ودعت إلى مزيد من الدراسات المحكمة لفاعلية الأخصائي الاجتماعي.</w:t>
      </w:r>
    </w:p>
    <w:p w:rsidR="00D70BB2" w:rsidRDefault="005632E9">
      <w:pPr>
        <w:bidi/>
        <w:spacing w:line="360" w:lineRule="auto"/>
        <w:jc w:val="both"/>
      </w:pPr>
      <w:r>
        <w:rPr>
          <w:b/>
          <w:bCs/>
          <w:rtl/>
        </w:rPr>
        <w:t>علاقتها بالدراسة الحالية:</w:t>
      </w:r>
      <w:r>
        <w:rPr>
          <w:rtl/>
        </w:rPr>
        <w:t xml:space="preserve"> تقدم دليلًا على أن فاعلية الأخصائي الاجتماعي في السلوك الخارجي – وهو ما تقيسه الدراسة الحالية – أقل وضوحًا، ما يبرز الحاجة إلى اختبارها. وتختلف عنها في أنها تحليل بعدي لدراسات مدرسية غربية.</w:t>
      </w:r>
    </w:p>
    <w:p w:rsidR="00D70BB2" w:rsidRDefault="005632E9">
      <w:pPr>
        <w:keepNext/>
        <w:bidi/>
        <w:spacing w:before="120" w:after="60" w:line="360" w:lineRule="auto"/>
        <w:jc w:val="both"/>
      </w:pPr>
      <w:r>
        <w:rPr>
          <w:b/>
          <w:bCs/>
          <w:rtl/>
        </w:rPr>
        <w:t xml:space="preserve">9. دراسة أوزباي وأوزجان </w:t>
      </w:r>
      <w:r>
        <w:rPr>
          <w:b/>
          <w:bCs/>
        </w:rPr>
        <w:t>(Özbay &amp; Özcan, 2006)</w:t>
      </w:r>
      <w:r>
        <w:rPr>
          <w:b/>
          <w:bCs/>
          <w:rtl/>
        </w:rPr>
        <w:t xml:space="preserve"> بعنوان: «اختبار نظرية الروابط الاجتماعية لهيرشي: جنوح الأحداث في المدارس الثانوية بأنقرة، تركيا»</w:t>
      </w:r>
    </w:p>
    <w:p w:rsidR="00D70BB2" w:rsidRDefault="005632E9">
      <w:pPr>
        <w:bidi/>
        <w:spacing w:line="360" w:lineRule="auto"/>
        <w:jc w:val="both"/>
      </w:pPr>
      <w:r>
        <w:rPr>
          <w:rtl/>
        </w:rPr>
        <w:t>هدفت الدراسة إلى اختبار قدرة نظرية الروابط الاجتماعية على تفسير الجنوح في مجتمع غير غربي. واعتمدت مسحًا على عينة عنقودية طبقية من (1,710) طلاب في المدارس الثانوية بأنقرة، واستخدمت التحليل العاملي الذي كشف عن ثلاثة أبعاد للجنوح (الاعتداء، والجنوح المدرسي، والإخلال بالنظام العام)، ثم تحليل الانحدار. وتوصلت إلى أهمية النظرية في تفسير الجنوح في المجتمع التركي على نحو مماثل لما وجد في المجتمعات التقليدية الأخرى.</w:t>
      </w:r>
    </w:p>
    <w:p w:rsidR="00D70BB2" w:rsidRDefault="005632E9">
      <w:pPr>
        <w:bidi/>
        <w:spacing w:line="360" w:lineRule="auto"/>
        <w:jc w:val="both"/>
      </w:pPr>
      <w:r>
        <w:rPr>
          <w:b/>
          <w:bCs/>
          <w:rtl/>
        </w:rPr>
        <w:t>علاقتها بالدراسة الحالية:</w:t>
      </w:r>
      <w:r>
        <w:rPr>
          <w:rtl/>
        </w:rPr>
        <w:t xml:space="preserve"> تقدم نموذجًا منهجيًا لاختبار النظرية كميًا في مجتمع تقليدي مسلم، وتفيد منها الدراسة في استخدام التحليل العاملي للتحقق من أبعاد مقياس السلوكيات المنحرفة واستخدام الانحدار في الاختبار. وتختلف عنها في المرحلة العمرية وعدم تناولها للتدخل الوقائي.</w:t>
      </w:r>
    </w:p>
    <w:p w:rsidR="00D70BB2" w:rsidRDefault="005632E9">
      <w:pPr>
        <w:keepNext/>
        <w:bidi/>
        <w:spacing w:before="240" w:after="120" w:line="360" w:lineRule="auto"/>
        <w:jc w:val="center"/>
      </w:pPr>
      <w:r>
        <w:rPr>
          <w:b/>
          <w:bCs/>
          <w:sz w:val="32"/>
          <w:szCs w:val="32"/>
          <w:rtl/>
        </w:rPr>
        <w:lastRenderedPageBreak/>
        <w:t>المبحث الثالث: التعقيب على الدراسات السابقة</w:t>
      </w:r>
    </w:p>
    <w:p w:rsidR="00D70BB2" w:rsidRDefault="005632E9">
      <w:pPr>
        <w:keepNext/>
        <w:bidi/>
        <w:spacing w:before="160" w:after="80" w:line="360" w:lineRule="auto"/>
        <w:jc w:val="both"/>
      </w:pPr>
      <w:r>
        <w:rPr>
          <w:b/>
          <w:bCs/>
          <w:sz w:val="30"/>
          <w:szCs w:val="30"/>
          <w:rtl/>
        </w:rPr>
        <w:t>المطلب الأول: أوجه الاتفاق والاختلاف</w:t>
      </w:r>
    </w:p>
    <w:p w:rsidR="00D70BB2" w:rsidRDefault="005632E9">
      <w:pPr>
        <w:keepNext/>
        <w:bidi/>
        <w:spacing w:before="120" w:after="60" w:line="360" w:lineRule="auto"/>
        <w:jc w:val="both"/>
      </w:pPr>
      <w:r>
        <w:rPr>
          <w:b/>
          <w:bCs/>
          <w:rtl/>
        </w:rPr>
        <w:t>أولاً: أوجه الاتفاق بين الدراسات السابقة والدراسة الحالية</w:t>
      </w:r>
    </w:p>
    <w:p w:rsidR="00D70BB2" w:rsidRDefault="005632E9">
      <w:pPr>
        <w:pStyle w:val="ListParagraph"/>
        <w:numPr>
          <w:ilvl w:val="0"/>
          <w:numId w:val="12"/>
        </w:numPr>
        <w:bidi/>
        <w:spacing w:line="360" w:lineRule="auto"/>
        <w:jc w:val="both"/>
      </w:pPr>
      <w:r>
        <w:rPr>
          <w:b/>
          <w:bCs/>
          <w:rtl/>
        </w:rPr>
        <w:t>من حيث الموضوع:</w:t>
      </w:r>
      <w:r>
        <w:rPr>
          <w:rtl/>
        </w:rPr>
        <w:t xml:space="preserve"> تتفق الدراسة الحالية مع معظم الدراسات السابقة في الاهتمام بالدور الوقائي للأخصائي الاجتماعي أو للمؤسسات التعليمية والمجتمعية في مواجهة السلوكيات المنحرفة (</w:t>
      </w:r>
      <w:r>
        <w:t>Alzeyoudi et al., 2026</w:t>
      </w:r>
      <w:r>
        <w:rPr>
          <w:rtl/>
        </w:rPr>
        <w:t xml:space="preserve">؛ إبراهيم، 2025؛ صياح، 2025؛ بن صنه، 2023؛ </w:t>
      </w:r>
      <w:r>
        <w:t>Franklin et al., 2009</w:t>
      </w:r>
      <w:r>
        <w:rPr>
          <w:rtl/>
        </w:rPr>
        <w:t>)، ومع دراسات أخرى في تناول صور الانحراف ذاتها التي تقيسها: التنمر (</w:t>
      </w:r>
      <w:r>
        <w:t>Al-Darmaki et al., 2022</w:t>
      </w:r>
      <w:r>
        <w:rPr>
          <w:rtl/>
        </w:rPr>
        <w:t xml:space="preserve">؛ </w:t>
      </w:r>
      <w:r>
        <w:t>Gaffney et al., 2021</w:t>
      </w:r>
      <w:r>
        <w:rPr>
          <w:rtl/>
        </w:rPr>
        <w:t>)، والتعاطي (</w:t>
      </w:r>
      <w:r>
        <w:t>Ahmed et al., 2021</w:t>
      </w:r>
      <w:r>
        <w:rPr>
          <w:rtl/>
        </w:rPr>
        <w:t xml:space="preserve">؛ </w:t>
      </w:r>
      <w:r>
        <w:t>Tanner-Smith &amp; Lipsey, 2015</w:t>
      </w:r>
      <w:r>
        <w:rPr>
          <w:rtl/>
        </w:rPr>
        <w:t xml:space="preserve">)، والعنف </w:t>
      </w:r>
      <w:r>
        <w:t>(Hawkins et al., 2014)</w:t>
      </w:r>
      <w:r>
        <w:rPr>
          <w:rtl/>
        </w:rPr>
        <w:t>.</w:t>
      </w:r>
    </w:p>
    <w:p w:rsidR="00D70BB2" w:rsidRDefault="005632E9">
      <w:pPr>
        <w:pStyle w:val="ListParagraph"/>
        <w:numPr>
          <w:ilvl w:val="0"/>
          <w:numId w:val="12"/>
        </w:numPr>
        <w:bidi/>
        <w:spacing w:line="360" w:lineRule="auto"/>
        <w:jc w:val="both"/>
      </w:pPr>
      <w:r>
        <w:rPr>
          <w:b/>
          <w:bCs/>
          <w:rtl/>
        </w:rPr>
        <w:t>من حيث الفئة:</w:t>
      </w:r>
      <w:r>
        <w:rPr>
          <w:rtl/>
        </w:rPr>
        <w:t xml:space="preserve"> تتفق مع الدراسات التي تناولت الشباب الجامعي والراشدين (</w:t>
      </w:r>
      <w:r>
        <w:t>Al-Darmaki et al., 2022</w:t>
      </w:r>
      <w:r>
        <w:rPr>
          <w:rtl/>
        </w:rPr>
        <w:t xml:space="preserve">؛ </w:t>
      </w:r>
      <w:r>
        <w:t>Ahmed et al., 2021</w:t>
      </w:r>
      <w:r>
        <w:rPr>
          <w:rtl/>
        </w:rPr>
        <w:t xml:space="preserve">؛ إبراهيم، 2025؛ صياح، 2025؛ </w:t>
      </w:r>
      <w:r>
        <w:t>Murphy et al., 2025</w:t>
      </w:r>
      <w:r>
        <w:rPr>
          <w:rtl/>
        </w:rPr>
        <w:t>).</w:t>
      </w:r>
    </w:p>
    <w:p w:rsidR="00D70BB2" w:rsidRDefault="005632E9">
      <w:pPr>
        <w:pStyle w:val="ListParagraph"/>
        <w:numPr>
          <w:ilvl w:val="0"/>
          <w:numId w:val="12"/>
        </w:numPr>
        <w:bidi/>
        <w:spacing w:line="360" w:lineRule="auto"/>
        <w:jc w:val="both"/>
      </w:pPr>
      <w:r>
        <w:rPr>
          <w:b/>
          <w:bCs/>
          <w:rtl/>
        </w:rPr>
        <w:t>من حيث المنهج والأداة:</w:t>
      </w:r>
      <w:r>
        <w:rPr>
          <w:rtl/>
        </w:rPr>
        <w:t xml:space="preserve"> تتفق مع أغلب الدراسات العربية في اعتماد المنهج الوصفي بالمسح الاجتماعي والاستبانة، ومع دراسة إبراهيم (2025) تحديدًا في الجمع بين وجهتي نظر الأخصائيين والمستفيدين، ومع دراسة الدرمكي وآخرين </w:t>
      </w:r>
      <w:r>
        <w:t>(Al-Darmaki et al., 2022)</w:t>
      </w:r>
      <w:r>
        <w:rPr>
          <w:rtl/>
        </w:rPr>
        <w:t xml:space="preserve"> في استخدام العينة العشوائية الطبقية، ومع دراسة العتيبي (2009) في قياس الانحراف بالتقرير الذاتي.</w:t>
      </w:r>
    </w:p>
    <w:p w:rsidR="00D70BB2" w:rsidRDefault="005632E9">
      <w:pPr>
        <w:pStyle w:val="ListParagraph"/>
        <w:numPr>
          <w:ilvl w:val="0"/>
          <w:numId w:val="12"/>
        </w:numPr>
        <w:bidi/>
        <w:spacing w:line="360" w:lineRule="auto"/>
        <w:jc w:val="both"/>
      </w:pPr>
      <w:r>
        <w:rPr>
          <w:b/>
          <w:bCs/>
          <w:rtl/>
        </w:rPr>
        <w:t>من حيث الإطار النظري:</w:t>
      </w:r>
      <w:r>
        <w:rPr>
          <w:rtl/>
        </w:rPr>
        <w:t xml:space="preserve"> تتفق مع دراستي خوري-قصبري وآخرين </w:t>
      </w:r>
      <w:r>
        <w:t>(Khoury-Kassabri et al., 2023)</w:t>
      </w:r>
      <w:r>
        <w:rPr>
          <w:rtl/>
        </w:rPr>
        <w:t xml:space="preserve"> وأوزباي وأوزجان </w:t>
      </w:r>
      <w:r>
        <w:t>(Özbay &amp; Özcan, 2006)</w:t>
      </w:r>
      <w:r>
        <w:rPr>
          <w:rtl/>
        </w:rPr>
        <w:t xml:space="preserve"> في اختبار نظرية الروابط الاجتماعية في </w:t>
      </w:r>
      <w:r>
        <w:rPr>
          <w:rtl/>
        </w:rPr>
        <w:lastRenderedPageBreak/>
        <w:t xml:space="preserve">مجتمعات غير غربية، ومع دراسة هوكنز وآخرين </w:t>
      </w:r>
      <w:r>
        <w:t>(Hawkins et al., 2014)</w:t>
      </w:r>
      <w:r>
        <w:rPr>
          <w:rtl/>
        </w:rPr>
        <w:t xml:space="preserve"> في الاستناد إلى نموذج التنمية الاجتماعية التكاملي.</w:t>
      </w:r>
    </w:p>
    <w:p w:rsidR="00D70BB2" w:rsidRDefault="005632E9">
      <w:pPr>
        <w:pStyle w:val="ListParagraph"/>
        <w:numPr>
          <w:ilvl w:val="0"/>
          <w:numId w:val="12"/>
        </w:numPr>
        <w:bidi/>
        <w:spacing w:line="360" w:lineRule="auto"/>
        <w:jc w:val="both"/>
      </w:pPr>
      <w:r>
        <w:rPr>
          <w:b/>
          <w:bCs/>
          <w:rtl/>
        </w:rPr>
        <w:t>من حيث الأدلة الدولية الحديثة:</w:t>
      </w:r>
      <w:r>
        <w:rPr>
          <w:rtl/>
        </w:rPr>
        <w:t xml:space="preserve"> تتفق الدراسة الحالية مع ما خلصت إليه المراجعات المنهجية الحديثة من أن المقاربات المؤسسية الشاملة وبرامج الوالدية وتنمية المهارات الحياتية من أكثر التدخلات فاعلية في الوقاية من العنف والسلوك المضطرب </w:t>
      </w:r>
      <w:r>
        <w:t>(Little et al., 2026; Soares et al., 2026; Janssen et al., 2024)</w:t>
      </w:r>
      <w:r>
        <w:rPr>
          <w:rtl/>
        </w:rPr>
        <w:t>، وهي المقاربات التي تقابل أبعاد التوعية والإرشاد والشراكة مع الأسرة في الدراسة الحالية.</w:t>
      </w:r>
    </w:p>
    <w:p w:rsidR="00D70BB2" w:rsidRDefault="005632E9">
      <w:pPr>
        <w:pStyle w:val="ListParagraph"/>
        <w:numPr>
          <w:ilvl w:val="0"/>
          <w:numId w:val="12"/>
        </w:numPr>
        <w:bidi/>
        <w:spacing w:line="360" w:lineRule="auto"/>
        <w:jc w:val="both"/>
      </w:pPr>
      <w:r>
        <w:rPr>
          <w:b/>
          <w:bCs/>
          <w:rtl/>
        </w:rPr>
        <w:t>من حيث النتائج العامة:</w:t>
      </w:r>
      <w:r>
        <w:rPr>
          <w:rtl/>
        </w:rPr>
        <w:t xml:space="preserve"> تتفق الدراسات على أن للتدخل المهني والمؤسسي أثرًا في الحد من السلوك المنحرف، وأن هذا الأثر مشروط بالدعم المؤسسي والتدريب والتعاون مع الأسرة ومشاركة الشباب أنفسهم.</w:t>
      </w:r>
    </w:p>
    <w:p w:rsidR="00D70BB2" w:rsidRDefault="005632E9">
      <w:pPr>
        <w:keepNext/>
        <w:bidi/>
        <w:spacing w:before="120" w:after="60" w:line="360" w:lineRule="auto"/>
        <w:jc w:val="both"/>
      </w:pPr>
      <w:r>
        <w:rPr>
          <w:b/>
          <w:bCs/>
          <w:rtl/>
        </w:rPr>
        <w:t>ثانياً: أوجه الاختلاف بين الدراسات السابقة والدراسة الحالية</w:t>
      </w:r>
    </w:p>
    <w:p w:rsidR="00D70BB2" w:rsidRDefault="005632E9">
      <w:pPr>
        <w:bidi/>
        <w:spacing w:line="360" w:lineRule="auto"/>
        <w:jc w:val="both"/>
      </w:pPr>
      <w:r>
        <w:rPr>
          <w:rtl/>
        </w:rPr>
        <w:t>يوضح الجدول (7) أبرز أوجه الاختلاف بين الدراسات السابقة والدراسة الحالية.</w:t>
      </w:r>
    </w:p>
    <w:p w:rsidR="00D70BB2" w:rsidRDefault="005632E9">
      <w:pPr>
        <w:keepNext/>
        <w:bidi/>
        <w:spacing w:before="120" w:after="60" w:line="360" w:lineRule="auto"/>
        <w:jc w:val="center"/>
      </w:pPr>
      <w:r>
        <w:rPr>
          <w:b/>
          <w:bCs/>
          <w:rtl/>
        </w:rPr>
        <w:t>جدول (7): أوجه الاختلاف بين الدراسات السابقة والدراسة الحالية</w:t>
      </w:r>
    </w:p>
    <w:tbl>
      <w:tblPr>
        <w:bidiVisual/>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3400"/>
        <w:gridCol w:w="3960"/>
      </w:tblGrid>
      <w:tr w:rsidR="00D70BB2">
        <w:trPr>
          <w:cantSplit/>
          <w:tblHeader/>
          <w:jc w:val="center"/>
        </w:trPr>
        <w:tc>
          <w:tcPr>
            <w:tcW w:w="2000" w:type="dxa"/>
            <w:shd w:val="clear" w:color="auto" w:fill="D9E2F3"/>
          </w:tcPr>
          <w:p w:rsidR="00D70BB2" w:rsidRDefault="005632E9" w:rsidP="00C102DF">
            <w:pPr>
              <w:bidi/>
              <w:spacing w:after="0" w:line="240" w:lineRule="auto"/>
              <w:jc w:val="center"/>
            </w:pPr>
            <w:r>
              <w:rPr>
                <w:b/>
                <w:bCs/>
                <w:sz w:val="22"/>
                <w:szCs w:val="22"/>
                <w:rtl/>
              </w:rPr>
              <w:t>وجه المقارنة</w:t>
            </w:r>
          </w:p>
        </w:tc>
        <w:tc>
          <w:tcPr>
            <w:tcW w:w="3400" w:type="dxa"/>
            <w:shd w:val="clear" w:color="auto" w:fill="D9E2F3"/>
          </w:tcPr>
          <w:p w:rsidR="00D70BB2" w:rsidRDefault="005632E9" w:rsidP="00C102DF">
            <w:pPr>
              <w:bidi/>
              <w:spacing w:after="0" w:line="240" w:lineRule="auto"/>
              <w:jc w:val="center"/>
            </w:pPr>
            <w:r>
              <w:rPr>
                <w:b/>
                <w:bCs/>
                <w:sz w:val="22"/>
                <w:szCs w:val="22"/>
                <w:rtl/>
              </w:rPr>
              <w:t>الدراسات السابقة</w:t>
            </w:r>
          </w:p>
        </w:tc>
        <w:tc>
          <w:tcPr>
            <w:tcW w:w="3960" w:type="dxa"/>
            <w:shd w:val="clear" w:color="auto" w:fill="D9E2F3"/>
          </w:tcPr>
          <w:p w:rsidR="00D70BB2" w:rsidRDefault="005632E9" w:rsidP="00C102DF">
            <w:pPr>
              <w:bidi/>
              <w:spacing w:after="0" w:line="240" w:lineRule="auto"/>
              <w:jc w:val="center"/>
            </w:pPr>
            <w:r>
              <w:rPr>
                <w:b/>
                <w:bCs/>
                <w:sz w:val="22"/>
                <w:szCs w:val="22"/>
                <w:rtl/>
              </w:rPr>
              <w:t>الدراسة الحالية</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السياق المكاني</w:t>
            </w:r>
          </w:p>
        </w:tc>
        <w:tc>
          <w:tcPr>
            <w:tcW w:w="3400" w:type="dxa"/>
          </w:tcPr>
          <w:p w:rsidR="00D70BB2" w:rsidRDefault="005632E9" w:rsidP="00C102DF">
            <w:pPr>
              <w:bidi/>
              <w:spacing w:after="0" w:line="240" w:lineRule="auto"/>
              <w:jc w:val="center"/>
            </w:pPr>
            <w:r>
              <w:rPr>
                <w:sz w:val="22"/>
                <w:szCs w:val="22"/>
                <w:rtl/>
              </w:rPr>
              <w:t>أبوظبي والعين غالبًا في الدراسات الإماراتية، ومصر واليمن والسعودية في العربية</w:t>
            </w:r>
          </w:p>
        </w:tc>
        <w:tc>
          <w:tcPr>
            <w:tcW w:w="3960" w:type="dxa"/>
          </w:tcPr>
          <w:p w:rsidR="00D70BB2" w:rsidRDefault="005632E9" w:rsidP="00C102DF">
            <w:pPr>
              <w:bidi/>
              <w:spacing w:after="0" w:line="240" w:lineRule="auto"/>
              <w:jc w:val="center"/>
            </w:pPr>
            <w:r>
              <w:rPr>
                <w:sz w:val="22"/>
                <w:szCs w:val="22"/>
                <w:rtl/>
              </w:rPr>
              <w:t>إمارة الشارقة</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الفئة العمرية</w:t>
            </w:r>
          </w:p>
        </w:tc>
        <w:tc>
          <w:tcPr>
            <w:tcW w:w="3400" w:type="dxa"/>
          </w:tcPr>
          <w:p w:rsidR="00D70BB2" w:rsidRDefault="005632E9" w:rsidP="00C102DF">
            <w:pPr>
              <w:bidi/>
              <w:spacing w:after="0" w:line="240" w:lineRule="auto"/>
              <w:jc w:val="center"/>
            </w:pPr>
            <w:r>
              <w:rPr>
                <w:sz w:val="22"/>
                <w:szCs w:val="22"/>
                <w:rtl/>
              </w:rPr>
              <w:t>طلبة المدارس دون 18 سنة في معظم دراسات دور الأخصائي الاجتماعي</w:t>
            </w:r>
          </w:p>
        </w:tc>
        <w:tc>
          <w:tcPr>
            <w:tcW w:w="3960" w:type="dxa"/>
          </w:tcPr>
          <w:p w:rsidR="00D70BB2" w:rsidRDefault="005632E9" w:rsidP="00C102DF">
            <w:pPr>
              <w:bidi/>
              <w:spacing w:after="0" w:line="240" w:lineRule="auto"/>
              <w:jc w:val="center"/>
            </w:pPr>
            <w:r>
              <w:rPr>
                <w:sz w:val="22"/>
                <w:szCs w:val="22"/>
                <w:rtl/>
              </w:rPr>
              <w:t>الشباب الإماراتي الراشد (18–30 سنة)</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نوع المؤسسة</w:t>
            </w:r>
          </w:p>
        </w:tc>
        <w:tc>
          <w:tcPr>
            <w:tcW w:w="3400" w:type="dxa"/>
          </w:tcPr>
          <w:p w:rsidR="00D70BB2" w:rsidRDefault="005632E9" w:rsidP="00C102DF">
            <w:pPr>
              <w:bidi/>
              <w:spacing w:after="0" w:line="240" w:lineRule="auto"/>
              <w:jc w:val="center"/>
            </w:pPr>
            <w:r>
              <w:rPr>
                <w:sz w:val="22"/>
                <w:szCs w:val="22"/>
                <w:rtl/>
              </w:rPr>
              <w:t>مدرسية أو جامعية غالبًا</w:t>
            </w:r>
          </w:p>
        </w:tc>
        <w:tc>
          <w:tcPr>
            <w:tcW w:w="3960" w:type="dxa"/>
          </w:tcPr>
          <w:p w:rsidR="00D70BB2" w:rsidRDefault="005632E9" w:rsidP="00C102DF">
            <w:pPr>
              <w:bidi/>
              <w:spacing w:after="0" w:line="240" w:lineRule="auto"/>
              <w:jc w:val="center"/>
            </w:pPr>
            <w:r>
              <w:rPr>
                <w:sz w:val="22"/>
                <w:szCs w:val="22"/>
                <w:rtl/>
              </w:rPr>
              <w:t>المؤسسات التعليمية والمجتمعية معًا مع المقارنة بينهما</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lastRenderedPageBreak/>
              <w:t>مصدر البيانات</w:t>
            </w:r>
          </w:p>
        </w:tc>
        <w:tc>
          <w:tcPr>
            <w:tcW w:w="3400" w:type="dxa"/>
          </w:tcPr>
          <w:p w:rsidR="00D70BB2" w:rsidRDefault="005632E9" w:rsidP="00C102DF">
            <w:pPr>
              <w:bidi/>
              <w:spacing w:after="0" w:line="240" w:lineRule="auto"/>
              <w:jc w:val="center"/>
            </w:pPr>
            <w:r>
              <w:rPr>
                <w:sz w:val="22"/>
                <w:szCs w:val="22"/>
                <w:rtl/>
              </w:rPr>
              <w:t>الأخصائيون فقط غالبًا، أو المستفيدون فقط</w:t>
            </w:r>
          </w:p>
        </w:tc>
        <w:tc>
          <w:tcPr>
            <w:tcW w:w="3960" w:type="dxa"/>
          </w:tcPr>
          <w:p w:rsidR="00D70BB2" w:rsidRDefault="005632E9" w:rsidP="00C102DF">
            <w:pPr>
              <w:bidi/>
              <w:spacing w:after="0" w:line="240" w:lineRule="auto"/>
              <w:jc w:val="center"/>
            </w:pPr>
            <w:r>
              <w:rPr>
                <w:sz w:val="22"/>
                <w:szCs w:val="22"/>
                <w:rtl/>
              </w:rPr>
              <w:t>الشباب والأخصائيون معًا مع المقارنة بين تقديراتهما (ف6)</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المتغير التابع</w:t>
            </w:r>
          </w:p>
        </w:tc>
        <w:tc>
          <w:tcPr>
            <w:tcW w:w="3400" w:type="dxa"/>
          </w:tcPr>
          <w:p w:rsidR="00D70BB2" w:rsidRDefault="005632E9" w:rsidP="00C102DF">
            <w:pPr>
              <w:bidi/>
              <w:spacing w:after="0" w:line="240" w:lineRule="auto"/>
              <w:jc w:val="center"/>
            </w:pPr>
            <w:r>
              <w:rPr>
                <w:sz w:val="22"/>
                <w:szCs w:val="22"/>
                <w:rtl/>
              </w:rPr>
              <w:t>صورة واحدة غالبًا (التنمر أو التدخين)</w:t>
            </w:r>
          </w:p>
        </w:tc>
        <w:tc>
          <w:tcPr>
            <w:tcW w:w="3960" w:type="dxa"/>
          </w:tcPr>
          <w:p w:rsidR="00D70BB2" w:rsidRDefault="005632E9" w:rsidP="00C102DF">
            <w:pPr>
              <w:bidi/>
              <w:spacing w:after="0" w:line="240" w:lineRule="auto"/>
              <w:jc w:val="center"/>
            </w:pPr>
            <w:r>
              <w:rPr>
                <w:sz w:val="22"/>
                <w:szCs w:val="22"/>
                <w:rtl/>
              </w:rPr>
              <w:t>ثلاث صور في مقياس واحد</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تصميم الدراسة</w:t>
            </w:r>
          </w:p>
        </w:tc>
        <w:tc>
          <w:tcPr>
            <w:tcW w:w="3400" w:type="dxa"/>
          </w:tcPr>
          <w:p w:rsidR="00D70BB2" w:rsidRDefault="005632E9" w:rsidP="00C102DF">
            <w:pPr>
              <w:bidi/>
              <w:spacing w:after="0" w:line="240" w:lineRule="auto"/>
              <w:jc w:val="center"/>
            </w:pPr>
            <w:r>
              <w:rPr>
                <w:sz w:val="22"/>
                <w:szCs w:val="22"/>
                <w:rtl/>
              </w:rPr>
              <w:t>نظري تحليلي، أو نوعي، أو وصفي لمستوى الدور دون ربطه بالسلوك</w:t>
            </w:r>
          </w:p>
        </w:tc>
        <w:tc>
          <w:tcPr>
            <w:tcW w:w="3960" w:type="dxa"/>
          </w:tcPr>
          <w:p w:rsidR="00D70BB2" w:rsidRDefault="005632E9" w:rsidP="00C102DF">
            <w:pPr>
              <w:bidi/>
              <w:spacing w:after="0" w:line="240" w:lineRule="auto"/>
              <w:jc w:val="center"/>
            </w:pPr>
            <w:r>
              <w:rPr>
                <w:sz w:val="22"/>
                <w:szCs w:val="22"/>
                <w:rtl/>
              </w:rPr>
              <w:t>ميداني يختبر العلاقة بين فاعلية الدور ودرجة السلوك المنحرف ويقدر الإسهام التنبؤي</w:t>
            </w:r>
          </w:p>
        </w:tc>
      </w:tr>
      <w:tr w:rsidR="00D70BB2">
        <w:trPr>
          <w:cantSplit/>
          <w:jc w:val="center"/>
        </w:trPr>
        <w:tc>
          <w:tcPr>
            <w:tcW w:w="2000" w:type="dxa"/>
          </w:tcPr>
          <w:p w:rsidR="00D70BB2" w:rsidRDefault="005632E9" w:rsidP="00C102DF">
            <w:pPr>
              <w:bidi/>
              <w:spacing w:after="0" w:line="240" w:lineRule="auto"/>
              <w:jc w:val="center"/>
            </w:pPr>
            <w:r>
              <w:rPr>
                <w:sz w:val="22"/>
                <w:szCs w:val="22"/>
                <w:rtl/>
              </w:rPr>
              <w:t>الإطار النظري</w:t>
            </w:r>
          </w:p>
        </w:tc>
        <w:tc>
          <w:tcPr>
            <w:tcW w:w="3400" w:type="dxa"/>
          </w:tcPr>
          <w:p w:rsidR="00D70BB2" w:rsidRDefault="005632E9" w:rsidP="00C102DF">
            <w:pPr>
              <w:bidi/>
              <w:spacing w:after="0" w:line="240" w:lineRule="auto"/>
              <w:jc w:val="center"/>
            </w:pPr>
            <w:r>
              <w:rPr>
                <w:sz w:val="22"/>
                <w:szCs w:val="22"/>
                <w:rtl/>
              </w:rPr>
              <w:t>نظرية الدور والبنائية الوظيفية، أو الأنومي، أو دون إطار مفسر</w:t>
            </w:r>
          </w:p>
        </w:tc>
        <w:tc>
          <w:tcPr>
            <w:tcW w:w="3960" w:type="dxa"/>
          </w:tcPr>
          <w:p w:rsidR="00D70BB2" w:rsidRDefault="005632E9" w:rsidP="00C102DF">
            <w:pPr>
              <w:bidi/>
              <w:spacing w:after="0" w:line="240" w:lineRule="auto"/>
              <w:jc w:val="center"/>
            </w:pPr>
            <w:r>
              <w:rPr>
                <w:sz w:val="22"/>
                <w:szCs w:val="22"/>
                <w:rtl/>
              </w:rPr>
              <w:t>نظريتا الروابط الاجتماعية والتعلم الاجتماعي في نموذج تكاملي</w:t>
            </w:r>
          </w:p>
        </w:tc>
      </w:tr>
    </w:tbl>
    <w:p w:rsidR="00D70BB2" w:rsidRDefault="00D70BB2">
      <w:pPr>
        <w:bidi/>
        <w:spacing w:after="0" w:line="360" w:lineRule="auto"/>
        <w:jc w:val="both"/>
      </w:pPr>
    </w:p>
    <w:p w:rsidR="00D70BB2" w:rsidRDefault="005632E9">
      <w:pPr>
        <w:keepNext/>
        <w:bidi/>
        <w:spacing w:before="160" w:after="80" w:line="360" w:lineRule="auto"/>
        <w:jc w:val="both"/>
      </w:pPr>
      <w:r>
        <w:rPr>
          <w:b/>
          <w:bCs/>
          <w:sz w:val="30"/>
          <w:szCs w:val="30"/>
          <w:rtl/>
        </w:rPr>
        <w:t>المطلب الثاني: فحص الاختلافات في نتائج الدراسات السابقة وتفسيراتها الممكنة</w:t>
      </w:r>
    </w:p>
    <w:p w:rsidR="00D70BB2" w:rsidRDefault="005632E9">
      <w:pPr>
        <w:pStyle w:val="ListParagraph"/>
        <w:numPr>
          <w:ilvl w:val="0"/>
          <w:numId w:val="12"/>
        </w:numPr>
        <w:bidi/>
        <w:spacing w:line="360" w:lineRule="auto"/>
        <w:jc w:val="both"/>
      </w:pPr>
      <w:r>
        <w:rPr>
          <w:b/>
          <w:bCs/>
          <w:rtl/>
        </w:rPr>
        <w:t>اختلاف تقدير مستوى الدور:</w:t>
      </w:r>
      <w:r>
        <w:rPr>
          <w:rtl/>
        </w:rPr>
        <w:t xml:space="preserve"> جاءت أدوار الأخصائي الاجتماعي بمستوى متوسط في دراسة إبراهيم (2025) التي جمعت بين تقدير الأخصائيين والطلبة، في حين جاءت أدوار المؤسسة المدرسية مرتفعة في دراسة الحنفي (2023) التي اعتمدت على تقدير العاملين في المدارس، وجاءت متطلبات الدور مرتفعة في دراسة صياح (2025) القائمة على تقدير الأخصائيين وحدهم. ويمكن تفسير هذا التباين جزئيًا بمصدر البيانات؛ إذ يميل المنفذون إلى تقدير أدوارهم بدرجة أعلى من المستفيدين، وهو ما يسوّغ الفرضية السادسة للدراسة الحالية التي تقارن بين التقديرين.</w:t>
      </w:r>
    </w:p>
    <w:p w:rsidR="00D70BB2" w:rsidRDefault="005632E9">
      <w:pPr>
        <w:pStyle w:val="ListParagraph"/>
        <w:numPr>
          <w:ilvl w:val="0"/>
          <w:numId w:val="12"/>
        </w:numPr>
        <w:bidi/>
        <w:spacing w:line="360" w:lineRule="auto"/>
        <w:jc w:val="both"/>
      </w:pPr>
      <w:r>
        <w:rPr>
          <w:b/>
          <w:bCs/>
          <w:rtl/>
        </w:rPr>
        <w:t>اختلاف حجم أثر التدخل بحسب نوع المشكلة والعمر:</w:t>
      </w:r>
      <w:r>
        <w:rPr>
          <w:rtl/>
        </w:rPr>
        <w:t xml:space="preserve"> وجد فرانكلين وآخرون </w:t>
      </w:r>
      <w:r>
        <w:t>(Franklin et al., 2009)</w:t>
      </w:r>
      <w:r>
        <w:rPr>
          <w:rtl/>
        </w:rPr>
        <w:t xml:space="preserve"> أن أثر العمل الاجتماعي المدرسي في المشكلات الخارجية أصغر منه في المشكلات الداخلية، ووجد تانر-سميث وليبسي </w:t>
      </w:r>
      <w:r>
        <w:t>(Tanner-Smith &amp; Lipsey, 2015)</w:t>
      </w:r>
      <w:r>
        <w:rPr>
          <w:rtl/>
        </w:rPr>
        <w:t xml:space="preserve"> أن أثر التدخلات المختصرة لدى الراشدين الشباب أصغر منه لدى المراهقين، في حين أظهرت دراسة بن صنه (2023) علاقة متوسطة بين أساليب الأخصائيين والحد من التنمر. ويمكن تفسير ذلك باختلاف أسلوب القياس (تقدير الأخصائي </w:t>
      </w:r>
      <w:r>
        <w:rPr>
          <w:rtl/>
        </w:rPr>
        <w:lastRenderedPageBreak/>
        <w:t xml:space="preserve">لأثره مقابل قياس سلوك المستفيد)، وبأن السلوك الخارجي لدى الراشدين أكثر رسوخًا وأكثر ارتباطًا بعوامل خارج المؤسسة (الأقران ووسائل التواصل). ويقتضي ذلك أن تتوقع الدراسة الحالية علاقات عكسية </w:t>
      </w:r>
      <w:r>
        <w:rPr>
          <w:b/>
          <w:bCs/>
          <w:rtl/>
        </w:rPr>
        <w:t>ضعيفة إلى متوسطة</w:t>
      </w:r>
      <w:r>
        <w:rPr>
          <w:rtl/>
        </w:rPr>
        <w:t>، وأن تفسرها بحذر.</w:t>
      </w:r>
    </w:p>
    <w:p w:rsidR="00D70BB2" w:rsidRDefault="005632E9">
      <w:pPr>
        <w:pStyle w:val="ListParagraph"/>
        <w:numPr>
          <w:ilvl w:val="0"/>
          <w:numId w:val="12"/>
        </w:numPr>
        <w:bidi/>
        <w:spacing w:line="360" w:lineRule="auto"/>
        <w:jc w:val="both"/>
      </w:pPr>
      <w:r>
        <w:rPr>
          <w:b/>
          <w:bCs/>
          <w:rtl/>
        </w:rPr>
        <w:t>اختلاف اتجاه الفروق بين الجنسين:</w:t>
      </w:r>
      <w:r>
        <w:rPr>
          <w:rtl/>
        </w:rPr>
        <w:t xml:space="preserve"> كانت الإناث أكثر تعرضًا للتنمر في دراسة الدرمكي وآخرين </w:t>
      </w:r>
      <w:r>
        <w:t>(Al-Darmaki et al., 2022)</w:t>
      </w:r>
      <w:r>
        <w:rPr>
          <w:rtl/>
        </w:rPr>
        <w:t xml:space="preserve">، في حين كان الذكور أعلى في التدخين بأكثر من خمسة أضعاف في دراسة أحمد وآخرين </w:t>
      </w:r>
      <w:r>
        <w:t>(Ahmed et al., 2021)</w:t>
      </w:r>
      <w:r>
        <w:rPr>
          <w:rtl/>
        </w:rPr>
        <w:t xml:space="preserve">، وارتفع التعرض للتنمر لدى الجنسين معًا في دراسة بنغبيد وبيلتزر </w:t>
      </w:r>
      <w:r>
        <w:t>(Pengpid &amp; Peltzer, 2020)</w:t>
      </w:r>
      <w:r>
        <w:rPr>
          <w:rtl/>
        </w:rPr>
        <w:t>. ويشير ذلك إلى أن اتجاه الفروق بحسب الجنس يختلف باختلاف صورة الانحراف، وهو ما يسوغ صياغة الفرضية الرابعة صياغة غير موجهة، وتحليل الفروق لكل بعد من أبعاد السلوك المنحرف على حدة.</w:t>
      </w:r>
    </w:p>
    <w:p w:rsidR="00D70BB2" w:rsidRDefault="005632E9">
      <w:pPr>
        <w:pStyle w:val="ListParagraph"/>
        <w:numPr>
          <w:ilvl w:val="0"/>
          <w:numId w:val="12"/>
        </w:numPr>
        <w:bidi/>
        <w:spacing w:line="360" w:lineRule="auto"/>
        <w:jc w:val="both"/>
      </w:pPr>
      <w:r>
        <w:rPr>
          <w:b/>
          <w:bCs/>
          <w:rtl/>
        </w:rPr>
        <w:t>اختلاف أثر الوقاية بين منع البدء وخفض الانتشار:</w:t>
      </w:r>
      <w:r>
        <w:rPr>
          <w:rtl/>
        </w:rPr>
        <w:t xml:space="preserve"> أظهرت دراسة هوكنز وآخرين </w:t>
      </w:r>
      <w:r>
        <w:t>(Hawkins et al., 2014)</w:t>
      </w:r>
      <w:r>
        <w:rPr>
          <w:rtl/>
        </w:rPr>
        <w:t xml:space="preserve"> أثرًا في منع بدء السلوك دون أثر في انتشاره الحالي، في حين أظهرت مراجعة جافني وآخرين </w:t>
      </w:r>
      <w:r>
        <w:t>(Gaffney et al., 2021)</w:t>
      </w:r>
      <w:r>
        <w:rPr>
          <w:rtl/>
        </w:rPr>
        <w:t xml:space="preserve"> خفضًا في الانتشار. ويمكن تفسير ذلك باختلاف المدى الزمني وطبيعة التدخل، ويُنبه الدراسة الحالية إلى أن قياس السلوك خلال الاثني عشر شهرًا السابقة قد لا يلتقط كامل الأثر الوقائي.</w:t>
      </w:r>
    </w:p>
    <w:p w:rsidR="00D70BB2" w:rsidRDefault="005632E9">
      <w:pPr>
        <w:keepNext/>
        <w:bidi/>
        <w:spacing w:before="160" w:after="80" w:line="360" w:lineRule="auto"/>
        <w:jc w:val="both"/>
      </w:pPr>
      <w:r>
        <w:rPr>
          <w:b/>
          <w:bCs/>
          <w:sz w:val="30"/>
          <w:szCs w:val="30"/>
          <w:rtl/>
        </w:rPr>
        <w:lastRenderedPageBreak/>
        <w:t>المطلب الثالث: أوجه الإفادة وموقع الدراسة الحالية</w:t>
      </w:r>
    </w:p>
    <w:p w:rsidR="00D70BB2" w:rsidRDefault="005632E9">
      <w:pPr>
        <w:keepNext/>
        <w:bidi/>
        <w:spacing w:before="120" w:after="60" w:line="360" w:lineRule="auto"/>
        <w:jc w:val="both"/>
      </w:pPr>
      <w:r>
        <w:rPr>
          <w:b/>
          <w:bCs/>
          <w:rtl/>
        </w:rPr>
        <w:t>أولاً: أوجه إفادة الدراسة الحالية من الدراسات السابقة</w:t>
      </w:r>
    </w:p>
    <w:p w:rsidR="00D70BB2" w:rsidRDefault="005632E9">
      <w:pPr>
        <w:pStyle w:val="ListParagraph"/>
        <w:numPr>
          <w:ilvl w:val="0"/>
          <w:numId w:val="12"/>
        </w:numPr>
        <w:bidi/>
        <w:spacing w:line="360" w:lineRule="auto"/>
        <w:jc w:val="both"/>
      </w:pPr>
      <w:r>
        <w:rPr>
          <w:b/>
          <w:bCs/>
          <w:rtl/>
        </w:rPr>
        <w:t>في صياغة المشكلة والفجوة البحثية:</w:t>
      </w:r>
      <w:r>
        <w:rPr>
          <w:rtl/>
        </w:rPr>
        <w:t xml:space="preserve"> كشفت الدراسات عن غلبة البيئة المدرسية والتحليل النظري على الدراسات الإماراتية، وعن ندرة الدراسات التي تربط أداء الأخصائي الاجتماعي بمستوى السلوك لدى المستفيدين.</w:t>
      </w:r>
    </w:p>
    <w:p w:rsidR="00D70BB2" w:rsidRDefault="005632E9">
      <w:pPr>
        <w:pStyle w:val="ListParagraph"/>
        <w:numPr>
          <w:ilvl w:val="0"/>
          <w:numId w:val="12"/>
        </w:numPr>
        <w:bidi/>
        <w:spacing w:line="360" w:lineRule="auto"/>
        <w:jc w:val="both"/>
      </w:pPr>
      <w:r>
        <w:rPr>
          <w:b/>
          <w:bCs/>
          <w:rtl/>
        </w:rPr>
        <w:t>في بناء الإطار النظري:</w:t>
      </w:r>
      <w:r>
        <w:rPr>
          <w:rtl/>
        </w:rPr>
        <w:t xml:space="preserve"> أفادت الدراسة من نتائج اختبار نظرية الروابط الاجتماعية في السياقات العربية والتقليدية (</w:t>
      </w:r>
      <w:r>
        <w:t>Khoury-Kassabri et al., 2023</w:t>
      </w:r>
      <w:r>
        <w:rPr>
          <w:rtl/>
        </w:rPr>
        <w:t xml:space="preserve">؛ </w:t>
      </w:r>
      <w:r>
        <w:t>Özbay &amp; Özcan, 2006</w:t>
      </w:r>
      <w:r>
        <w:rPr>
          <w:rtl/>
        </w:rPr>
        <w:t xml:space="preserve">)، ومن نموذج التنمية الاجتماعية وتطبيقاته </w:t>
      </w:r>
      <w:r>
        <w:t>(Hawkins et al., 2014)</w:t>
      </w:r>
      <w:r>
        <w:rPr>
          <w:rtl/>
        </w:rPr>
        <w:t xml:space="preserve"> في الربط بين النظريتين.</w:t>
      </w:r>
    </w:p>
    <w:p w:rsidR="00D70BB2" w:rsidRDefault="005632E9">
      <w:pPr>
        <w:pStyle w:val="ListParagraph"/>
        <w:numPr>
          <w:ilvl w:val="0"/>
          <w:numId w:val="12"/>
        </w:numPr>
        <w:bidi/>
        <w:spacing w:line="360" w:lineRule="auto"/>
        <w:jc w:val="both"/>
      </w:pPr>
      <w:r>
        <w:rPr>
          <w:b/>
          <w:bCs/>
          <w:rtl/>
        </w:rPr>
        <w:t>في تحديد أبعاد المتغيرين:</w:t>
      </w:r>
      <w:r>
        <w:rPr>
          <w:rtl/>
        </w:rPr>
        <w:t xml:space="preserve"> أفادت في تحديد أبعاد الدور الوقائي (التوعية، والإرشاد، والاكتشاف والإحالة، والشراكة) من دراسات الزيودي وآخرين (2026) والبريثن والفلاسي (2024) والعلي (2013)، وفي تحديد صور السلوك المنحرف ومؤشراتها في السياق الإماراتي (كإدراج المدواخ والتنمر الإلكتروني) من دراستي أحمد وآخرين (2021) والدرمكي وآخرين (2022).</w:t>
      </w:r>
    </w:p>
    <w:p w:rsidR="00D70BB2" w:rsidRDefault="005632E9">
      <w:pPr>
        <w:pStyle w:val="ListParagraph"/>
        <w:numPr>
          <w:ilvl w:val="0"/>
          <w:numId w:val="12"/>
        </w:numPr>
        <w:bidi/>
        <w:spacing w:line="360" w:lineRule="auto"/>
        <w:jc w:val="both"/>
      </w:pPr>
      <w:r>
        <w:rPr>
          <w:b/>
          <w:bCs/>
          <w:rtl/>
        </w:rPr>
        <w:t>في اشتقاق الفرضيات:</w:t>
      </w:r>
      <w:r>
        <w:rPr>
          <w:rtl/>
        </w:rPr>
        <w:t xml:space="preserve"> أفادت في صياغة فرضيات الفروق بحسب الجنس والعمر (</w:t>
      </w:r>
      <w:r>
        <w:t>Ahmed et al., 2021</w:t>
      </w:r>
      <w:r>
        <w:rPr>
          <w:rtl/>
        </w:rPr>
        <w:t>؛ الحنفي، 2023)، وفرضية المقارنة بين المنفذين والمستفيدين (إبراهيم، 2025؛ صياح، 2025)، وفرضية المشاركة (صياح، 2025؛ الجبالي، 2020).</w:t>
      </w:r>
    </w:p>
    <w:p w:rsidR="00D70BB2" w:rsidRDefault="005632E9">
      <w:pPr>
        <w:pStyle w:val="ListParagraph"/>
        <w:numPr>
          <w:ilvl w:val="0"/>
          <w:numId w:val="12"/>
        </w:numPr>
        <w:bidi/>
        <w:spacing w:line="360" w:lineRule="auto"/>
        <w:jc w:val="both"/>
      </w:pPr>
      <w:r>
        <w:rPr>
          <w:b/>
          <w:bCs/>
          <w:rtl/>
        </w:rPr>
        <w:t>في الإجراءات المنهجية:</w:t>
      </w:r>
      <w:r>
        <w:rPr>
          <w:rtl/>
        </w:rPr>
        <w:t xml:space="preserve"> أفادت في اختيار العينة العشوائية الطبقية، وإجراءات الصدق والثبات، واستخدام التحليل العاملي والانحدار، وبناء دليل المقابلة حول المعوقات.</w:t>
      </w:r>
    </w:p>
    <w:p w:rsidR="00D70BB2" w:rsidRDefault="005632E9">
      <w:pPr>
        <w:pStyle w:val="ListParagraph"/>
        <w:numPr>
          <w:ilvl w:val="0"/>
          <w:numId w:val="12"/>
        </w:numPr>
        <w:bidi/>
        <w:spacing w:line="360" w:lineRule="auto"/>
        <w:jc w:val="both"/>
      </w:pPr>
      <w:r>
        <w:rPr>
          <w:b/>
          <w:bCs/>
          <w:rtl/>
        </w:rPr>
        <w:lastRenderedPageBreak/>
        <w:t>في تفسير النتائج:</w:t>
      </w:r>
      <w:r>
        <w:rPr>
          <w:rtl/>
        </w:rPr>
        <w:t xml:space="preserve"> ستُستخدم نتائج الدراسات السابقة في مناقشة نتائج الدراسة الحالية ومقارنتها، وتفسير ما يتفق معها وما يختلف عنها.</w:t>
      </w:r>
    </w:p>
    <w:p w:rsidR="00D70BB2" w:rsidRDefault="005632E9">
      <w:pPr>
        <w:keepNext/>
        <w:bidi/>
        <w:spacing w:before="120" w:after="60" w:line="360" w:lineRule="auto"/>
        <w:jc w:val="both"/>
      </w:pPr>
      <w:r>
        <w:rPr>
          <w:b/>
          <w:bCs/>
          <w:rtl/>
        </w:rPr>
        <w:t>ثانياً: موقع الدراسة الحالية بين الدراسات السابقة والإضافة العلمية المتوقعة</w:t>
      </w:r>
    </w:p>
    <w:p w:rsidR="00D70BB2" w:rsidRDefault="005632E9">
      <w:pPr>
        <w:bidi/>
        <w:spacing w:line="360" w:lineRule="auto"/>
        <w:jc w:val="both"/>
      </w:pPr>
      <w:r>
        <w:rPr>
          <w:rtl/>
        </w:rPr>
        <w:t>في ضوء ما سبق، تتحدد الإضافة التي تسعى الدراسة الحالية إلى تقديمها – في حدود اطلاع الباحثة – في النقاط الآتية:</w:t>
      </w:r>
    </w:p>
    <w:p w:rsidR="00D70BB2" w:rsidRDefault="005632E9">
      <w:pPr>
        <w:pStyle w:val="ListParagraph"/>
        <w:numPr>
          <w:ilvl w:val="0"/>
          <w:numId w:val="12"/>
        </w:numPr>
        <w:bidi/>
        <w:spacing w:line="360" w:lineRule="auto"/>
        <w:jc w:val="both"/>
      </w:pPr>
      <w:r>
        <w:rPr>
          <w:b/>
          <w:bCs/>
          <w:rtl/>
        </w:rPr>
        <w:t>سد فجوة سياقية:</w:t>
      </w:r>
      <w:r>
        <w:rPr>
          <w:rtl/>
        </w:rPr>
        <w:t xml:space="preserve"> تُعد – في حدود ما اطلعت عليه الباحثة – من الدراسات الميدانية القليلة التي تتناول الدور الوقائي للأخصائي الاجتماعي مع الشباب الإماراتي الراشد (18–30 سنة) في إمارة الشارقة، وفي المؤسسات التعليمية والمجتمعية معًا.</w:t>
      </w:r>
    </w:p>
    <w:p w:rsidR="00D70BB2" w:rsidRDefault="005632E9">
      <w:pPr>
        <w:pStyle w:val="ListParagraph"/>
        <w:numPr>
          <w:ilvl w:val="0"/>
          <w:numId w:val="12"/>
        </w:numPr>
        <w:bidi/>
        <w:spacing w:line="360" w:lineRule="auto"/>
        <w:jc w:val="both"/>
      </w:pPr>
      <w:r>
        <w:rPr>
          <w:b/>
          <w:bCs/>
          <w:rtl/>
        </w:rPr>
        <w:t>سد فجوة منهجية:</w:t>
      </w:r>
      <w:r>
        <w:rPr>
          <w:rtl/>
        </w:rPr>
        <w:t xml:space="preserve"> تنتقل من وصف مستوى الدور – كما في معظم الدراسات العربية – إلى اختبار علاقته الإحصائية بدرجة السلوك المنحرف لدى المستفيدين وتقدير إسهامه التنبؤي، وتقارن بين تقديرات المنفذين والمستفيدين.</w:t>
      </w:r>
    </w:p>
    <w:p w:rsidR="00D70BB2" w:rsidRDefault="005632E9">
      <w:pPr>
        <w:pStyle w:val="ListParagraph"/>
        <w:numPr>
          <w:ilvl w:val="0"/>
          <w:numId w:val="12"/>
        </w:numPr>
        <w:bidi/>
        <w:spacing w:line="360" w:lineRule="auto"/>
        <w:jc w:val="both"/>
      </w:pPr>
      <w:r>
        <w:rPr>
          <w:b/>
          <w:bCs/>
          <w:rtl/>
        </w:rPr>
        <w:t>سد فجوة نظرية:</w:t>
      </w:r>
      <w:r>
        <w:rPr>
          <w:rtl/>
        </w:rPr>
        <w:t xml:space="preserve"> تختبر نموذجًا تكامليًا يجمع نظريتي الروابط الاجتماعية والتعلم الاجتماعي في سياق عربي خليجي، وتربط كل بعد من أبعاد الدور الوقائي بمفهوم نظري محدد، ما يسمح بالحكم على صلاحية النظريتين في هذا السياق.</w:t>
      </w:r>
    </w:p>
    <w:p w:rsidR="00D70BB2" w:rsidRDefault="005632E9">
      <w:pPr>
        <w:pStyle w:val="ListParagraph"/>
        <w:numPr>
          <w:ilvl w:val="0"/>
          <w:numId w:val="12"/>
        </w:numPr>
        <w:bidi/>
        <w:spacing w:line="360" w:lineRule="auto"/>
        <w:jc w:val="both"/>
      </w:pPr>
      <w:r>
        <w:rPr>
          <w:b/>
          <w:bCs/>
          <w:rtl/>
        </w:rPr>
        <w:t>إضافة أداتية:</w:t>
      </w:r>
      <w:r>
        <w:rPr>
          <w:rtl/>
        </w:rPr>
        <w:t xml:space="preserve"> تبني مقياسًا لفاعلية الدور الوقائي بأربعة أبعاد مؤسسة نظريًا، ومقياسًا للسلوكيات المنحرفة يراعي الصور الشائعة في السياق الإماراتي، يمكن أن يفيد منهما الباحثون والممارسون لاحقًا.</w:t>
      </w:r>
    </w:p>
    <w:p w:rsidR="00D70BB2" w:rsidRDefault="005632E9">
      <w:pPr>
        <w:keepNext/>
        <w:bidi/>
        <w:spacing w:before="160" w:after="80" w:line="360" w:lineRule="auto"/>
        <w:jc w:val="both"/>
      </w:pPr>
      <w:r>
        <w:rPr>
          <w:b/>
          <w:bCs/>
          <w:sz w:val="30"/>
          <w:szCs w:val="30"/>
          <w:rtl/>
        </w:rPr>
        <w:lastRenderedPageBreak/>
        <w:t>خلاصة الفصل</w:t>
      </w:r>
    </w:p>
    <w:p w:rsidR="00D70BB2" w:rsidRDefault="005632E9">
      <w:pPr>
        <w:bidi/>
        <w:spacing w:line="360" w:lineRule="auto"/>
        <w:jc w:val="both"/>
      </w:pPr>
      <w:r>
        <w:rPr>
          <w:rtl/>
        </w:rPr>
        <w:t xml:space="preserve">تناول هذا الفصل الإطار النظري للدراسة والدراسات السابقة. فقد اعتمدت الدراسة نظرية الروابط الاجتماعية لهيرشي نظريةً رئيسة تفسر </w:t>
      </w:r>
      <w:r>
        <w:rPr>
          <w:b/>
          <w:bCs/>
          <w:rtl/>
        </w:rPr>
        <w:t>لماذا</w:t>
      </w:r>
      <w:r>
        <w:rPr>
          <w:rtl/>
        </w:rPr>
        <w:t xml:space="preserve"> يحد الدور الوقائي من الانحراف (بتقوية التعلق والالتزام والانخراط والاعتقاد)، ونظرية التعلم الاجتماعي لباندورا وأيكرز نظريةً مساندة تفسر </w:t>
      </w:r>
      <w:r>
        <w:rPr>
          <w:b/>
          <w:bCs/>
          <w:rtl/>
        </w:rPr>
        <w:t>كيف</w:t>
      </w:r>
      <w:r>
        <w:rPr>
          <w:rtl/>
        </w:rPr>
        <w:t xml:space="preserve"> يتحقق ذلك (بتعديل التعريفات، وتوفير المخالطة الإيجابية والنماذج والتعزيز)، وجمعت بينهما في إطار نموذج التنمية الاجتماعية، وربطت كل بعد من أبعاد المتغير المستقل بمفهوم نظري محدد، وبينت الأساس النظري لكل فرضية. كما عرض الفصل تسع دراسات إماراتية، وسبع دراسات عربية، وتسع دراسات أجنبية، وعقب عليها ببيان أوجه الاتفاق والاختلاف، وفحص تباين نتائجها، وأوجه الإفادة منها، وموقع الدراسة الحالية بينها. ويتناول الفصل الثالث الدراسة الميدانية: إجراءاتها المنهجية، وعرض نتائجها ومناقشتها في ضوء الإطار النظري والدراسات السابقة.</w:t>
      </w:r>
    </w:p>
    <w:p w:rsidR="00D70BB2" w:rsidRDefault="005632E9">
      <w:pPr>
        <w:pStyle w:val="Heading1"/>
        <w:keepNext/>
        <w:spacing w:after="120" w:line="360" w:lineRule="auto"/>
      </w:pPr>
      <w:r>
        <w:rPr>
          <w:rtl/>
        </w:rPr>
        <w:t>قائمة المراجع</w:t>
      </w:r>
    </w:p>
    <w:p w:rsidR="00D70BB2" w:rsidRDefault="005632E9">
      <w:pPr>
        <w:keepNext/>
        <w:bidi/>
        <w:spacing w:before="160" w:after="80" w:line="360" w:lineRule="auto"/>
        <w:jc w:val="both"/>
      </w:pPr>
      <w:r>
        <w:rPr>
          <w:b/>
          <w:bCs/>
          <w:sz w:val="30"/>
          <w:szCs w:val="30"/>
          <w:rtl/>
        </w:rPr>
        <w:t>أولاً: المراجع العربية</w:t>
      </w:r>
    </w:p>
    <w:p w:rsidR="00D70BB2" w:rsidRDefault="005632E9" w:rsidP="00C102DF">
      <w:pPr>
        <w:pStyle w:val="ListParagraph"/>
        <w:numPr>
          <w:ilvl w:val="0"/>
          <w:numId w:val="13"/>
        </w:numPr>
        <w:bidi/>
        <w:spacing w:after="80" w:line="360" w:lineRule="auto"/>
        <w:jc w:val="both"/>
      </w:pPr>
      <w:r>
        <w:rPr>
          <w:rtl/>
        </w:rPr>
        <w:t xml:space="preserve">إبراهيم، شيماء كامل يوسف. (2025). أدوار الأخصائي الاجتماعي كممارس عام في التخفيف من حدة التنمر السيبراني لدى الشباب الجامعي. مجلة مستقبل العلوم الاجتماعية، 22(5)، 3–48. </w:t>
      </w:r>
      <w:r>
        <w:t>https://doi.org/10.21608/fjssj.2025.390521.1317</w:t>
      </w:r>
    </w:p>
    <w:p w:rsidR="00D70BB2" w:rsidRDefault="005632E9" w:rsidP="00C102DF">
      <w:pPr>
        <w:pStyle w:val="ListParagraph"/>
        <w:numPr>
          <w:ilvl w:val="0"/>
          <w:numId w:val="13"/>
        </w:numPr>
        <w:bidi/>
        <w:spacing w:after="80" w:line="360" w:lineRule="auto"/>
        <w:jc w:val="both"/>
      </w:pPr>
      <w:r>
        <w:rPr>
          <w:rtl/>
        </w:rPr>
        <w:t>أبو زيد، محمد عبد القادر. (2015). العمل الاجتماعي ودوره في مواجهة المشكلات الاجتماعية. القاهرة: مكتبة الأنجلو المصرية.</w:t>
      </w:r>
    </w:p>
    <w:p w:rsidR="00D70BB2" w:rsidRDefault="005632E9" w:rsidP="00C102DF">
      <w:pPr>
        <w:pStyle w:val="ListParagraph"/>
        <w:numPr>
          <w:ilvl w:val="0"/>
          <w:numId w:val="13"/>
        </w:numPr>
        <w:bidi/>
        <w:spacing w:after="80" w:line="360" w:lineRule="auto"/>
        <w:jc w:val="both"/>
      </w:pPr>
      <w:r>
        <w:rPr>
          <w:rtl/>
        </w:rPr>
        <w:lastRenderedPageBreak/>
        <w:t>أبو عيادة، ريم عبد المطلب. (2023). دور الأخصائي الاجتماعي المدرسي في مواجهة وتعديل سلوك طلبة المرحلة الثانوية. الدوريات المصرية.</w:t>
      </w:r>
    </w:p>
    <w:p w:rsidR="00D70BB2" w:rsidRDefault="005632E9" w:rsidP="00C102DF">
      <w:pPr>
        <w:pStyle w:val="ListParagraph"/>
        <w:numPr>
          <w:ilvl w:val="0"/>
          <w:numId w:val="13"/>
        </w:numPr>
        <w:bidi/>
        <w:spacing w:after="80" w:line="360" w:lineRule="auto"/>
        <w:jc w:val="both"/>
      </w:pPr>
      <w:r>
        <w:rPr>
          <w:rtl/>
        </w:rPr>
        <w:t>أحمد، محمود. (2018). دور الأخصائي الاجتماعي في المؤسسات التعليمية. القاهرة: دار الفكر العربي.</w:t>
      </w:r>
    </w:p>
    <w:p w:rsidR="00D70BB2" w:rsidRDefault="005632E9" w:rsidP="00C102DF">
      <w:pPr>
        <w:pStyle w:val="ListParagraph"/>
        <w:numPr>
          <w:ilvl w:val="0"/>
          <w:numId w:val="13"/>
        </w:numPr>
        <w:bidi/>
        <w:spacing w:after="80" w:line="360" w:lineRule="auto"/>
        <w:jc w:val="both"/>
      </w:pPr>
      <w:r>
        <w:rPr>
          <w:rtl/>
        </w:rPr>
        <w:t xml:space="preserve">بن صنه، لمياء مبروك هادي. (2023). أثر استخدام المدخل الروحي في الخدمة الاجتماعية للحد من ظاهرة التنمر المدرسي: دراسة مطبقة على الأخصائيين الاجتماعيين العاملين بمدارس التربية والتعليم في مديرية المكلا. مجلة مستقبل العلوم الاجتماعية، 13(2)، 257–281. </w:t>
      </w:r>
      <w:r>
        <w:t>https://doi.org/10.21608/fjssj.2023.302075</w:t>
      </w:r>
    </w:p>
    <w:p w:rsidR="00D70BB2" w:rsidRDefault="005632E9" w:rsidP="00C102DF">
      <w:pPr>
        <w:pStyle w:val="ListParagraph"/>
        <w:numPr>
          <w:ilvl w:val="0"/>
          <w:numId w:val="13"/>
        </w:numPr>
        <w:bidi/>
        <w:spacing w:after="80" w:line="360" w:lineRule="auto"/>
        <w:jc w:val="both"/>
      </w:pPr>
      <w:r>
        <w:rPr>
          <w:rtl/>
        </w:rPr>
        <w:t xml:space="preserve">الجبالي، هند قباري خميس. (2020). دور جماعات نشاط الأسر الطلابية في وقاية الشباب الجامعي من الانحراف الفكري الإلكتروني. مجلة كلية الخدمة الاجتماعية للدراسات والبحوث الاجتماعية، جامعة الفيوم، (21)، ج3، 179–267. </w:t>
      </w:r>
      <w:r>
        <w:t>https://doi.org/10.21608/jfss.2020.332710</w:t>
      </w:r>
    </w:p>
    <w:p w:rsidR="00D70BB2" w:rsidRDefault="005632E9" w:rsidP="00C102DF">
      <w:pPr>
        <w:pStyle w:val="ListParagraph"/>
        <w:numPr>
          <w:ilvl w:val="0"/>
          <w:numId w:val="13"/>
        </w:numPr>
        <w:bidi/>
        <w:spacing w:after="80" w:line="360" w:lineRule="auto"/>
        <w:jc w:val="both"/>
      </w:pPr>
      <w:r>
        <w:rPr>
          <w:rtl/>
        </w:rPr>
        <w:t xml:space="preserve">حريد، خديجة محمد، والحوراني، محمد عبد الكريم. (2024). التغير الاجتماعي وتصاعد الانحراف في مجتمع الإمارات: دراسة تحليلية. مجلة الآداب، جامعة بغداد، (151) ملحق، 429–452. </w:t>
      </w:r>
      <w:r>
        <w:t>https://doi.org/10.31973/n6gdx940</w:t>
      </w:r>
    </w:p>
    <w:p w:rsidR="00D70BB2" w:rsidRDefault="005632E9" w:rsidP="00C102DF">
      <w:pPr>
        <w:pStyle w:val="ListParagraph"/>
        <w:numPr>
          <w:ilvl w:val="0"/>
          <w:numId w:val="13"/>
        </w:numPr>
        <w:bidi/>
        <w:spacing w:after="80" w:line="360" w:lineRule="auto"/>
        <w:jc w:val="both"/>
      </w:pPr>
      <w:r>
        <w:rPr>
          <w:rtl/>
        </w:rPr>
        <w:t>الحضرمية، أبرار، وآخرون. (2023). دور الأخصائي الاجتماعي في تعزيز دافعية الطلبة للتعلم. مجلة دراسات في الخدمة الاجتماعية والعلوم الإنسانية.</w:t>
      </w:r>
    </w:p>
    <w:p w:rsidR="00D70BB2" w:rsidRDefault="005632E9" w:rsidP="00C102DF">
      <w:pPr>
        <w:pStyle w:val="ListParagraph"/>
        <w:numPr>
          <w:ilvl w:val="0"/>
          <w:numId w:val="13"/>
        </w:numPr>
        <w:bidi/>
        <w:spacing w:after="80" w:line="360" w:lineRule="auto"/>
        <w:jc w:val="both"/>
      </w:pPr>
      <w:r>
        <w:rPr>
          <w:rtl/>
        </w:rPr>
        <w:lastRenderedPageBreak/>
        <w:t>الحنفي، رشا مصطفى السيد. (2023). دور مدارس الحلقة الثانية من التعليم الأساسي في مواجهة ظاهرة التنمر من وجهة نظر بعض أعضاء المجتمع المدرسي: دراسة ميدانية. مجلة جامعة الفيوم للعلوم التربوية والنفسية، 17(15)، 79–[تُستكمل الصفحة الأخيرة].</w:t>
      </w:r>
    </w:p>
    <w:p w:rsidR="00D70BB2" w:rsidRDefault="005632E9" w:rsidP="00C102DF">
      <w:pPr>
        <w:pStyle w:val="ListParagraph"/>
        <w:numPr>
          <w:ilvl w:val="0"/>
          <w:numId w:val="13"/>
        </w:numPr>
        <w:bidi/>
        <w:spacing w:after="80" w:line="360" w:lineRule="auto"/>
        <w:jc w:val="both"/>
      </w:pPr>
      <w:r>
        <w:rPr>
          <w:rtl/>
        </w:rPr>
        <w:t>دولة الإمارات العربية المتحدة. (2022). القانون الاتحادي رقم (6) لسنة 2022 بشأن الأحداث الجانحين والمعرضين للجنوح. أبوظبي: الجريدة الرسمية.</w:t>
      </w:r>
    </w:p>
    <w:p w:rsidR="00D70BB2" w:rsidRDefault="005632E9" w:rsidP="00C102DF">
      <w:pPr>
        <w:pStyle w:val="ListParagraph"/>
        <w:numPr>
          <w:ilvl w:val="0"/>
          <w:numId w:val="13"/>
        </w:numPr>
        <w:bidi/>
        <w:spacing w:after="80" w:line="360" w:lineRule="auto"/>
        <w:jc w:val="both"/>
      </w:pPr>
      <w:r>
        <w:rPr>
          <w:rtl/>
        </w:rPr>
        <w:t>الزهراني، خالد. (2021). الإحصاء التطبيقي في الدراسات الاجتماعية. الرياض: مكتبة العبيكان.</w:t>
      </w:r>
    </w:p>
    <w:p w:rsidR="00D70BB2" w:rsidRDefault="005632E9" w:rsidP="00C102DF">
      <w:pPr>
        <w:pStyle w:val="ListParagraph"/>
        <w:numPr>
          <w:ilvl w:val="0"/>
          <w:numId w:val="13"/>
        </w:numPr>
        <w:bidi/>
        <w:spacing w:after="80" w:line="360" w:lineRule="auto"/>
        <w:jc w:val="both"/>
      </w:pPr>
      <w:r>
        <w:rPr>
          <w:rtl/>
        </w:rPr>
        <w:t xml:space="preserve">صياح، شيرين صلاح. (2025). متطلبات الدور المهني للأخصائي الاجتماعي كمخطط اجتماعي في الحد من الاستقواء الإلكتروني لدى طلاب المرحلة الجامعية. مجلة مستقبل العلوم الاجتماعية، 23(1)، 97–168. </w:t>
      </w:r>
      <w:r>
        <w:t>https://doi.org/10.21608/fjssj.2025.409870.1330</w:t>
      </w:r>
    </w:p>
    <w:p w:rsidR="00D70BB2" w:rsidRDefault="005632E9" w:rsidP="00C102DF">
      <w:pPr>
        <w:pStyle w:val="ListParagraph"/>
        <w:numPr>
          <w:ilvl w:val="0"/>
          <w:numId w:val="13"/>
        </w:numPr>
        <w:bidi/>
        <w:spacing w:after="80" w:line="360" w:lineRule="auto"/>
        <w:jc w:val="both"/>
      </w:pPr>
      <w:r>
        <w:rPr>
          <w:rtl/>
        </w:rPr>
        <w:t>عبد الباسط، حسن. (2020). مناهج البحث في العلوم الاجتماعية. القاهرة: دار المعرفة الجامعية.</w:t>
      </w:r>
    </w:p>
    <w:p w:rsidR="00D70BB2" w:rsidRDefault="005632E9" w:rsidP="00C102DF">
      <w:pPr>
        <w:pStyle w:val="ListParagraph"/>
        <w:numPr>
          <w:ilvl w:val="0"/>
          <w:numId w:val="13"/>
        </w:numPr>
        <w:bidi/>
        <w:spacing w:after="80" w:line="360" w:lineRule="auto"/>
        <w:jc w:val="both"/>
      </w:pPr>
      <w:r>
        <w:rPr>
          <w:rtl/>
        </w:rPr>
        <w:t>عبد الحميد، فاطمة. (2019). الانحرافات السلوكية لدى الشباب: دراسة ميدانية. بيروت: دار النهضة العربية.</w:t>
      </w:r>
    </w:p>
    <w:p w:rsidR="00D70BB2" w:rsidRDefault="005632E9" w:rsidP="00C102DF">
      <w:pPr>
        <w:pStyle w:val="ListParagraph"/>
        <w:numPr>
          <w:ilvl w:val="0"/>
          <w:numId w:val="13"/>
        </w:numPr>
        <w:bidi/>
        <w:spacing w:after="80" w:line="360" w:lineRule="auto"/>
        <w:jc w:val="both"/>
      </w:pPr>
      <w:r>
        <w:rPr>
          <w:rtl/>
        </w:rPr>
        <w:t>العتيبي، مطلق بن طلق. (2009). انحرافات الشباب: دراسة اجتماعية لأنماط وعوامل انحرافات الشباب بمحافظة جدة. مجلة جامعة أم القرى للعلوم الاجتماعية، 1(2)، 241–249.</w:t>
      </w:r>
    </w:p>
    <w:p w:rsidR="00D70BB2" w:rsidRDefault="005632E9" w:rsidP="00C102DF">
      <w:pPr>
        <w:pStyle w:val="ListParagraph"/>
        <w:numPr>
          <w:ilvl w:val="0"/>
          <w:numId w:val="13"/>
        </w:numPr>
        <w:bidi/>
        <w:spacing w:after="80" w:line="360" w:lineRule="auto"/>
        <w:jc w:val="both"/>
      </w:pPr>
      <w:r>
        <w:rPr>
          <w:rtl/>
        </w:rPr>
        <w:t>علي، سمير. (2021). الشباب والانحرافات السلوكية: دراسة ميدانية. عمّان: دار اليازوري.</w:t>
      </w:r>
    </w:p>
    <w:p w:rsidR="00D70BB2" w:rsidRDefault="005632E9" w:rsidP="00C102DF">
      <w:pPr>
        <w:pStyle w:val="ListParagraph"/>
        <w:numPr>
          <w:ilvl w:val="0"/>
          <w:numId w:val="13"/>
        </w:numPr>
        <w:bidi/>
        <w:spacing w:after="80" w:line="360" w:lineRule="auto"/>
        <w:jc w:val="both"/>
      </w:pPr>
      <w:r>
        <w:rPr>
          <w:rtl/>
        </w:rPr>
        <w:t>وزارة تنمية المجتمع – الإمارات العربية المتحدة. (2022). التقرير السنوي لبرامج التماسك الأسري والشباب. أبوظبي: وزارة تنمية المجتمع.</w:t>
      </w:r>
    </w:p>
    <w:p w:rsidR="00D70BB2" w:rsidRDefault="005632E9">
      <w:pPr>
        <w:keepNext/>
        <w:bidi/>
        <w:spacing w:before="160" w:after="80" w:line="360" w:lineRule="auto"/>
        <w:jc w:val="both"/>
      </w:pPr>
      <w:r>
        <w:rPr>
          <w:b/>
          <w:bCs/>
          <w:sz w:val="30"/>
          <w:szCs w:val="30"/>
          <w:rtl/>
        </w:rPr>
        <w:lastRenderedPageBreak/>
        <w:t>ثانياً: المراجع الأجنبية</w:t>
      </w:r>
    </w:p>
    <w:p w:rsidR="00D70BB2" w:rsidRDefault="005632E9" w:rsidP="00C102DF">
      <w:pPr>
        <w:pStyle w:val="ListParagraph"/>
        <w:numPr>
          <w:ilvl w:val="0"/>
          <w:numId w:val="14"/>
        </w:numPr>
        <w:spacing w:after="80" w:line="360" w:lineRule="auto"/>
        <w:ind w:left="360"/>
      </w:pPr>
      <w:r w:rsidRPr="00C102DF">
        <w:rPr>
          <w:sz w:val="24"/>
          <w:szCs w:val="24"/>
        </w:rPr>
        <w:t>Ahmed, L. A., Verlinden, M., Alobeidli, M. A., Alahbabi, R. H., AlKatheeri, R., Saddik, B., Oulhaj, A., &amp; Al-Rifai, R. H. (2021). Patterns of tobacco smoking and nicotine vaping among university students in the United Arab Emirates: A cross-sectional study. International Journal of Environmental Research and Public Health, 18(14), 7652. https://doi.org/10.3390/ijerph18147652</w:t>
      </w:r>
    </w:p>
    <w:p w:rsidR="00D70BB2" w:rsidRDefault="005632E9" w:rsidP="00C102DF">
      <w:pPr>
        <w:pStyle w:val="ListParagraph"/>
        <w:numPr>
          <w:ilvl w:val="0"/>
          <w:numId w:val="14"/>
        </w:numPr>
        <w:spacing w:after="80" w:line="360" w:lineRule="auto"/>
        <w:ind w:left="360"/>
      </w:pPr>
      <w:r w:rsidRPr="00C102DF">
        <w:rPr>
          <w:sz w:val="24"/>
          <w:szCs w:val="24"/>
        </w:rPr>
        <w:t>Akers, R. L. (1998). Social learning and social structure: A general theory of crime and deviance. Northeastern University Press.</w:t>
      </w:r>
    </w:p>
    <w:p w:rsidR="00D70BB2" w:rsidRDefault="005632E9" w:rsidP="00C102DF">
      <w:pPr>
        <w:pStyle w:val="ListParagraph"/>
        <w:numPr>
          <w:ilvl w:val="0"/>
          <w:numId w:val="14"/>
        </w:numPr>
        <w:spacing w:after="80" w:line="360" w:lineRule="auto"/>
        <w:ind w:left="360"/>
      </w:pPr>
      <w:r w:rsidRPr="00C102DF">
        <w:rPr>
          <w:sz w:val="24"/>
          <w:szCs w:val="24"/>
        </w:rPr>
        <w:t>Akers, R. L., &amp; Jensen, G. F. (2006). The empirical status of social learning theory of crime and deviance: The past, present, and future. In F. T. Cullen, J. P. Wright, &amp; K. R. Blevins (Eds.), Taking stock: The status of criminological theory (Advances in Criminological Theory, Vol. 15, pp. 37–76). Transaction Publishers.</w:t>
      </w:r>
    </w:p>
    <w:p w:rsidR="00D70BB2" w:rsidRDefault="005632E9" w:rsidP="00C102DF">
      <w:pPr>
        <w:pStyle w:val="ListParagraph"/>
        <w:numPr>
          <w:ilvl w:val="0"/>
          <w:numId w:val="14"/>
        </w:numPr>
        <w:spacing w:after="80" w:line="360" w:lineRule="auto"/>
        <w:ind w:left="360"/>
      </w:pPr>
      <w:r w:rsidRPr="00C102DF">
        <w:rPr>
          <w:sz w:val="24"/>
          <w:szCs w:val="24"/>
        </w:rPr>
        <w:t>Al Ali, M. (2013). Towards effective juvenile delinquency prevention strategies and policies in Abu Dhabi Police: An investigation of critical factors [Doctoral thesis, University of Stirling]. http://hdl.handle.net/1893/15691</w:t>
      </w:r>
    </w:p>
    <w:p w:rsidR="00D70BB2" w:rsidRDefault="005632E9" w:rsidP="00C102DF">
      <w:pPr>
        <w:pStyle w:val="ListParagraph"/>
        <w:numPr>
          <w:ilvl w:val="0"/>
          <w:numId w:val="14"/>
        </w:numPr>
        <w:spacing w:after="80" w:line="360" w:lineRule="auto"/>
        <w:ind w:left="360"/>
      </w:pPr>
      <w:r w:rsidRPr="00C102DF">
        <w:rPr>
          <w:sz w:val="24"/>
          <w:szCs w:val="24"/>
        </w:rPr>
        <w:t>Al-Darmaki, F., Al Sabbah, H., &amp; Haroun, D. (2022). Prevalence of bullying behaviors among students from a national university in the United Arab Emirates: A cross-sectional study. Frontiers in Psychology, 13, 768305. https://doi.org/10.3389/fpsyg.2022.768305</w:t>
      </w:r>
    </w:p>
    <w:p w:rsidR="00D70BB2" w:rsidRDefault="005632E9" w:rsidP="00C102DF">
      <w:pPr>
        <w:pStyle w:val="ListParagraph"/>
        <w:numPr>
          <w:ilvl w:val="0"/>
          <w:numId w:val="14"/>
        </w:numPr>
        <w:spacing w:after="80" w:line="360" w:lineRule="auto"/>
        <w:ind w:left="360"/>
      </w:pPr>
      <w:r w:rsidRPr="00C102DF">
        <w:rPr>
          <w:sz w:val="24"/>
          <w:szCs w:val="24"/>
        </w:rPr>
        <w:t xml:space="preserve">Alblooshi, H., Hulse, G. K., El Kashef, A., Al Hashmi, H., Shawky, M., Al Ghaferi, H., Al Safar, H., &amp; Tay, G. K. (2016). The pattern of substance use disorder in the United Arab </w:t>
      </w:r>
      <w:r w:rsidRPr="00C102DF">
        <w:rPr>
          <w:sz w:val="24"/>
          <w:szCs w:val="24"/>
        </w:rPr>
        <w:lastRenderedPageBreak/>
        <w:t>Emirates in 2015: Results of a National Rehabilitation Centre cohort study. Substance Abuse Treatment, Prevention, and Policy, 11, 19. https://doi.org/10.1186/s13011-016-0062-5</w:t>
      </w:r>
    </w:p>
    <w:p w:rsidR="00D70BB2" w:rsidRDefault="005632E9" w:rsidP="00C102DF">
      <w:pPr>
        <w:pStyle w:val="ListParagraph"/>
        <w:numPr>
          <w:ilvl w:val="0"/>
          <w:numId w:val="14"/>
        </w:numPr>
        <w:spacing w:after="80" w:line="360" w:lineRule="auto"/>
        <w:ind w:left="360"/>
      </w:pPr>
      <w:r w:rsidRPr="00C102DF">
        <w:rPr>
          <w:sz w:val="24"/>
          <w:szCs w:val="24"/>
        </w:rPr>
        <w:t>Albrithen, A., &amp; Alfalasi, S. (2024). Social work practice in United Arab Emirates (UAE) schools during and after the COVID-19 pandemic: A qualitative study. International Journal of Environmental Research and Public Health, 21(10), 1323. https://doi.org/10.3390/ijerph21101323</w:t>
      </w:r>
    </w:p>
    <w:p w:rsidR="00D70BB2" w:rsidRDefault="005632E9" w:rsidP="00C102DF">
      <w:pPr>
        <w:pStyle w:val="ListParagraph"/>
        <w:numPr>
          <w:ilvl w:val="0"/>
          <w:numId w:val="14"/>
        </w:numPr>
        <w:spacing w:after="80" w:line="360" w:lineRule="auto"/>
        <w:ind w:left="360"/>
      </w:pPr>
      <w:r w:rsidRPr="00C102DF">
        <w:rPr>
          <w:sz w:val="24"/>
          <w:szCs w:val="24"/>
        </w:rPr>
        <w:t>Alkhaza’leh, M. S., Kamel, A. M., Abdel-Hadi, S., et al. (2026). Increasing the effectiveness of social development institutions in preventing social delinquency. Journal of Educational and Social Research.</w:t>
      </w:r>
    </w:p>
    <w:p w:rsidR="00D70BB2" w:rsidRDefault="005632E9" w:rsidP="00C102DF">
      <w:pPr>
        <w:pStyle w:val="ListParagraph"/>
        <w:numPr>
          <w:ilvl w:val="0"/>
          <w:numId w:val="14"/>
        </w:numPr>
        <w:spacing w:after="80" w:line="360" w:lineRule="auto"/>
        <w:ind w:left="360"/>
      </w:pPr>
      <w:r w:rsidRPr="00C102DF">
        <w:rPr>
          <w:sz w:val="24"/>
          <w:szCs w:val="24"/>
        </w:rPr>
        <w:t>Almarzooqi, F., &amp; Algharaiba, F. (2025). Evaluation of preventive programs aimed at protecting children in the UAE: A qualitative study. Al-Adab Journal, (154), 645–688. https://doi.org/10.31973/b9htmy33</w:t>
      </w:r>
    </w:p>
    <w:p w:rsidR="00D70BB2" w:rsidRDefault="005632E9" w:rsidP="00C102DF">
      <w:pPr>
        <w:pStyle w:val="ListParagraph"/>
        <w:numPr>
          <w:ilvl w:val="0"/>
          <w:numId w:val="14"/>
        </w:numPr>
        <w:spacing w:after="80" w:line="360" w:lineRule="auto"/>
        <w:ind w:left="360"/>
      </w:pPr>
      <w:r w:rsidRPr="00C102DF">
        <w:rPr>
          <w:sz w:val="24"/>
          <w:szCs w:val="24"/>
        </w:rPr>
        <w:t>Alzeyoudi, E. A., Nashwan, A. J., &amp; Alsaadi, A. H. (2026). The role of school social worker in addressing behavioral problems among students in the United Arab Emirates schools: Theoretical analytical study. Al-Adab Journal, 68(1), 449–470. https://doi.org/10.31973/vyjnjw37</w:t>
      </w:r>
    </w:p>
    <w:p w:rsidR="00D70BB2" w:rsidRDefault="005632E9" w:rsidP="00C102DF">
      <w:pPr>
        <w:pStyle w:val="ListParagraph"/>
        <w:numPr>
          <w:ilvl w:val="0"/>
          <w:numId w:val="14"/>
        </w:numPr>
        <w:spacing w:after="80" w:line="360" w:lineRule="auto"/>
        <w:ind w:left="360"/>
      </w:pPr>
      <w:r w:rsidRPr="00C102DF">
        <w:rPr>
          <w:sz w:val="24"/>
          <w:szCs w:val="24"/>
        </w:rPr>
        <w:t>Arnett, J. J. (2000). Emerging adulthood: A theory of development from the late teens through the twenties. American Psychologist, 55(5), 469–480.</w:t>
      </w:r>
    </w:p>
    <w:p w:rsidR="00D70BB2" w:rsidRDefault="005632E9" w:rsidP="00C102DF">
      <w:pPr>
        <w:pStyle w:val="ListParagraph"/>
        <w:numPr>
          <w:ilvl w:val="0"/>
          <w:numId w:val="14"/>
        </w:numPr>
        <w:spacing w:after="80" w:line="360" w:lineRule="auto"/>
        <w:ind w:left="360"/>
      </w:pPr>
      <w:r w:rsidRPr="00C102DF">
        <w:rPr>
          <w:sz w:val="24"/>
          <w:szCs w:val="24"/>
        </w:rPr>
        <w:t>Ashour, A. (2026). Political awareness among Egyptian youth. Cairo University Press.</w:t>
      </w:r>
    </w:p>
    <w:p w:rsidR="00D70BB2" w:rsidRDefault="005632E9" w:rsidP="00C102DF">
      <w:pPr>
        <w:pStyle w:val="ListParagraph"/>
        <w:numPr>
          <w:ilvl w:val="0"/>
          <w:numId w:val="14"/>
        </w:numPr>
        <w:spacing w:after="80" w:line="360" w:lineRule="auto"/>
        <w:ind w:left="360"/>
      </w:pPr>
      <w:r w:rsidRPr="00C102DF">
        <w:rPr>
          <w:sz w:val="24"/>
          <w:szCs w:val="24"/>
        </w:rPr>
        <w:t>Bandura, A. (1977a). Social learning theory. Prentice Hall.</w:t>
      </w:r>
    </w:p>
    <w:p w:rsidR="00D70BB2" w:rsidRDefault="005632E9" w:rsidP="00C102DF">
      <w:pPr>
        <w:pStyle w:val="ListParagraph"/>
        <w:numPr>
          <w:ilvl w:val="0"/>
          <w:numId w:val="14"/>
        </w:numPr>
        <w:spacing w:after="80" w:line="360" w:lineRule="auto"/>
        <w:ind w:left="360"/>
      </w:pPr>
      <w:r w:rsidRPr="00C102DF">
        <w:rPr>
          <w:sz w:val="24"/>
          <w:szCs w:val="24"/>
        </w:rPr>
        <w:lastRenderedPageBreak/>
        <w:t>Bandura, A. (1977b). Self-efficacy: Toward a unifying theory of behavioral change. Psychological Review, 84(2), 191–215.</w:t>
      </w:r>
    </w:p>
    <w:p w:rsidR="00D70BB2" w:rsidRDefault="005632E9" w:rsidP="00C102DF">
      <w:pPr>
        <w:pStyle w:val="ListParagraph"/>
        <w:numPr>
          <w:ilvl w:val="0"/>
          <w:numId w:val="14"/>
        </w:numPr>
        <w:spacing w:after="80" w:line="360" w:lineRule="auto"/>
        <w:ind w:left="360"/>
      </w:pPr>
      <w:r w:rsidRPr="00C102DF">
        <w:rPr>
          <w:sz w:val="24"/>
          <w:szCs w:val="24"/>
        </w:rPr>
        <w:t>Bandura, A. (1986). Social foundations of thought and action: A social cognitive theory. Prentice Hall.</w:t>
      </w:r>
    </w:p>
    <w:p w:rsidR="00D70BB2" w:rsidRDefault="005632E9" w:rsidP="00C102DF">
      <w:pPr>
        <w:pStyle w:val="ListParagraph"/>
        <w:numPr>
          <w:ilvl w:val="0"/>
          <w:numId w:val="14"/>
        </w:numPr>
        <w:spacing w:after="80" w:line="360" w:lineRule="auto"/>
        <w:ind w:left="360"/>
      </w:pPr>
      <w:r w:rsidRPr="00C102DF">
        <w:rPr>
          <w:sz w:val="24"/>
          <w:szCs w:val="24"/>
        </w:rPr>
        <w:t>Becker, H. S. (1963). Outsiders: Studies in the sociology of deviance. Free Press.</w:t>
      </w:r>
    </w:p>
    <w:p w:rsidR="00D70BB2" w:rsidRDefault="005632E9" w:rsidP="00C102DF">
      <w:pPr>
        <w:pStyle w:val="ListParagraph"/>
        <w:numPr>
          <w:ilvl w:val="0"/>
          <w:numId w:val="14"/>
        </w:numPr>
        <w:spacing w:after="80" w:line="360" w:lineRule="auto"/>
        <w:ind w:left="360"/>
      </w:pPr>
      <w:r w:rsidRPr="00C102DF">
        <w:rPr>
          <w:sz w:val="24"/>
          <w:szCs w:val="24"/>
        </w:rPr>
        <w:t>Catalano, R. F., &amp; Hawkins, J. D. (1996). The social development model: A theory of antisocial behavior. In J. D. Hawkins (Ed.), Delinquency and crime: Current theories (pp. 149–197). Cambridge University Press.</w:t>
      </w:r>
    </w:p>
    <w:p w:rsidR="00D70BB2" w:rsidRDefault="005632E9" w:rsidP="00C102DF">
      <w:pPr>
        <w:pStyle w:val="ListParagraph"/>
        <w:numPr>
          <w:ilvl w:val="0"/>
          <w:numId w:val="14"/>
        </w:numPr>
        <w:spacing w:after="80" w:line="360" w:lineRule="auto"/>
        <w:ind w:left="360"/>
      </w:pPr>
      <w:r w:rsidRPr="00C102DF">
        <w:rPr>
          <w:sz w:val="24"/>
          <w:szCs w:val="24"/>
        </w:rPr>
        <w:t>Creswell, J. W., &amp; Creswell, J. D. (2018). Research design: Qualitative, quantitative, and mixed methods approaches (5th ed.). Sage.</w:t>
      </w:r>
    </w:p>
    <w:p w:rsidR="00D70BB2" w:rsidRDefault="005632E9" w:rsidP="00C102DF">
      <w:pPr>
        <w:pStyle w:val="ListParagraph"/>
        <w:numPr>
          <w:ilvl w:val="0"/>
          <w:numId w:val="14"/>
        </w:numPr>
        <w:spacing w:after="80" w:line="360" w:lineRule="auto"/>
        <w:ind w:left="360"/>
      </w:pPr>
      <w:r w:rsidRPr="00C102DF">
        <w:rPr>
          <w:sz w:val="24"/>
          <w:szCs w:val="24"/>
        </w:rPr>
        <w:t>Elliott, D. S., Huizinga, D., &amp; Ageton, S. S. (1985). Explaining delinquency and drug use. Sage.</w:t>
      </w:r>
    </w:p>
    <w:p w:rsidR="00D70BB2" w:rsidRDefault="005632E9" w:rsidP="00C102DF">
      <w:pPr>
        <w:pStyle w:val="ListParagraph"/>
        <w:numPr>
          <w:ilvl w:val="0"/>
          <w:numId w:val="14"/>
        </w:numPr>
        <w:spacing w:after="80" w:line="360" w:lineRule="auto"/>
        <w:ind w:left="360"/>
      </w:pPr>
      <w:r w:rsidRPr="00C102DF">
        <w:rPr>
          <w:sz w:val="24"/>
          <w:szCs w:val="24"/>
        </w:rPr>
        <w:t>Etzioni, A. (1964). Modern organizations. Prentice-Hall.</w:t>
      </w:r>
    </w:p>
    <w:p w:rsidR="00D70BB2" w:rsidRDefault="005632E9" w:rsidP="00C102DF">
      <w:pPr>
        <w:pStyle w:val="ListParagraph"/>
        <w:numPr>
          <w:ilvl w:val="0"/>
          <w:numId w:val="14"/>
        </w:numPr>
        <w:spacing w:after="80" w:line="360" w:lineRule="auto"/>
        <w:ind w:left="360"/>
      </w:pPr>
      <w:r w:rsidRPr="00C102DF">
        <w:rPr>
          <w:sz w:val="24"/>
          <w:szCs w:val="24"/>
        </w:rPr>
        <w:t>Franklin, C., Kim, J. S., &amp; Tripodi, S. J. (2009). A meta-analysis of published school social work practice studies: 1980–2007. Research on Social Work Practice, 19(6), 667–677.</w:t>
      </w:r>
    </w:p>
    <w:p w:rsidR="00D70BB2" w:rsidRDefault="005632E9" w:rsidP="00C102DF">
      <w:pPr>
        <w:pStyle w:val="ListParagraph"/>
        <w:numPr>
          <w:ilvl w:val="0"/>
          <w:numId w:val="14"/>
        </w:numPr>
        <w:spacing w:after="80" w:line="360" w:lineRule="auto"/>
        <w:ind w:left="360"/>
      </w:pPr>
      <w:r w:rsidRPr="00C102DF">
        <w:rPr>
          <w:sz w:val="24"/>
          <w:szCs w:val="24"/>
        </w:rPr>
        <w:t>Gaffney, H., Ttofi, M. M., &amp; Farrington, D. P. (2021). Effectiveness of school-based programs to reduce bullying perpetration and victimization: An updated systematic review and meta-analysis. Campbell Systematic Reviews, 17(2), e1143. https://doi.org/10.1002/cl2.1143</w:t>
      </w:r>
    </w:p>
    <w:p w:rsidR="00D70BB2" w:rsidRDefault="005632E9" w:rsidP="00C102DF">
      <w:pPr>
        <w:pStyle w:val="ListParagraph"/>
        <w:numPr>
          <w:ilvl w:val="0"/>
          <w:numId w:val="14"/>
        </w:numPr>
        <w:spacing w:after="80" w:line="360" w:lineRule="auto"/>
        <w:ind w:left="360"/>
      </w:pPr>
      <w:r w:rsidRPr="00C102DF">
        <w:rPr>
          <w:sz w:val="24"/>
          <w:szCs w:val="24"/>
        </w:rPr>
        <w:lastRenderedPageBreak/>
        <w:t>Gordon, R. S., Jr. (1983). An operational classification of disease prevention. Public Health Reports, 98(2), 107–109.</w:t>
      </w:r>
    </w:p>
    <w:p w:rsidR="00D70BB2" w:rsidRDefault="005632E9" w:rsidP="00C102DF">
      <w:pPr>
        <w:pStyle w:val="ListParagraph"/>
        <w:numPr>
          <w:ilvl w:val="0"/>
          <w:numId w:val="14"/>
        </w:numPr>
        <w:spacing w:after="80" w:line="360" w:lineRule="auto"/>
        <w:ind w:left="360"/>
      </w:pPr>
      <w:r w:rsidRPr="00C102DF">
        <w:rPr>
          <w:sz w:val="24"/>
          <w:szCs w:val="24"/>
        </w:rPr>
        <w:t>Gottfredson, M. R., &amp; Hirschi, T. (1990). A general theory of crime. Stanford University Press.</w:t>
      </w:r>
    </w:p>
    <w:p w:rsidR="00D70BB2" w:rsidRDefault="005632E9" w:rsidP="00C102DF">
      <w:pPr>
        <w:pStyle w:val="ListParagraph"/>
        <w:numPr>
          <w:ilvl w:val="0"/>
          <w:numId w:val="14"/>
        </w:numPr>
        <w:spacing w:after="80" w:line="360" w:lineRule="auto"/>
        <w:ind w:left="360"/>
      </w:pPr>
      <w:r w:rsidRPr="00C102DF">
        <w:rPr>
          <w:sz w:val="24"/>
          <w:szCs w:val="24"/>
        </w:rPr>
        <w:t>Hawkins, J. D., Oesterle, S., Brown, E. C., Abbott, R. D., &amp; Catalano, R. F. (2014). Youth problem behaviors 8 years after implementing the Communities That Care prevention system: A community-randomized trial. JAMA Pediatrics, 168(2), 122–129. https://doi.org/10.1001/jamapediatrics.2013.4009</w:t>
      </w:r>
    </w:p>
    <w:p w:rsidR="00D70BB2" w:rsidRDefault="005632E9" w:rsidP="00C102DF">
      <w:pPr>
        <w:pStyle w:val="ListParagraph"/>
        <w:numPr>
          <w:ilvl w:val="0"/>
          <w:numId w:val="14"/>
        </w:numPr>
        <w:spacing w:after="80" w:line="360" w:lineRule="auto"/>
        <w:ind w:left="360"/>
      </w:pPr>
      <w:r w:rsidRPr="00C102DF">
        <w:rPr>
          <w:sz w:val="24"/>
          <w:szCs w:val="24"/>
        </w:rPr>
        <w:t>Hirschi, T. (1969). Causes of delinquency. University of California Press.</w:t>
      </w:r>
    </w:p>
    <w:p w:rsidR="00D70BB2" w:rsidRDefault="005632E9" w:rsidP="00C102DF">
      <w:pPr>
        <w:pStyle w:val="ListParagraph"/>
        <w:numPr>
          <w:ilvl w:val="0"/>
          <w:numId w:val="14"/>
        </w:numPr>
        <w:spacing w:after="80" w:line="360" w:lineRule="auto"/>
        <w:ind w:left="360"/>
      </w:pPr>
      <w:r w:rsidRPr="00C102DF">
        <w:rPr>
          <w:sz w:val="24"/>
          <w:szCs w:val="24"/>
        </w:rPr>
        <w:t>International Federation of Social Workers. (2014). Global definition of social work. https://www.ifsw.org/what-is-social-work/global-definition-of-social-work/</w:t>
      </w:r>
    </w:p>
    <w:p w:rsidR="00D70BB2" w:rsidRDefault="005632E9" w:rsidP="00C102DF">
      <w:pPr>
        <w:pStyle w:val="ListParagraph"/>
        <w:numPr>
          <w:ilvl w:val="0"/>
          <w:numId w:val="14"/>
        </w:numPr>
        <w:spacing w:after="80" w:line="360" w:lineRule="auto"/>
        <w:ind w:left="360"/>
      </w:pPr>
      <w:r w:rsidRPr="00C102DF">
        <w:rPr>
          <w:sz w:val="24"/>
          <w:szCs w:val="24"/>
        </w:rPr>
        <w:t>Janssen, B. M., Mathijssen, J. J. P., &amp; van Bakel, H. J. A. (2024). Enduring outcomes of family-focused youth care: A systematic review of child, parent and family functioning after care and at follow-up. Child &amp; Youth Care Forum. https://doi.org/10.1007/s10566-024-09837-1</w:t>
      </w:r>
    </w:p>
    <w:p w:rsidR="00D70BB2" w:rsidRDefault="005632E9" w:rsidP="00C102DF">
      <w:pPr>
        <w:pStyle w:val="ListParagraph"/>
        <w:numPr>
          <w:ilvl w:val="0"/>
          <w:numId w:val="14"/>
        </w:numPr>
        <w:spacing w:after="80" w:line="360" w:lineRule="auto"/>
        <w:ind w:left="360"/>
      </w:pPr>
      <w:r w:rsidRPr="00C102DF">
        <w:rPr>
          <w:sz w:val="24"/>
          <w:szCs w:val="24"/>
        </w:rPr>
        <w:t>Kempf, K. L. (1993). The empirical status of Hirschi's control theory. In F. Adler &amp; W. S. Laufer (Eds.), New directions in criminological theory (Advances in Criminological Theory, Vol. 4, pp. 143–185). Transaction Publishers.</w:t>
      </w:r>
    </w:p>
    <w:p w:rsidR="00D70BB2" w:rsidRDefault="005632E9" w:rsidP="00C102DF">
      <w:pPr>
        <w:pStyle w:val="ListParagraph"/>
        <w:numPr>
          <w:ilvl w:val="0"/>
          <w:numId w:val="14"/>
        </w:numPr>
        <w:spacing w:after="80" w:line="360" w:lineRule="auto"/>
        <w:ind w:left="360"/>
      </w:pPr>
      <w:r w:rsidRPr="00C102DF">
        <w:rPr>
          <w:sz w:val="24"/>
          <w:szCs w:val="24"/>
        </w:rPr>
        <w:t>Khoury-Kassabri, M., Blit-Cohen, E., Ajzenstadt, M., &amp; Jeries-Loulou, L. J. (2023). Arab youth involvement in delinquent behaviors: Exploring Hirschi's social bond theory from a qualitative perspective. Societies, 13(5), 128. https://doi.org/10.3390/soc13050128</w:t>
      </w:r>
    </w:p>
    <w:p w:rsidR="00D70BB2" w:rsidRDefault="005632E9" w:rsidP="00C102DF">
      <w:pPr>
        <w:pStyle w:val="ListParagraph"/>
        <w:numPr>
          <w:ilvl w:val="0"/>
          <w:numId w:val="14"/>
        </w:numPr>
        <w:spacing w:after="80" w:line="360" w:lineRule="auto"/>
        <w:ind w:left="360"/>
      </w:pPr>
      <w:r w:rsidRPr="00C102DF">
        <w:rPr>
          <w:sz w:val="24"/>
          <w:szCs w:val="24"/>
        </w:rPr>
        <w:lastRenderedPageBreak/>
        <w:t>Krohn, M. D., &amp; Massey, J. L. (1980). Social control and delinquent behavior: An examination of the elements of the social bond. The Sociological Quarterly, 21(4), 529–543.</w:t>
      </w:r>
    </w:p>
    <w:p w:rsidR="00D70BB2" w:rsidRDefault="005632E9" w:rsidP="00C102DF">
      <w:pPr>
        <w:pStyle w:val="ListParagraph"/>
        <w:numPr>
          <w:ilvl w:val="0"/>
          <w:numId w:val="14"/>
        </w:numPr>
        <w:spacing w:after="80" w:line="360" w:lineRule="auto"/>
        <w:ind w:left="360"/>
      </w:pPr>
      <w:r w:rsidRPr="00C102DF">
        <w:rPr>
          <w:sz w:val="24"/>
          <w:szCs w:val="24"/>
        </w:rPr>
        <w:t>Little, M. T., Butchart, A., Massetti, G. M., Hermosilla, S., Wittesaele, C., Pearson, I., Jochim, J., Swingler, S., Schupp, C., Böhret, I. A., Neelakantan, L., Backhaus, S., Martin, M., Mase, M., Page, S., Janowski, R., Blackwell, A., Bernstein, K. T., Rakotomalala, S., &amp; Cluver, L. (2026). Interventions to prevent, reduce, and respond to violence against children and adolescents: A systematic review of systematic reviews to update the INSPIRE Framework. The Lancet Child &amp; Adolescent Health, 10(1), 49–61. https://doi.org/10.1016/S2352-4642(25)00214-7</w:t>
      </w:r>
    </w:p>
    <w:p w:rsidR="00D70BB2" w:rsidRDefault="005632E9" w:rsidP="00C102DF">
      <w:pPr>
        <w:pStyle w:val="ListParagraph"/>
        <w:numPr>
          <w:ilvl w:val="0"/>
          <w:numId w:val="14"/>
        </w:numPr>
        <w:spacing w:after="80" w:line="360" w:lineRule="auto"/>
        <w:ind w:left="360"/>
      </w:pPr>
      <w:r w:rsidRPr="00C102DF">
        <w:rPr>
          <w:sz w:val="24"/>
          <w:szCs w:val="24"/>
        </w:rPr>
        <w:t>Merton, R. K. (1938). Social structure and anomie. American Sociological Review, 3(5), 672–682.</w:t>
      </w:r>
    </w:p>
    <w:p w:rsidR="00D70BB2" w:rsidRDefault="005632E9" w:rsidP="00C102DF">
      <w:pPr>
        <w:pStyle w:val="ListParagraph"/>
        <w:numPr>
          <w:ilvl w:val="0"/>
          <w:numId w:val="14"/>
        </w:numPr>
        <w:spacing w:after="80" w:line="360" w:lineRule="auto"/>
        <w:ind w:left="360"/>
      </w:pPr>
      <w:r w:rsidRPr="00C102DF">
        <w:rPr>
          <w:sz w:val="24"/>
          <w:szCs w:val="24"/>
        </w:rPr>
        <w:t>Merton, R. K. (1968). Social theory and social structure (Enlarged ed.). Free Press.</w:t>
      </w:r>
    </w:p>
    <w:p w:rsidR="00D70BB2" w:rsidRDefault="005632E9" w:rsidP="00C102DF">
      <w:pPr>
        <w:pStyle w:val="ListParagraph"/>
        <w:numPr>
          <w:ilvl w:val="0"/>
          <w:numId w:val="14"/>
        </w:numPr>
        <w:spacing w:after="80" w:line="360" w:lineRule="auto"/>
        <w:ind w:left="360"/>
      </w:pPr>
      <w:r w:rsidRPr="00C102DF">
        <w:rPr>
          <w:sz w:val="24"/>
          <w:szCs w:val="24"/>
        </w:rPr>
        <w:t>Murphy, A., Elbarazi, I., Horen, N., et al. (2025). A person-centered examination of adverse childhood experiences and associated distal health, mental health, and behavioral outcomes in the United Arab Emirates. BMC Psychiatry, 25, 165. https://doi.org/10.1186/s12888-025-06623-8</w:t>
      </w:r>
    </w:p>
    <w:p w:rsidR="00D70BB2" w:rsidRDefault="005632E9" w:rsidP="00C102DF">
      <w:pPr>
        <w:pStyle w:val="ListParagraph"/>
        <w:numPr>
          <w:ilvl w:val="0"/>
          <w:numId w:val="14"/>
        </w:numPr>
        <w:spacing w:after="80" w:line="360" w:lineRule="auto"/>
        <w:ind w:left="360"/>
      </w:pPr>
      <w:r w:rsidRPr="00C102DF">
        <w:rPr>
          <w:sz w:val="24"/>
          <w:szCs w:val="24"/>
        </w:rPr>
        <w:t>Neuman, W. L. (2020). Social research methods: Qualitative and quantitative approaches (8th ed.). Pearson.</w:t>
      </w:r>
    </w:p>
    <w:p w:rsidR="00D70BB2" w:rsidRDefault="005632E9" w:rsidP="00C102DF">
      <w:pPr>
        <w:pStyle w:val="ListParagraph"/>
        <w:numPr>
          <w:ilvl w:val="0"/>
          <w:numId w:val="14"/>
        </w:numPr>
        <w:spacing w:after="80" w:line="360" w:lineRule="auto"/>
        <w:ind w:left="360"/>
      </w:pPr>
      <w:r w:rsidRPr="00C102DF">
        <w:rPr>
          <w:sz w:val="24"/>
          <w:szCs w:val="24"/>
        </w:rPr>
        <w:t xml:space="preserve">Özbay, Ö., &amp; Özcan, Y. Z. (2006). A test of Hirschi's social bonding theory: Juvenile delinquency in the high schools of Ankara, Turkey. International Journal of Offender </w:t>
      </w:r>
      <w:r w:rsidRPr="00C102DF">
        <w:rPr>
          <w:sz w:val="24"/>
          <w:szCs w:val="24"/>
        </w:rPr>
        <w:lastRenderedPageBreak/>
        <w:t>Therapy and Comparative Criminology, 50(6), 711–726. https://doi.org/10.1177/0306624X05283525</w:t>
      </w:r>
    </w:p>
    <w:p w:rsidR="00D70BB2" w:rsidRDefault="005632E9" w:rsidP="00C102DF">
      <w:pPr>
        <w:pStyle w:val="ListParagraph"/>
        <w:numPr>
          <w:ilvl w:val="0"/>
          <w:numId w:val="14"/>
        </w:numPr>
        <w:spacing w:after="80" w:line="360" w:lineRule="auto"/>
        <w:ind w:left="360"/>
      </w:pPr>
      <w:r w:rsidRPr="00C102DF">
        <w:rPr>
          <w:sz w:val="24"/>
          <w:szCs w:val="24"/>
        </w:rPr>
        <w:t>Özbay, Ö., &amp; Özcan, Y. Z. (2008). A test of Hirschi's social bonding theory: A comparison of male and female delinquency. International Journal of Offender Therapy and Comparative Criminology, 52(2), 134–157.</w:t>
      </w:r>
    </w:p>
    <w:p w:rsidR="00D70BB2" w:rsidRDefault="005632E9" w:rsidP="00C102DF">
      <w:pPr>
        <w:pStyle w:val="ListParagraph"/>
        <w:numPr>
          <w:ilvl w:val="0"/>
          <w:numId w:val="14"/>
        </w:numPr>
        <w:spacing w:after="80" w:line="360" w:lineRule="auto"/>
        <w:ind w:left="360"/>
      </w:pPr>
      <w:r w:rsidRPr="00C102DF">
        <w:rPr>
          <w:sz w:val="24"/>
          <w:szCs w:val="24"/>
        </w:rPr>
        <w:t>Parsons, T. (1951). The social system. Free Press.</w:t>
      </w:r>
    </w:p>
    <w:p w:rsidR="00D70BB2" w:rsidRDefault="005632E9" w:rsidP="00C102DF">
      <w:pPr>
        <w:pStyle w:val="ListParagraph"/>
        <w:numPr>
          <w:ilvl w:val="0"/>
          <w:numId w:val="14"/>
        </w:numPr>
        <w:spacing w:after="80" w:line="360" w:lineRule="auto"/>
        <w:ind w:left="360"/>
      </w:pPr>
      <w:r w:rsidRPr="00C102DF">
        <w:rPr>
          <w:sz w:val="24"/>
          <w:szCs w:val="24"/>
        </w:rPr>
        <w:t>Pengpid, S., &amp; Peltzer, K. (2020). Trends in the prevalence of twenty health indicators among adolescents in United Arab Emirates: Cross-sectional national school surveys from 2005, 2010 and 2016. BMC Pediatrics, 20, 357. https://doi.org/10.1186/s12887-020-02252-0</w:t>
      </w:r>
    </w:p>
    <w:p w:rsidR="00D70BB2" w:rsidRDefault="005632E9" w:rsidP="00C102DF">
      <w:pPr>
        <w:pStyle w:val="ListParagraph"/>
        <w:numPr>
          <w:ilvl w:val="0"/>
          <w:numId w:val="14"/>
        </w:numPr>
        <w:spacing w:after="80" w:line="360" w:lineRule="auto"/>
        <w:ind w:left="360"/>
      </w:pPr>
      <w:r w:rsidRPr="00C102DF">
        <w:rPr>
          <w:sz w:val="24"/>
          <w:szCs w:val="24"/>
        </w:rPr>
        <w:t>Pratt, T. C., Cullen, F. T., Sellers, C. S., Winfree, L. T., Jr., Madensen, T. D., Daigle, L. E., Fearn, N. E., &amp; Gau, J. M. (2010). The empirical status of social learning theory: A meta-analysis. Justice Quarterly, 27(6), 765–802.</w:t>
      </w:r>
    </w:p>
    <w:p w:rsidR="00D70BB2" w:rsidRDefault="005632E9" w:rsidP="00C102DF">
      <w:pPr>
        <w:pStyle w:val="ListParagraph"/>
        <w:numPr>
          <w:ilvl w:val="0"/>
          <w:numId w:val="14"/>
        </w:numPr>
        <w:spacing w:after="80" w:line="360" w:lineRule="auto"/>
        <w:ind w:left="360"/>
      </w:pPr>
      <w:r w:rsidRPr="00C102DF">
        <w:rPr>
          <w:sz w:val="24"/>
          <w:szCs w:val="24"/>
        </w:rPr>
        <w:t>Prunty, E., Castledine, L., Kazmi, N., Savage, J., Tudor, M., &amp; Harrison, J. (2026). Supporting young minds: Mental health interventions and the role of social work for young people. Child and Adolescent Social Work Journal. https://doi.org/10.1007/s10560-026-01157-8</w:t>
      </w:r>
    </w:p>
    <w:p w:rsidR="00D70BB2" w:rsidRDefault="005632E9" w:rsidP="00C102DF">
      <w:pPr>
        <w:pStyle w:val="ListParagraph"/>
        <w:numPr>
          <w:ilvl w:val="0"/>
          <w:numId w:val="14"/>
        </w:numPr>
        <w:spacing w:after="80" w:line="360" w:lineRule="auto"/>
        <w:ind w:left="360"/>
      </w:pPr>
      <w:r w:rsidRPr="00C102DF">
        <w:rPr>
          <w:sz w:val="24"/>
          <w:szCs w:val="24"/>
        </w:rPr>
        <w:t>Sampson, R. J., &amp; Laub, J. H. (1993). Crime in the making: Pathways and turning points through life. Harvard University Press.</w:t>
      </w:r>
    </w:p>
    <w:p w:rsidR="00D70BB2" w:rsidRDefault="005632E9" w:rsidP="00C102DF">
      <w:pPr>
        <w:pStyle w:val="ListParagraph"/>
        <w:numPr>
          <w:ilvl w:val="0"/>
          <w:numId w:val="14"/>
        </w:numPr>
        <w:spacing w:after="80" w:line="360" w:lineRule="auto"/>
        <w:ind w:left="360"/>
      </w:pPr>
      <w:r w:rsidRPr="00C102DF">
        <w:rPr>
          <w:sz w:val="24"/>
          <w:szCs w:val="24"/>
        </w:rPr>
        <w:t xml:space="preserve">Soares, M., Sousa, J., Cardoso, L. G., Cunha, O., &amp; Caridade, S. (2026). Promoting personal and social skills in youth with disruptive behaviors: A systematic review of tertiary </w:t>
      </w:r>
      <w:r w:rsidRPr="00C102DF">
        <w:rPr>
          <w:sz w:val="24"/>
          <w:szCs w:val="24"/>
        </w:rPr>
        <w:lastRenderedPageBreak/>
        <w:t>programs. Children and Youth Services Review, 184, 108855. https://doi.org/10.1016/j.childyouth.2026.108855</w:t>
      </w:r>
    </w:p>
    <w:p w:rsidR="00D70BB2" w:rsidRDefault="005632E9" w:rsidP="00C102DF">
      <w:pPr>
        <w:pStyle w:val="ListParagraph"/>
        <w:numPr>
          <w:ilvl w:val="0"/>
          <w:numId w:val="14"/>
        </w:numPr>
        <w:spacing w:after="80" w:line="360" w:lineRule="auto"/>
        <w:ind w:left="360"/>
      </w:pPr>
      <w:r w:rsidRPr="00C102DF">
        <w:rPr>
          <w:sz w:val="24"/>
          <w:szCs w:val="24"/>
        </w:rPr>
        <w:t>Strategy&amp; (PwC Middle East), Ideation Center. (2021). The trends shaping the UAE’s youth sector after the COVID-19 pandemic. Strategy&amp;.</w:t>
      </w:r>
    </w:p>
    <w:p w:rsidR="00D70BB2" w:rsidRDefault="005632E9" w:rsidP="00C102DF">
      <w:pPr>
        <w:pStyle w:val="ListParagraph"/>
        <w:numPr>
          <w:ilvl w:val="0"/>
          <w:numId w:val="14"/>
        </w:numPr>
        <w:spacing w:after="80" w:line="360" w:lineRule="auto"/>
        <w:ind w:left="360"/>
      </w:pPr>
      <w:r w:rsidRPr="00C102DF">
        <w:rPr>
          <w:sz w:val="24"/>
          <w:szCs w:val="24"/>
        </w:rPr>
        <w:t>Sutherland, E. H. (1947). Principles of criminology (4th ed.). J. B. Lippincott.</w:t>
      </w:r>
    </w:p>
    <w:p w:rsidR="00D70BB2" w:rsidRDefault="005632E9" w:rsidP="00C102DF">
      <w:pPr>
        <w:pStyle w:val="ListParagraph"/>
        <w:numPr>
          <w:ilvl w:val="0"/>
          <w:numId w:val="14"/>
        </w:numPr>
        <w:spacing w:after="80" w:line="360" w:lineRule="auto"/>
        <w:ind w:left="360"/>
      </w:pPr>
      <w:r w:rsidRPr="00C102DF">
        <w:rPr>
          <w:sz w:val="24"/>
          <w:szCs w:val="24"/>
        </w:rPr>
        <w:t>Tanner-Smith, E. E., &amp; Lipsey, M. W. (2015). Brief alcohol interventions for adolescents and young adults: A systematic review and meta-analysis. Journal of Substance Abuse Treatment, 51, 1–18. https://doi.org/10.1016/j.jsat.2014.09.001</w:t>
      </w:r>
    </w:p>
    <w:p w:rsidR="00D70BB2" w:rsidRDefault="005632E9" w:rsidP="00C102DF">
      <w:pPr>
        <w:pStyle w:val="ListParagraph"/>
        <w:numPr>
          <w:ilvl w:val="0"/>
          <w:numId w:val="14"/>
        </w:numPr>
        <w:spacing w:after="80" w:line="360" w:lineRule="auto"/>
        <w:ind w:left="360"/>
      </w:pPr>
      <w:r w:rsidRPr="00C102DF">
        <w:rPr>
          <w:sz w:val="24"/>
          <w:szCs w:val="24"/>
        </w:rPr>
        <w:t>United Nations Office on Drugs and Crime. (2025). World drug report 2025: Press release. UNODC.</w:t>
      </w:r>
    </w:p>
    <w:p w:rsidR="00D70BB2" w:rsidRDefault="005632E9" w:rsidP="00C102DF">
      <w:pPr>
        <w:pStyle w:val="ListParagraph"/>
        <w:numPr>
          <w:ilvl w:val="0"/>
          <w:numId w:val="14"/>
        </w:numPr>
        <w:spacing w:after="80" w:line="360" w:lineRule="auto"/>
        <w:ind w:left="360"/>
      </w:pPr>
      <w:r w:rsidRPr="00C102DF">
        <w:rPr>
          <w:sz w:val="24"/>
          <w:szCs w:val="24"/>
        </w:rPr>
        <w:t>Vajpeyi, A., Mitchell, V., &amp; Wagner, B. (2025). Prevention before protection: Innovating child protection and safeguarding in the UAE. Springer.</w:t>
      </w:r>
    </w:p>
    <w:p w:rsidR="00D70BB2" w:rsidRDefault="005632E9" w:rsidP="00C102DF">
      <w:pPr>
        <w:pStyle w:val="ListParagraph"/>
        <w:numPr>
          <w:ilvl w:val="0"/>
          <w:numId w:val="14"/>
        </w:numPr>
        <w:spacing w:after="80" w:line="360" w:lineRule="auto"/>
        <w:ind w:left="360"/>
      </w:pPr>
      <w:r w:rsidRPr="00C102DF">
        <w:rPr>
          <w:sz w:val="24"/>
          <w:szCs w:val="24"/>
        </w:rPr>
        <w:t>World Health Organization. (2016). Global School-based Student Health Survey: United Arab Emirates (public schools) 2016 fact sheet. WHO &amp; UAE Ministry of Health.</w:t>
      </w:r>
    </w:p>
    <w:sectPr w:rsidR="00D70BB2" w:rsidSect="000D2C52">
      <w:footerReference w:type="default" r:id="rId9"/>
      <w:footnotePr>
        <w:numRestart w:val="eachPage"/>
      </w:footnotePr>
      <w:pgSz w:w="12240" w:h="15840"/>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55D3" w:rsidRDefault="001255D3" w:rsidP="005F0786">
      <w:pPr>
        <w:spacing w:after="0" w:line="240" w:lineRule="auto"/>
      </w:pPr>
      <w:r>
        <w:separator/>
      </w:r>
    </w:p>
  </w:endnote>
  <w:endnote w:type="continuationSeparator" w:id="0">
    <w:p w:rsidR="001255D3" w:rsidRDefault="001255D3" w:rsidP="005F0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0366002"/>
      <w:docPartObj>
        <w:docPartGallery w:val="Page Numbers (Bottom of Page)"/>
        <w:docPartUnique/>
      </w:docPartObj>
    </w:sdtPr>
    <w:sdtContent>
      <w:p w:rsidR="005632E9" w:rsidRDefault="005632E9">
        <w:pPr>
          <w:pStyle w:val="Footer"/>
          <w:jc w:val="center"/>
        </w:pPr>
        <w:r>
          <w:fldChar w:fldCharType="begin"/>
        </w:r>
        <w:r>
          <w:instrText>PAGE   \* MERGEFORMAT</w:instrText>
        </w:r>
        <w:r>
          <w:fldChar w:fldCharType="separate"/>
        </w:r>
        <w:r w:rsidR="0052432B" w:rsidRPr="0052432B">
          <w:rPr>
            <w:noProof/>
            <w:lang w:val="ar-SA"/>
          </w:rPr>
          <w:t>1</w:t>
        </w:r>
        <w:r>
          <w:fldChar w:fldCharType="end"/>
        </w:r>
      </w:p>
    </w:sdtContent>
  </w:sdt>
  <w:p w:rsidR="005632E9" w:rsidRDefault="005632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55D3" w:rsidRDefault="001255D3" w:rsidP="00567EE6">
      <w:pPr>
        <w:bidi/>
        <w:spacing w:after="0" w:line="240" w:lineRule="auto"/>
      </w:pPr>
      <w:r>
        <w:separator/>
      </w:r>
    </w:p>
  </w:footnote>
  <w:footnote w:type="continuationSeparator" w:id="0">
    <w:p w:rsidR="001255D3" w:rsidRDefault="001255D3" w:rsidP="00567EE6">
      <w:pPr>
        <w:bidi/>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26D2"/>
    <w:multiLevelType w:val="hybridMultilevel"/>
    <w:tmpl w:val="E3EEC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868BE"/>
    <w:multiLevelType w:val="hybridMultilevel"/>
    <w:tmpl w:val="FC34F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256BCA"/>
    <w:multiLevelType w:val="hybridMultilevel"/>
    <w:tmpl w:val="021C5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B7F0F"/>
    <w:multiLevelType w:val="hybridMultilevel"/>
    <w:tmpl w:val="8CD0B3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BE7E4D"/>
    <w:multiLevelType w:val="hybridMultilevel"/>
    <w:tmpl w:val="2BAE4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D315F"/>
    <w:multiLevelType w:val="hybridMultilevel"/>
    <w:tmpl w:val="AE3498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A8363D2"/>
    <w:multiLevelType w:val="hybridMultilevel"/>
    <w:tmpl w:val="6AE66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B17745"/>
    <w:multiLevelType w:val="hybridMultilevel"/>
    <w:tmpl w:val="CFC8D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5980F88"/>
    <w:multiLevelType w:val="multilevel"/>
    <w:tmpl w:val="23E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D63DF"/>
    <w:multiLevelType w:val="multilevel"/>
    <w:tmpl w:val="526A4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E59AF"/>
    <w:multiLevelType w:val="multilevel"/>
    <w:tmpl w:val="B9267CF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D5A03"/>
    <w:multiLevelType w:val="multilevel"/>
    <w:tmpl w:val="D6AC1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F4E36"/>
    <w:multiLevelType w:val="multilevel"/>
    <w:tmpl w:val="8A52DF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758C4"/>
    <w:multiLevelType w:val="multilevel"/>
    <w:tmpl w:val="23FE187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8"/>
  </w:num>
  <w:num w:numId="4">
    <w:abstractNumId w:val="11"/>
  </w:num>
  <w:num w:numId="5">
    <w:abstractNumId w:val="9"/>
  </w:num>
  <w:num w:numId="6">
    <w:abstractNumId w:val="12"/>
  </w:num>
  <w:num w:numId="7">
    <w:abstractNumId w:val="13"/>
  </w:num>
  <w:num w:numId="8">
    <w:abstractNumId w:val="10"/>
  </w:num>
  <w:num w:numId="9">
    <w:abstractNumId w:val="1"/>
  </w:num>
  <w:num w:numId="10">
    <w:abstractNumId w:val="3"/>
  </w:num>
  <w:num w:numId="11">
    <w:abstractNumId w:val="5"/>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A16"/>
    <w:rsid w:val="000D2C52"/>
    <w:rsid w:val="000F1233"/>
    <w:rsid w:val="00116E31"/>
    <w:rsid w:val="001255D3"/>
    <w:rsid w:val="00154417"/>
    <w:rsid w:val="0018202A"/>
    <w:rsid w:val="0018461B"/>
    <w:rsid w:val="001B21B3"/>
    <w:rsid w:val="00234011"/>
    <w:rsid w:val="002D7BD4"/>
    <w:rsid w:val="00306AB0"/>
    <w:rsid w:val="003119FA"/>
    <w:rsid w:val="00327E34"/>
    <w:rsid w:val="00426E8A"/>
    <w:rsid w:val="004802C1"/>
    <w:rsid w:val="0048236F"/>
    <w:rsid w:val="004841C9"/>
    <w:rsid w:val="00487C7A"/>
    <w:rsid w:val="004C213F"/>
    <w:rsid w:val="004C23CC"/>
    <w:rsid w:val="0052432B"/>
    <w:rsid w:val="00561FCF"/>
    <w:rsid w:val="005632E9"/>
    <w:rsid w:val="00564739"/>
    <w:rsid w:val="00567EE6"/>
    <w:rsid w:val="005D4F56"/>
    <w:rsid w:val="005F0786"/>
    <w:rsid w:val="00671EBC"/>
    <w:rsid w:val="006A0233"/>
    <w:rsid w:val="006C00DA"/>
    <w:rsid w:val="00740BC7"/>
    <w:rsid w:val="00754DBC"/>
    <w:rsid w:val="00762EF1"/>
    <w:rsid w:val="00805562"/>
    <w:rsid w:val="00906D9B"/>
    <w:rsid w:val="00933B96"/>
    <w:rsid w:val="00953E21"/>
    <w:rsid w:val="009B4017"/>
    <w:rsid w:val="009C1BF1"/>
    <w:rsid w:val="009E5C7C"/>
    <w:rsid w:val="00A249CA"/>
    <w:rsid w:val="00A50A16"/>
    <w:rsid w:val="00A6288E"/>
    <w:rsid w:val="00A93FED"/>
    <w:rsid w:val="00B02AA4"/>
    <w:rsid w:val="00B33AE3"/>
    <w:rsid w:val="00B55F4E"/>
    <w:rsid w:val="00BC12F5"/>
    <w:rsid w:val="00BD52F5"/>
    <w:rsid w:val="00C102DF"/>
    <w:rsid w:val="00CC2611"/>
    <w:rsid w:val="00CC3959"/>
    <w:rsid w:val="00D05ADC"/>
    <w:rsid w:val="00D41928"/>
    <w:rsid w:val="00D70BB2"/>
    <w:rsid w:val="00DA4D28"/>
    <w:rsid w:val="00DC251A"/>
    <w:rsid w:val="00DE4050"/>
    <w:rsid w:val="00DF5893"/>
    <w:rsid w:val="00DF6EB3"/>
    <w:rsid w:val="00E32D48"/>
    <w:rsid w:val="00EB3046"/>
    <w:rsid w:val="00ED4BF5"/>
    <w:rsid w:val="00F5639F"/>
    <w:rsid w:val="00F81744"/>
    <w:rsid w:val="00F820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7960"/>
  <w15:chartTrackingRefBased/>
  <w15:docId w15:val="{04A4A063-7CF5-40DC-98FE-6A595224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implified Arabic" w:eastAsiaTheme="minorHAnsi" w:hAnsi="Simplified Arabic" w:cs="Simplified Arabic"/>
        <w:sz w:val="28"/>
        <w:szCs w:val="28"/>
        <w:lang w:val="en-US" w:eastAsia="en-US" w:bidi="ar-SA"/>
        <w14:ligatures w14:val="standardContextua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val="0"/>
      <w:spacing w:after="200" w:line="276" w:lineRule="auto"/>
    </w:pPr>
  </w:style>
  <w:style w:type="paragraph" w:styleId="Heading1">
    <w:name w:val="heading 1"/>
    <w:basedOn w:val="Normal"/>
    <w:next w:val="Normal"/>
    <w:link w:val="Heading1Char"/>
    <w:uiPriority w:val="9"/>
    <w:qFormat/>
    <w:rsid w:val="00F82005"/>
    <w:pPr>
      <w:bidi/>
      <w:jc w:val="center"/>
      <w:outlineLvl w:val="0"/>
    </w:pPr>
    <w:rPr>
      <w:b/>
      <w:bCs/>
      <w:sz w:val="32"/>
      <w:szCs w:val="32"/>
      <w:lang w:bidi="ar-AE"/>
    </w:rPr>
  </w:style>
  <w:style w:type="paragraph" w:styleId="Heading2">
    <w:name w:val="heading 2"/>
    <w:basedOn w:val="Normal"/>
    <w:next w:val="Normal"/>
    <w:link w:val="Heading2Char"/>
    <w:uiPriority w:val="9"/>
    <w:semiHidden/>
    <w:unhideWhenUsed/>
    <w:qFormat/>
    <w:rsid w:val="00A50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A16"/>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50A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0A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0A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0A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0A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0A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005"/>
    <w:rPr>
      <w:b/>
      <w:bCs/>
      <w:sz w:val="32"/>
      <w:szCs w:val="32"/>
      <w:lang w:bidi="ar-AE"/>
    </w:rPr>
  </w:style>
  <w:style w:type="character" w:customStyle="1" w:styleId="Heading2Char">
    <w:name w:val="Heading 2 Char"/>
    <w:basedOn w:val="DefaultParagraphFont"/>
    <w:link w:val="Heading2"/>
    <w:uiPriority w:val="9"/>
    <w:semiHidden/>
    <w:rsid w:val="00A50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A16"/>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A50A1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0A1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0A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0A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0A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0A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16"/>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50A1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50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0A16"/>
    <w:rPr>
      <w:i/>
      <w:iCs/>
      <w:color w:val="404040" w:themeColor="text1" w:themeTint="BF"/>
    </w:rPr>
  </w:style>
  <w:style w:type="paragraph" w:styleId="ListParagraph">
    <w:name w:val="List Paragraph"/>
    <w:basedOn w:val="Normal"/>
    <w:uiPriority w:val="34"/>
    <w:qFormat/>
    <w:rsid w:val="00A50A16"/>
    <w:pPr>
      <w:ind w:left="720"/>
      <w:contextualSpacing/>
    </w:pPr>
  </w:style>
  <w:style w:type="character" w:styleId="IntenseEmphasis">
    <w:name w:val="Intense Emphasis"/>
    <w:basedOn w:val="DefaultParagraphFont"/>
    <w:uiPriority w:val="21"/>
    <w:qFormat/>
    <w:rsid w:val="00A50A16"/>
    <w:rPr>
      <w:i/>
      <w:iCs/>
      <w:color w:val="2F5496" w:themeColor="accent1" w:themeShade="BF"/>
    </w:rPr>
  </w:style>
  <w:style w:type="paragraph" w:styleId="IntenseQuote">
    <w:name w:val="Intense Quote"/>
    <w:basedOn w:val="Normal"/>
    <w:next w:val="Normal"/>
    <w:link w:val="IntenseQuoteChar"/>
    <w:uiPriority w:val="30"/>
    <w:qFormat/>
    <w:rsid w:val="00A50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A16"/>
    <w:rPr>
      <w:i/>
      <w:iCs/>
      <w:color w:val="2F5496" w:themeColor="accent1" w:themeShade="BF"/>
    </w:rPr>
  </w:style>
  <w:style w:type="character" w:styleId="IntenseReference">
    <w:name w:val="Intense Reference"/>
    <w:basedOn w:val="DefaultParagraphFont"/>
    <w:uiPriority w:val="32"/>
    <w:qFormat/>
    <w:rsid w:val="00A50A16"/>
    <w:rPr>
      <w:b/>
      <w:bCs/>
      <w:smallCaps/>
      <w:color w:val="2F5496" w:themeColor="accent1" w:themeShade="BF"/>
      <w:spacing w:val="5"/>
    </w:rPr>
  </w:style>
  <w:style w:type="paragraph" w:styleId="FootnoteText">
    <w:name w:val="footnote text"/>
    <w:basedOn w:val="Normal"/>
    <w:link w:val="FootnoteTextChar"/>
    <w:uiPriority w:val="99"/>
    <w:unhideWhenUsed/>
    <w:rsid w:val="005F0786"/>
    <w:pPr>
      <w:spacing w:after="0" w:line="240" w:lineRule="auto"/>
    </w:pPr>
    <w:rPr>
      <w:sz w:val="20"/>
      <w:szCs w:val="20"/>
    </w:rPr>
  </w:style>
  <w:style w:type="character" w:customStyle="1" w:styleId="FootnoteTextChar">
    <w:name w:val="Footnote Text Char"/>
    <w:basedOn w:val="DefaultParagraphFont"/>
    <w:link w:val="FootnoteText"/>
    <w:uiPriority w:val="99"/>
    <w:rsid w:val="005F0786"/>
    <w:rPr>
      <w:sz w:val="20"/>
      <w:szCs w:val="20"/>
    </w:rPr>
  </w:style>
  <w:style w:type="character" w:styleId="FootnoteReference">
    <w:name w:val="footnote reference"/>
    <w:basedOn w:val="DefaultParagraphFont"/>
    <w:uiPriority w:val="99"/>
    <w:semiHidden/>
    <w:unhideWhenUsed/>
    <w:rsid w:val="005F0786"/>
    <w:rPr>
      <w:vertAlign w:val="superscript"/>
    </w:rPr>
  </w:style>
  <w:style w:type="paragraph" w:styleId="NormalWeb">
    <w:name w:val="Normal (Web)"/>
    <w:basedOn w:val="Normal"/>
    <w:uiPriority w:val="99"/>
    <w:semiHidden/>
    <w:unhideWhenUsed/>
    <w:rsid w:val="009C1BF1"/>
    <w:rPr>
      <w:rFonts w:ascii="Times New Roman" w:hAnsi="Times New Roman" w:cs="Times New Roman"/>
      <w:sz w:val="24"/>
      <w:szCs w:val="24"/>
    </w:rPr>
  </w:style>
  <w:style w:type="paragraph" w:styleId="Header">
    <w:name w:val="header"/>
    <w:basedOn w:val="Normal"/>
    <w:link w:val="HeaderChar"/>
    <w:uiPriority w:val="99"/>
    <w:unhideWhenUsed/>
    <w:rsid w:val="000D2C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C52"/>
  </w:style>
  <w:style w:type="paragraph" w:styleId="Footer">
    <w:name w:val="footer"/>
    <w:basedOn w:val="Normal"/>
    <w:link w:val="FooterChar"/>
    <w:uiPriority w:val="99"/>
    <w:unhideWhenUsed/>
    <w:rsid w:val="000D2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C52"/>
  </w:style>
  <w:style w:type="paragraph" w:styleId="NoSpacing">
    <w:name w:val="No Spacing"/>
    <w:link w:val="NoSpacingChar"/>
    <w:uiPriority w:val="1"/>
    <w:qFormat/>
    <w:rsid w:val="000D2C5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0D2C52"/>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D41928"/>
    <w:rPr>
      <w:color w:val="0563C1" w:themeColor="hyperlink"/>
      <w:u w:val="single"/>
    </w:rPr>
  </w:style>
  <w:style w:type="character" w:customStyle="1" w:styleId="UnresolvedMention">
    <w:name w:val="Unresolved Mention"/>
    <w:basedOn w:val="DefaultParagraphFont"/>
    <w:uiPriority w:val="99"/>
    <w:semiHidden/>
    <w:unhideWhenUsed/>
    <w:rsid w:val="00D41928"/>
    <w:rPr>
      <w:color w:val="605E5C"/>
      <w:shd w:val="clear" w:color="auto" w:fill="E1DFDD"/>
    </w:rPr>
  </w:style>
  <w:style w:type="paragraph" w:styleId="TOCHeading">
    <w:name w:val="TOC Heading"/>
    <w:basedOn w:val="Heading1"/>
    <w:next w:val="Normal"/>
    <w:uiPriority w:val="39"/>
    <w:unhideWhenUsed/>
    <w:qFormat/>
    <w:rsid w:val="00D41928"/>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tl/>
    </w:rPr>
  </w:style>
  <w:style w:type="paragraph" w:styleId="TOC1">
    <w:name w:val="toc 1"/>
    <w:basedOn w:val="Normal"/>
    <w:next w:val="Normal"/>
    <w:autoRedefine/>
    <w:uiPriority w:val="39"/>
    <w:unhideWhenUsed/>
    <w:rsid w:val="00D41928"/>
    <w:pPr>
      <w:spacing w:after="100"/>
    </w:pPr>
  </w:style>
  <w:style w:type="character" w:styleId="Strong">
    <w:name w:val="Strong"/>
    <w:basedOn w:val="DefaultParagraphFont"/>
    <w:uiPriority w:val="22"/>
    <w:qFormat/>
    <w:rsid w:val="00487C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83789">
      <w:bodyDiv w:val="1"/>
      <w:marLeft w:val="0"/>
      <w:marRight w:val="0"/>
      <w:marTop w:val="0"/>
      <w:marBottom w:val="0"/>
      <w:divBdr>
        <w:top w:val="none" w:sz="0" w:space="0" w:color="auto"/>
        <w:left w:val="none" w:sz="0" w:space="0" w:color="auto"/>
        <w:bottom w:val="none" w:sz="0" w:space="0" w:color="auto"/>
        <w:right w:val="none" w:sz="0" w:space="0" w:color="auto"/>
      </w:divBdr>
    </w:div>
    <w:div w:id="402264066">
      <w:bodyDiv w:val="1"/>
      <w:marLeft w:val="0"/>
      <w:marRight w:val="0"/>
      <w:marTop w:val="0"/>
      <w:marBottom w:val="0"/>
      <w:divBdr>
        <w:top w:val="none" w:sz="0" w:space="0" w:color="auto"/>
        <w:left w:val="none" w:sz="0" w:space="0" w:color="auto"/>
        <w:bottom w:val="none" w:sz="0" w:space="0" w:color="auto"/>
        <w:right w:val="none" w:sz="0" w:space="0" w:color="auto"/>
      </w:divBdr>
    </w:div>
    <w:div w:id="1214777801">
      <w:bodyDiv w:val="1"/>
      <w:marLeft w:val="0"/>
      <w:marRight w:val="0"/>
      <w:marTop w:val="0"/>
      <w:marBottom w:val="0"/>
      <w:divBdr>
        <w:top w:val="none" w:sz="0" w:space="0" w:color="auto"/>
        <w:left w:val="none" w:sz="0" w:space="0" w:color="auto"/>
        <w:bottom w:val="none" w:sz="0" w:space="0" w:color="auto"/>
        <w:right w:val="none" w:sz="0" w:space="0" w:color="auto"/>
      </w:divBdr>
    </w:div>
    <w:div w:id="1296641048">
      <w:bodyDiv w:val="1"/>
      <w:marLeft w:val="0"/>
      <w:marRight w:val="0"/>
      <w:marTop w:val="0"/>
      <w:marBottom w:val="0"/>
      <w:divBdr>
        <w:top w:val="none" w:sz="0" w:space="0" w:color="auto"/>
        <w:left w:val="none" w:sz="0" w:space="0" w:color="auto"/>
        <w:bottom w:val="none" w:sz="0" w:space="0" w:color="auto"/>
        <w:right w:val="none" w:sz="0" w:space="0" w:color="auto"/>
      </w:divBdr>
    </w:div>
    <w:div w:id="1321277689">
      <w:bodyDiv w:val="1"/>
      <w:marLeft w:val="0"/>
      <w:marRight w:val="0"/>
      <w:marTop w:val="0"/>
      <w:marBottom w:val="0"/>
      <w:divBdr>
        <w:top w:val="none" w:sz="0" w:space="0" w:color="auto"/>
        <w:left w:val="none" w:sz="0" w:space="0" w:color="auto"/>
        <w:bottom w:val="none" w:sz="0" w:space="0" w:color="auto"/>
        <w:right w:val="none" w:sz="0" w:space="0" w:color="auto"/>
      </w:divBdr>
    </w:div>
    <w:div w:id="1881817442">
      <w:bodyDiv w:val="1"/>
      <w:marLeft w:val="0"/>
      <w:marRight w:val="0"/>
      <w:marTop w:val="0"/>
      <w:marBottom w:val="0"/>
      <w:divBdr>
        <w:top w:val="none" w:sz="0" w:space="0" w:color="auto"/>
        <w:left w:val="none" w:sz="0" w:space="0" w:color="auto"/>
        <w:bottom w:val="none" w:sz="0" w:space="0" w:color="auto"/>
        <w:right w:val="none" w:sz="0" w:space="0" w:color="auto"/>
      </w:divBdr>
      <w:divsChild>
        <w:div w:id="106918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42CA5-B558-4B05-8627-703371FD3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15610</Words>
  <Characters>88978</Characters>
  <Application>Microsoft Office Word</Application>
  <DocSecurity>0</DocSecurity>
  <Lines>741</Lines>
  <Paragraphs>208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104380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omare</dc:creator>
  <cp:keywords/>
  <dc:description/>
  <cp:lastModifiedBy>Rahaf Tarraf</cp:lastModifiedBy>
  <cp:revision>2</cp:revision>
  <cp:lastPrinted>2026-04-19T15:47:00Z</cp:lastPrinted>
  <dcterms:created xsi:type="dcterms:W3CDTF">2026-10-11T10:56:00Z</dcterms:created>
  <dcterms:modified xsi:type="dcterms:W3CDTF">2026-10-11T10:56:00Z</dcterms:modified>
</cp:coreProperties>
</file>