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line="360"/>
        <w:jc w:val="center"/>
      </w:pPr>
      <w:r>
        <w:rPr>
          <w:rFonts w:ascii="Simplified Arabic" w:cs="Simplified Arabic" w:eastAsia="Simplified Arabic" w:hAnsi="Simplified Arabic"/>
          <w:b/>
          <w:bCs/>
          <w:sz w:val="30"/>
          <w:szCs w:val="30"/>
          <w:rtl/>
        </w:rPr>
        <w:t xml:space="preserve">جامعة الشارقة — كلية القانون</w:t>
      </w:r>
    </w:p>
    <w:p>
      <w:pPr>
        <w:bidi/>
        <w:spacing w:after="600" w:line="360"/>
        <w:jc w:val="center"/>
      </w:pPr>
      <w:r>
        <w:rPr>
          <w:rFonts w:ascii="Simplified Arabic" w:cs="Simplified Arabic" w:eastAsia="Simplified Arabic" w:hAnsi="Simplified Arabic"/>
          <w:sz w:val="26"/>
          <w:szCs w:val="26"/>
          <w:rtl/>
        </w:rPr>
        <w:t xml:space="preserve">واجب: التعليق على حكم قضائي</w:t>
      </w:r>
    </w:p>
    <w:p>
      <w:pPr>
        <w:bidi/>
        <w:spacing w:after="120" w:line="360"/>
        <w:jc w:val="center"/>
      </w:pPr>
      <w:r>
        <w:rPr>
          <w:rFonts w:ascii="Simplified Arabic" w:cs="Simplified Arabic" w:eastAsia="Simplified Arabic" w:hAnsi="Simplified Arabic"/>
          <w:b/>
          <w:bCs/>
          <w:color w:val="1F3864"/>
          <w:sz w:val="40"/>
          <w:szCs w:val="40"/>
          <w:rtl/>
        </w:rPr>
        <w:t xml:space="preserve">تعليق على حكم محكمة التمييز بدبي</w:t>
      </w:r>
    </w:p>
    <w:p>
      <w:pPr>
        <w:bidi/>
        <w:spacing w:after="120" w:line="360"/>
        <w:jc w:val="center"/>
      </w:pPr>
      <w:r>
        <w:rPr>
          <w:rFonts w:ascii="Simplified Arabic" w:cs="Simplified Arabic" w:eastAsia="Simplified Arabic" w:hAnsi="Simplified Arabic"/>
          <w:b/>
          <w:bCs/>
          <w:sz w:val="30"/>
          <w:szCs w:val="30"/>
          <w:rtl/>
        </w:rPr>
        <w:t xml:space="preserve">في الطعنين رقمي 227 و246 لسنة 2025 طعن تجاري — جلسة 1/5/2025</w:t>
      </w:r>
    </w:p>
    <w:p>
      <w:pPr>
        <w:bidi/>
        <w:spacing w:after="900" w:line="360"/>
        <w:jc w:val="center"/>
      </w:pPr>
      <w:r>
        <w:rPr>
          <w:rFonts w:ascii="Simplified Arabic" w:cs="Simplified Arabic" w:eastAsia="Simplified Arabic" w:hAnsi="Simplified Arabic"/>
          <w:color w:val="2E5597"/>
          <w:sz w:val="28"/>
          <w:szCs w:val="28"/>
          <w:rtl/>
        </w:rPr>
        <w:t xml:space="preserve">حجية السجلات والمراسلات الإلكترونية في منازعات التعامل الإلكتروني</w:t>
      </w:r>
    </w:p>
    <w:p>
      <w:pPr>
        <w:bidi/>
        <w:spacing w:after="120" w:line="360"/>
        <w:jc w:val="right"/>
      </w:pPr>
      <w:r>
        <w:rPr>
          <w:rFonts w:ascii="Simplified Arabic" w:cs="Simplified Arabic" w:eastAsia="Simplified Arabic" w:hAnsi="Simplified Arabic"/>
          <w:sz w:val="26"/>
          <w:szCs w:val="26"/>
          <w:rtl/>
        </w:rPr>
        <w:t xml:space="preserve">إعداد الطالبة: ............................................</w:t>
      </w:r>
    </w:p>
    <w:p>
      <w:pPr>
        <w:bidi/>
        <w:spacing w:after="120" w:line="360"/>
        <w:jc w:val="right"/>
      </w:pPr>
      <w:r>
        <w:rPr>
          <w:rFonts w:ascii="Simplified Arabic" w:cs="Simplified Arabic" w:eastAsia="Simplified Arabic" w:hAnsi="Simplified Arabic"/>
          <w:sz w:val="26"/>
          <w:szCs w:val="26"/>
          <w:rtl/>
        </w:rPr>
        <w:t xml:space="preserve">الرقم الجامعي: ..........................................</w:t>
      </w:r>
    </w:p>
    <w:p>
      <w:pPr>
        <w:bidi/>
        <w:spacing w:after="120" w:line="360"/>
        <w:jc w:val="right"/>
      </w:pPr>
      <w:r>
        <w:rPr>
          <w:rFonts w:ascii="Simplified Arabic" w:cs="Simplified Arabic" w:eastAsia="Simplified Arabic" w:hAnsi="Simplified Arabic"/>
          <w:sz w:val="26"/>
          <w:szCs w:val="26"/>
          <w:rtl/>
        </w:rPr>
        <w:t xml:space="preserve">المساق: ...................................................</w:t>
      </w:r>
    </w:p>
    <w:p>
      <w:pPr>
        <w:bidi/>
        <w:spacing w:after="120" w:line="360"/>
        <w:jc w:val="right"/>
      </w:pPr>
      <w:r>
        <w:rPr>
          <w:rFonts w:ascii="Simplified Arabic" w:cs="Simplified Arabic" w:eastAsia="Simplified Arabic" w:hAnsi="Simplified Arabic"/>
          <w:sz w:val="26"/>
          <w:szCs w:val="26"/>
          <w:rtl/>
        </w:rPr>
        <w:t xml:space="preserve">إشراف: ...................................................</w:t>
      </w:r>
    </w:p>
    <w:p>
      <w:pPr>
        <w:bidi/>
        <w:spacing w:after="120" w:line="360"/>
        <w:jc w:val="right"/>
      </w:pPr>
      <w:r>
        <w:rPr>
          <w:rFonts w:ascii="Simplified Arabic" w:cs="Simplified Arabic" w:eastAsia="Simplified Arabic" w:hAnsi="Simplified Arabic"/>
          <w:sz w:val="26"/>
          <w:szCs w:val="26"/>
          <w:rtl/>
        </w:rPr>
        <w:t xml:space="preserve">تاريخ التسليم: 3 نوفمبر 2026</w:t>
      </w:r>
    </w:p>
    <w:p>
      <w:pPr>
        <w:pageBreakBefore/>
      </w:pPr>
    </w:p>
    <w:p>
      <w:pPr>
        <w:pStyle w:val="Heading1"/>
        <w:bidi/>
        <w:spacing w:after="200" w:line="360"/>
        <w:jc w:val="right"/>
      </w:pPr>
      <w:r>
        <w:rPr>
          <w:rFonts w:ascii="Simplified Arabic" w:cs="Simplified Arabic" w:eastAsia="Simplified Arabic" w:hAnsi="Simplified Arabic"/>
          <w:b/>
          <w:bCs/>
          <w:color w:val="1F3864"/>
          <w:sz w:val="34"/>
          <w:szCs w:val="34"/>
          <w:rtl/>
        </w:rPr>
        <w:t xml:space="preserve">بيانات الحكم محل التعليق</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470"/>
        <w:gridCol w:w="2600"/>
      </w:tblGrid>
      <w:tr>
        <w:tc>
          <w:tcPr>
            <w:tcW w:type="dxa" w:w="6470"/>
            <w:tcBorders>
              <w:top w:val="single" w:color="8EA9DB" w:sz="4"/>
              <w:left w:val="single" w:color="8EA9DB" w:sz="4"/>
              <w:bottom w:val="single" w:color="8EA9DB" w:sz="4"/>
              <w:right w:val="single" w:color="8EA9DB" w:sz="4"/>
            </w:tcBorders>
            <w:tcMar>
              <w:top w:type="dxa" w:w="80"/>
              <w:left w:type="dxa" w:w="120"/>
              <w:bottom w:type="dxa" w:w="80"/>
              <w:right w:type="dxa" w:w="120"/>
            </w:tcMar>
          </w:tcPr>
          <w:p>
            <w:pPr>
              <w:bidi/>
              <w:spacing w:after="0" w:line="300"/>
              <w:jc w:val="right"/>
            </w:pPr>
            <w:r>
              <w:rPr>
                <w:rFonts w:ascii="Simplified Arabic" w:cs="Simplified Arabic" w:eastAsia="Simplified Arabic" w:hAnsi="Simplified Arabic"/>
                <w:sz w:val="24"/>
                <w:szCs w:val="24"/>
                <w:rtl/>
              </w:rPr>
              <w:t xml:space="preserve">محكمة التمييز بدبي</w:t>
            </w:r>
          </w:p>
        </w:tc>
        <w:tc>
          <w:tcPr>
            <w:tcW w:type="dxa" w:w="2600"/>
            <w:tcBorders>
              <w:top w:val="single" w:color="8EA9DB" w:sz="4"/>
              <w:left w:val="single" w:color="8EA9DB" w:sz="4"/>
              <w:bottom w:val="single" w:color="8EA9DB" w:sz="4"/>
              <w:right w:val="single" w:color="8EA9DB" w:sz="4"/>
            </w:tcBorders>
            <w:shd w:fill="D9E2F3" w:color="auto" w:val="clear"/>
            <w:tcMar>
              <w:top w:type="dxa" w:w="80"/>
              <w:left w:type="dxa" w:w="120"/>
              <w:bottom w:type="dxa" w:w="80"/>
              <w:right w:type="dxa" w:w="120"/>
            </w:tcMar>
          </w:tcPr>
          <w:p>
            <w:pPr>
              <w:bidi/>
              <w:spacing w:after="0" w:line="300"/>
              <w:jc w:val="right"/>
            </w:pPr>
            <w:r>
              <w:rPr>
                <w:rFonts w:ascii="Simplified Arabic" w:cs="Simplified Arabic" w:eastAsia="Simplified Arabic" w:hAnsi="Simplified Arabic"/>
                <w:b/>
                <w:bCs/>
                <w:sz w:val="24"/>
                <w:szCs w:val="24"/>
                <w:rtl/>
              </w:rPr>
              <w:t xml:space="preserve">المحكمة</w:t>
            </w:r>
          </w:p>
        </w:tc>
      </w:tr>
      <w:tr>
        <w:tc>
          <w:tcPr>
            <w:tcW w:type="dxa" w:w="6470"/>
            <w:tcBorders>
              <w:top w:val="single" w:color="8EA9DB" w:sz="4"/>
              <w:left w:val="single" w:color="8EA9DB" w:sz="4"/>
              <w:bottom w:val="single" w:color="8EA9DB" w:sz="4"/>
              <w:right w:val="single" w:color="8EA9DB" w:sz="4"/>
            </w:tcBorders>
            <w:tcMar>
              <w:top w:type="dxa" w:w="80"/>
              <w:left w:type="dxa" w:w="120"/>
              <w:bottom w:type="dxa" w:w="80"/>
              <w:right w:type="dxa" w:w="120"/>
            </w:tcMar>
          </w:tcPr>
          <w:p>
            <w:pPr>
              <w:bidi/>
              <w:spacing w:after="0" w:line="300"/>
              <w:jc w:val="right"/>
            </w:pPr>
            <w:r>
              <w:rPr>
                <w:rFonts w:ascii="Simplified Arabic" w:cs="Simplified Arabic" w:eastAsia="Simplified Arabic" w:hAnsi="Simplified Arabic"/>
                <w:sz w:val="24"/>
                <w:szCs w:val="24"/>
                <w:rtl/>
              </w:rPr>
              <w:t xml:space="preserve">الطعنان رقما 227 و246 لسنة 2025 طعن تجاري (مضمومان)</w:t>
            </w:r>
          </w:p>
        </w:tc>
        <w:tc>
          <w:tcPr>
            <w:tcW w:type="dxa" w:w="2600"/>
            <w:tcBorders>
              <w:top w:val="single" w:color="8EA9DB" w:sz="4"/>
              <w:left w:val="single" w:color="8EA9DB" w:sz="4"/>
              <w:bottom w:val="single" w:color="8EA9DB" w:sz="4"/>
              <w:right w:val="single" w:color="8EA9DB" w:sz="4"/>
            </w:tcBorders>
            <w:shd w:fill="D9E2F3" w:color="auto" w:val="clear"/>
            <w:tcMar>
              <w:top w:type="dxa" w:w="80"/>
              <w:left w:type="dxa" w:w="120"/>
              <w:bottom w:type="dxa" w:w="80"/>
              <w:right w:type="dxa" w:w="120"/>
            </w:tcMar>
          </w:tcPr>
          <w:p>
            <w:pPr>
              <w:bidi/>
              <w:spacing w:after="0" w:line="300"/>
              <w:jc w:val="right"/>
            </w:pPr>
            <w:r>
              <w:rPr>
                <w:rFonts w:ascii="Simplified Arabic" w:cs="Simplified Arabic" w:eastAsia="Simplified Arabic" w:hAnsi="Simplified Arabic"/>
                <w:b/>
                <w:bCs/>
                <w:sz w:val="24"/>
                <w:szCs w:val="24"/>
                <w:rtl/>
              </w:rPr>
              <w:t xml:space="preserve">رقم الطعن</w:t>
            </w:r>
          </w:p>
        </w:tc>
      </w:tr>
      <w:tr>
        <w:tc>
          <w:tcPr>
            <w:tcW w:type="dxa" w:w="6470"/>
            <w:tcBorders>
              <w:top w:val="single" w:color="8EA9DB" w:sz="4"/>
              <w:left w:val="single" w:color="8EA9DB" w:sz="4"/>
              <w:bottom w:val="single" w:color="8EA9DB" w:sz="4"/>
              <w:right w:val="single" w:color="8EA9DB" w:sz="4"/>
            </w:tcBorders>
            <w:tcMar>
              <w:top w:type="dxa" w:w="80"/>
              <w:left w:type="dxa" w:w="120"/>
              <w:bottom w:type="dxa" w:w="80"/>
              <w:right w:type="dxa" w:w="120"/>
            </w:tcMar>
          </w:tcPr>
          <w:p>
            <w:pPr>
              <w:bidi/>
              <w:spacing w:after="0" w:line="300"/>
              <w:jc w:val="right"/>
            </w:pPr>
            <w:r>
              <w:rPr>
                <w:rFonts w:ascii="Simplified Arabic" w:cs="Simplified Arabic" w:eastAsia="Simplified Arabic" w:hAnsi="Simplified Arabic"/>
                <w:sz w:val="24"/>
                <w:szCs w:val="24"/>
                <w:rtl/>
              </w:rPr>
              <w:t xml:space="preserve">1 مايو 2025</w:t>
            </w:r>
          </w:p>
        </w:tc>
        <w:tc>
          <w:tcPr>
            <w:tcW w:type="dxa" w:w="2600"/>
            <w:tcBorders>
              <w:top w:val="single" w:color="8EA9DB" w:sz="4"/>
              <w:left w:val="single" w:color="8EA9DB" w:sz="4"/>
              <w:bottom w:val="single" w:color="8EA9DB" w:sz="4"/>
              <w:right w:val="single" w:color="8EA9DB" w:sz="4"/>
            </w:tcBorders>
            <w:shd w:fill="D9E2F3" w:color="auto" w:val="clear"/>
            <w:tcMar>
              <w:top w:type="dxa" w:w="80"/>
              <w:left w:type="dxa" w:w="120"/>
              <w:bottom w:type="dxa" w:w="80"/>
              <w:right w:type="dxa" w:w="120"/>
            </w:tcMar>
          </w:tcPr>
          <w:p>
            <w:pPr>
              <w:bidi/>
              <w:spacing w:after="0" w:line="300"/>
              <w:jc w:val="right"/>
            </w:pPr>
            <w:r>
              <w:rPr>
                <w:rFonts w:ascii="Simplified Arabic" w:cs="Simplified Arabic" w:eastAsia="Simplified Arabic" w:hAnsi="Simplified Arabic"/>
                <w:b/>
                <w:bCs/>
                <w:sz w:val="24"/>
                <w:szCs w:val="24"/>
                <w:rtl/>
              </w:rPr>
              <w:t xml:space="preserve">تاريخ الجلسة</w:t>
            </w:r>
          </w:p>
        </w:tc>
      </w:tr>
      <w:tr>
        <w:tc>
          <w:tcPr>
            <w:tcW w:type="dxa" w:w="6470"/>
            <w:tcBorders>
              <w:top w:val="single" w:color="8EA9DB" w:sz="4"/>
              <w:left w:val="single" w:color="8EA9DB" w:sz="4"/>
              <w:bottom w:val="single" w:color="8EA9DB" w:sz="4"/>
              <w:right w:val="single" w:color="8EA9DB" w:sz="4"/>
            </w:tcBorders>
            <w:tcMar>
              <w:top w:type="dxa" w:w="80"/>
              <w:left w:type="dxa" w:w="120"/>
              <w:bottom w:type="dxa" w:w="80"/>
              <w:right w:type="dxa" w:w="120"/>
            </w:tcMar>
          </w:tcPr>
          <w:p>
            <w:pPr>
              <w:bidi/>
              <w:spacing w:after="0" w:line="300"/>
              <w:jc w:val="right"/>
            </w:pPr>
            <w:r>
              <w:rPr>
                <w:rFonts w:ascii="Simplified Arabic" w:cs="Simplified Arabic" w:eastAsia="Simplified Arabic" w:hAnsi="Simplified Arabic"/>
                <w:sz w:val="24"/>
                <w:szCs w:val="24"/>
                <w:rtl/>
              </w:rPr>
              <w:t xml:space="preserve">الاستئناف رقم 1914 لسنة 2024 استئناف تجاري، الصادر في 27 يناير 2025</w:t>
            </w:r>
          </w:p>
        </w:tc>
        <w:tc>
          <w:tcPr>
            <w:tcW w:type="dxa" w:w="2600"/>
            <w:tcBorders>
              <w:top w:val="single" w:color="8EA9DB" w:sz="4"/>
              <w:left w:val="single" w:color="8EA9DB" w:sz="4"/>
              <w:bottom w:val="single" w:color="8EA9DB" w:sz="4"/>
              <w:right w:val="single" w:color="8EA9DB" w:sz="4"/>
            </w:tcBorders>
            <w:shd w:fill="D9E2F3" w:color="auto" w:val="clear"/>
            <w:tcMar>
              <w:top w:type="dxa" w:w="80"/>
              <w:left w:type="dxa" w:w="120"/>
              <w:bottom w:type="dxa" w:w="80"/>
              <w:right w:type="dxa" w:w="120"/>
            </w:tcMar>
          </w:tcPr>
          <w:p>
            <w:pPr>
              <w:bidi/>
              <w:spacing w:after="0" w:line="300"/>
              <w:jc w:val="right"/>
            </w:pPr>
            <w:r>
              <w:rPr>
                <w:rFonts w:ascii="Simplified Arabic" w:cs="Simplified Arabic" w:eastAsia="Simplified Arabic" w:hAnsi="Simplified Arabic"/>
                <w:b/>
                <w:bCs/>
                <w:sz w:val="24"/>
                <w:szCs w:val="24"/>
                <w:rtl/>
              </w:rPr>
              <w:t xml:space="preserve">الحكم المطعون فيه</w:t>
            </w:r>
          </w:p>
        </w:tc>
      </w:tr>
      <w:tr>
        <w:tc>
          <w:tcPr>
            <w:tcW w:type="dxa" w:w="6470"/>
            <w:tcBorders>
              <w:top w:val="single" w:color="8EA9DB" w:sz="4"/>
              <w:left w:val="single" w:color="8EA9DB" w:sz="4"/>
              <w:bottom w:val="single" w:color="8EA9DB" w:sz="4"/>
              <w:right w:val="single" w:color="8EA9DB" w:sz="4"/>
            </w:tcBorders>
            <w:tcMar>
              <w:top w:type="dxa" w:w="80"/>
              <w:left w:type="dxa" w:w="120"/>
              <w:bottom w:type="dxa" w:w="80"/>
              <w:right w:type="dxa" w:w="120"/>
            </w:tcMar>
          </w:tcPr>
          <w:p>
            <w:pPr>
              <w:bidi/>
              <w:spacing w:after="0" w:line="300"/>
              <w:jc w:val="right"/>
            </w:pPr>
            <w:r>
              <w:rPr>
                <w:rFonts w:ascii="Simplified Arabic" w:cs="Simplified Arabic" w:eastAsia="Simplified Arabic" w:hAnsi="Simplified Arabic"/>
                <w:sz w:val="24"/>
                <w:szCs w:val="24"/>
                <w:rtl/>
              </w:rPr>
              <w:t xml:space="preserve">الدعوى رقم 3324 لسنة 2023 تجاري، محكمة دبي الابتدائية</w:t>
            </w:r>
          </w:p>
        </w:tc>
        <w:tc>
          <w:tcPr>
            <w:tcW w:type="dxa" w:w="2600"/>
            <w:tcBorders>
              <w:top w:val="single" w:color="8EA9DB" w:sz="4"/>
              <w:left w:val="single" w:color="8EA9DB" w:sz="4"/>
              <w:bottom w:val="single" w:color="8EA9DB" w:sz="4"/>
              <w:right w:val="single" w:color="8EA9DB" w:sz="4"/>
            </w:tcBorders>
            <w:shd w:fill="D9E2F3" w:color="auto" w:val="clear"/>
            <w:tcMar>
              <w:top w:type="dxa" w:w="80"/>
              <w:left w:type="dxa" w:w="120"/>
              <w:bottom w:type="dxa" w:w="80"/>
              <w:right w:type="dxa" w:w="120"/>
            </w:tcMar>
          </w:tcPr>
          <w:p>
            <w:pPr>
              <w:bidi/>
              <w:spacing w:after="0" w:line="300"/>
              <w:jc w:val="right"/>
            </w:pPr>
            <w:r>
              <w:rPr>
                <w:rFonts w:ascii="Simplified Arabic" w:cs="Simplified Arabic" w:eastAsia="Simplified Arabic" w:hAnsi="Simplified Arabic"/>
                <w:b/>
                <w:bCs/>
                <w:sz w:val="24"/>
                <w:szCs w:val="24"/>
                <w:rtl/>
              </w:rPr>
              <w:t xml:space="preserve">الدعوى الابتدائية</w:t>
            </w:r>
          </w:p>
        </w:tc>
      </w:tr>
      <w:tr>
        <w:tc>
          <w:tcPr>
            <w:tcW w:type="dxa" w:w="6470"/>
            <w:tcBorders>
              <w:top w:val="single" w:color="8EA9DB" w:sz="4"/>
              <w:left w:val="single" w:color="8EA9DB" w:sz="4"/>
              <w:bottom w:val="single" w:color="8EA9DB" w:sz="4"/>
              <w:right w:val="single" w:color="8EA9DB" w:sz="4"/>
            </w:tcBorders>
            <w:tcMar>
              <w:top w:type="dxa" w:w="80"/>
              <w:left w:type="dxa" w:w="120"/>
              <w:bottom w:type="dxa" w:w="80"/>
              <w:right w:type="dxa" w:w="120"/>
            </w:tcMar>
          </w:tcPr>
          <w:p>
            <w:pPr>
              <w:bidi/>
              <w:spacing w:after="0" w:line="300"/>
              <w:jc w:val="right"/>
            </w:pPr>
            <w:r>
              <w:rPr>
                <w:rFonts w:ascii="Simplified Arabic" w:cs="Simplified Arabic" w:eastAsia="Simplified Arabic" w:hAnsi="Simplified Arabic"/>
                <w:sz w:val="24"/>
                <w:szCs w:val="24"/>
                <w:rtl/>
              </w:rPr>
              <w:t xml:space="preserve">محمد محمود نمشه</w:t>
            </w:r>
          </w:p>
        </w:tc>
        <w:tc>
          <w:tcPr>
            <w:tcW w:type="dxa" w:w="2600"/>
            <w:tcBorders>
              <w:top w:val="single" w:color="8EA9DB" w:sz="4"/>
              <w:left w:val="single" w:color="8EA9DB" w:sz="4"/>
              <w:bottom w:val="single" w:color="8EA9DB" w:sz="4"/>
              <w:right w:val="single" w:color="8EA9DB" w:sz="4"/>
            </w:tcBorders>
            <w:shd w:fill="D9E2F3" w:color="auto" w:val="clear"/>
            <w:tcMar>
              <w:top w:type="dxa" w:w="80"/>
              <w:left w:type="dxa" w:w="120"/>
              <w:bottom w:type="dxa" w:w="80"/>
              <w:right w:type="dxa" w:w="120"/>
            </w:tcMar>
          </w:tcPr>
          <w:p>
            <w:pPr>
              <w:bidi/>
              <w:spacing w:after="0" w:line="300"/>
              <w:jc w:val="right"/>
            </w:pPr>
            <w:r>
              <w:rPr>
                <w:rFonts w:ascii="Simplified Arabic" w:cs="Simplified Arabic" w:eastAsia="Simplified Arabic" w:hAnsi="Simplified Arabic"/>
                <w:b/>
                <w:bCs/>
                <w:sz w:val="24"/>
                <w:szCs w:val="24"/>
                <w:rtl/>
              </w:rPr>
              <w:t xml:space="preserve">القاضي المقرر</w:t>
            </w:r>
          </w:p>
        </w:tc>
      </w:tr>
      <w:tr>
        <w:tc>
          <w:tcPr>
            <w:tcW w:type="dxa" w:w="6470"/>
            <w:tcBorders>
              <w:top w:val="single" w:color="8EA9DB" w:sz="4"/>
              <w:left w:val="single" w:color="8EA9DB" w:sz="4"/>
              <w:bottom w:val="single" w:color="8EA9DB" w:sz="4"/>
              <w:right w:val="single" w:color="8EA9DB" w:sz="4"/>
            </w:tcBorders>
            <w:tcMar>
              <w:top w:type="dxa" w:w="80"/>
              <w:left w:type="dxa" w:w="120"/>
              <w:bottom w:type="dxa" w:w="80"/>
              <w:right w:type="dxa" w:w="120"/>
            </w:tcMar>
          </w:tcPr>
          <w:p>
            <w:pPr>
              <w:bidi/>
              <w:spacing w:after="0" w:line="300"/>
              <w:jc w:val="right"/>
            </w:pPr>
            <w:r>
              <w:rPr>
                <w:rFonts w:ascii="Simplified Arabic" w:cs="Simplified Arabic" w:eastAsia="Simplified Arabic" w:hAnsi="Simplified Arabic"/>
                <w:sz w:val="24"/>
                <w:szCs w:val="24"/>
                <w:rtl/>
              </w:rPr>
              <w:t xml:space="preserve">المادة 3 من القانون الاتحادي رقم 1 لسنة 2006؛ المادة 34/2 من قانون المعاملات التجارية (مرسوم بقانون رقم 50 لسنة 2022)؛ المادتان 11/1 و28/1 من قانون الإثبات</w:t>
            </w:r>
          </w:p>
        </w:tc>
        <w:tc>
          <w:tcPr>
            <w:tcW w:type="dxa" w:w="2600"/>
            <w:tcBorders>
              <w:top w:val="single" w:color="8EA9DB" w:sz="4"/>
              <w:left w:val="single" w:color="8EA9DB" w:sz="4"/>
              <w:bottom w:val="single" w:color="8EA9DB" w:sz="4"/>
              <w:right w:val="single" w:color="8EA9DB" w:sz="4"/>
            </w:tcBorders>
            <w:shd w:fill="D9E2F3" w:color="auto" w:val="clear"/>
            <w:tcMar>
              <w:top w:type="dxa" w:w="80"/>
              <w:left w:type="dxa" w:w="120"/>
              <w:bottom w:type="dxa" w:w="80"/>
              <w:right w:type="dxa" w:w="120"/>
            </w:tcMar>
          </w:tcPr>
          <w:p>
            <w:pPr>
              <w:bidi/>
              <w:spacing w:after="0" w:line="300"/>
              <w:jc w:val="right"/>
            </w:pPr>
            <w:r>
              <w:rPr>
                <w:rFonts w:ascii="Simplified Arabic" w:cs="Simplified Arabic" w:eastAsia="Simplified Arabic" w:hAnsi="Simplified Arabic"/>
                <w:b/>
                <w:bCs/>
                <w:sz w:val="24"/>
                <w:szCs w:val="24"/>
                <w:rtl/>
              </w:rPr>
              <w:t xml:space="preserve">النصوص المطبقة</w:t>
            </w:r>
          </w:p>
        </w:tc>
      </w:tr>
      <w:tr>
        <w:tc>
          <w:tcPr>
            <w:tcW w:type="dxa" w:w="6470"/>
            <w:tcBorders>
              <w:top w:val="single" w:color="8EA9DB" w:sz="4"/>
              <w:left w:val="single" w:color="8EA9DB" w:sz="4"/>
              <w:bottom w:val="single" w:color="8EA9DB" w:sz="4"/>
              <w:right w:val="single" w:color="8EA9DB" w:sz="4"/>
            </w:tcBorders>
            <w:tcMar>
              <w:top w:type="dxa" w:w="80"/>
              <w:left w:type="dxa" w:w="120"/>
              <w:bottom w:type="dxa" w:w="80"/>
              <w:right w:type="dxa" w:w="120"/>
            </w:tcMar>
          </w:tcPr>
          <w:p>
            <w:pPr>
              <w:bidi/>
              <w:spacing w:after="0" w:line="300"/>
              <w:jc w:val="right"/>
            </w:pPr>
            <w:r>
              <w:rPr>
                <w:rFonts w:ascii="Simplified Arabic" w:cs="Simplified Arabic" w:eastAsia="Simplified Arabic" w:hAnsi="Simplified Arabic"/>
                <w:sz w:val="24"/>
                <w:szCs w:val="24"/>
                <w:rtl/>
              </w:rPr>
              <w:t xml:space="preserve">رفض الطعن 227؛ نقض جزئي في الطعن 246 والتصدي للموضوع بإلزام المستأجرة بمبلغ 546,086.12 درهماً</w:t>
            </w:r>
          </w:p>
        </w:tc>
        <w:tc>
          <w:tcPr>
            <w:tcW w:type="dxa" w:w="2600"/>
            <w:tcBorders>
              <w:top w:val="single" w:color="8EA9DB" w:sz="4"/>
              <w:left w:val="single" w:color="8EA9DB" w:sz="4"/>
              <w:bottom w:val="single" w:color="8EA9DB" w:sz="4"/>
              <w:right w:val="single" w:color="8EA9DB" w:sz="4"/>
            </w:tcBorders>
            <w:shd w:fill="D9E2F3" w:color="auto" w:val="clear"/>
            <w:tcMar>
              <w:top w:type="dxa" w:w="80"/>
              <w:left w:type="dxa" w:w="120"/>
              <w:bottom w:type="dxa" w:w="80"/>
              <w:right w:type="dxa" w:w="120"/>
            </w:tcMar>
          </w:tcPr>
          <w:p>
            <w:pPr>
              <w:bidi/>
              <w:spacing w:after="0" w:line="300"/>
              <w:jc w:val="right"/>
            </w:pPr>
            <w:r>
              <w:rPr>
                <w:rFonts w:ascii="Simplified Arabic" w:cs="Simplified Arabic" w:eastAsia="Simplified Arabic" w:hAnsi="Simplified Arabic"/>
                <w:b/>
                <w:bCs/>
                <w:sz w:val="24"/>
                <w:szCs w:val="24"/>
                <w:rtl/>
              </w:rPr>
              <w:t xml:space="preserve">المنطوق</w:t>
            </w:r>
          </w:p>
        </w:tc>
      </w:tr>
      <w:tr>
        <w:tc>
          <w:tcPr>
            <w:tcW w:type="dxa" w:w="6470"/>
            <w:tcBorders>
              <w:top w:val="single" w:color="8EA9DB" w:sz="4"/>
              <w:left w:val="single" w:color="8EA9DB" w:sz="4"/>
              <w:bottom w:val="single" w:color="8EA9DB" w:sz="4"/>
              <w:right w:val="single" w:color="8EA9DB" w:sz="4"/>
            </w:tcBorders>
            <w:tcMar>
              <w:top w:type="dxa" w:w="80"/>
              <w:left w:type="dxa" w:w="120"/>
              <w:bottom w:type="dxa" w:w="80"/>
              <w:right w:type="dxa" w:w="120"/>
            </w:tcMar>
          </w:tcPr>
          <w:p>
            <w:pPr>
              <w:bidi/>
              <w:spacing w:after="0" w:line="300"/>
              <w:jc w:val="right"/>
            </w:pPr>
            <w:r>
              <w:rPr>
                <w:rFonts w:ascii="Simplified Arabic" w:cs="Simplified Arabic" w:eastAsia="Simplified Arabic" w:hAnsi="Simplified Arabic"/>
                <w:sz w:val="24"/>
                <w:szCs w:val="24"/>
                <w:rtl/>
              </w:rPr>
              <w:t xml:space="preserve">النص الكامل منشور في مدونة رواق الجمل (مرفق نصه بملف PDF مستقل)</w:t>
            </w:r>
          </w:p>
        </w:tc>
        <w:tc>
          <w:tcPr>
            <w:tcW w:type="dxa" w:w="2600"/>
            <w:tcBorders>
              <w:top w:val="single" w:color="8EA9DB" w:sz="4"/>
              <w:left w:val="single" w:color="8EA9DB" w:sz="4"/>
              <w:bottom w:val="single" w:color="8EA9DB" w:sz="4"/>
              <w:right w:val="single" w:color="8EA9DB" w:sz="4"/>
            </w:tcBorders>
            <w:shd w:fill="D9E2F3" w:color="auto" w:val="clear"/>
            <w:tcMar>
              <w:top w:type="dxa" w:w="80"/>
              <w:left w:type="dxa" w:w="120"/>
              <w:bottom w:type="dxa" w:w="80"/>
              <w:right w:type="dxa" w:w="120"/>
            </w:tcMar>
          </w:tcPr>
          <w:p>
            <w:pPr>
              <w:bidi/>
              <w:spacing w:after="0" w:line="300"/>
              <w:jc w:val="right"/>
            </w:pPr>
            <w:r>
              <w:rPr>
                <w:rFonts w:ascii="Simplified Arabic" w:cs="Simplified Arabic" w:eastAsia="Simplified Arabic" w:hAnsi="Simplified Arabic"/>
                <w:b/>
                <w:bCs/>
                <w:sz w:val="24"/>
                <w:szCs w:val="24"/>
                <w:rtl/>
              </w:rPr>
              <w:t xml:space="preserve">المصدر</w:t>
            </w:r>
          </w:p>
        </w:tc>
      </w:tr>
    </w:tbl>
    <w:p>
      <w:pPr>
        <w:bidi/>
        <w:spacing w:after="120" w:line="360"/>
        <w:jc w:val="both"/>
      </w:pPr>
    </w:p>
    <w:p>
      <w:pPr>
        <w:pStyle w:val="Heading1"/>
        <w:bidi/>
        <w:spacing w:after="200" w:line="360"/>
        <w:jc w:val="right"/>
      </w:pPr>
      <w:r>
        <w:rPr>
          <w:rFonts w:ascii="Simplified Arabic" w:cs="Simplified Arabic" w:eastAsia="Simplified Arabic" w:hAnsi="Simplified Arabic"/>
          <w:b/>
          <w:bCs/>
          <w:color w:val="1F3864"/>
          <w:sz w:val="34"/>
          <w:szCs w:val="34"/>
          <w:rtl/>
        </w:rPr>
        <w:t xml:space="preserve">مقدمة</w:t>
      </w:r>
    </w:p>
    <w:p>
      <w:pPr>
        <w:bidi/>
        <w:spacing w:after="160" w:line="360"/>
        <w:jc w:val="both"/>
      </w:pPr>
      <w:r>
        <w:rPr>
          <w:rFonts w:ascii="Simplified Arabic" w:cs="Simplified Arabic" w:eastAsia="Simplified Arabic" w:hAnsi="Simplified Arabic"/>
          <w:sz w:val="28"/>
          <w:szCs w:val="28"/>
          <w:rtl/>
        </w:rPr>
        <w:t xml:space="preserve">يتناول هذا التعليق حكماً حديثاً لمحكمة تمييز دبي في نزاع بين شركة تعمل في توصيل الطلبات وشركتين مؤجرتين للسيارات، حُسم في جوهره بقواعد الإثبات بالسجلات والمراسلات الإلكترونية. وتظهر أهميته من أن المحكمة استندت صراحةً إلى قانون المعاملات والتجارة الإلكترونية، وإلى حجية الدفاتر التجارية الممسوكة بالحاسب الآلي.</w:t>
      </w:r>
    </w:p>
    <w:p>
      <w:pPr>
        <w:bidi/>
        <w:spacing w:after="160" w:line="360"/>
        <w:jc w:val="both"/>
      </w:pPr>
      <w:r>
        <w:rPr>
          <w:rFonts w:ascii="Simplified Arabic" w:cs="Simplified Arabic" w:eastAsia="Simplified Arabic" w:hAnsi="Simplified Arabic"/>
          <w:sz w:val="28"/>
          <w:szCs w:val="28"/>
          <w:rtl/>
        </w:rPr>
        <w:t xml:space="preserve">ويقع الحكم في صميم موضوع المساق، إذ يعالج مسألة تثور في كل نزاع من نزاعات التجارة الإلكترونية: ما قيمة رسائل واتساب والبريد الإلكتروني والفواتير المرسلة إلكترونياً أمام القاضي؟ ومتى تكون السجلات المحوسبة لأحد الطرفين حجة على الآخر؟ وهي المسألة ذاتها التي يواجهها المستهلك حين ينازع منصة بيع أو مزوداً لا يملك ضده إلا أدلة رقمية.</w:t>
      </w:r>
    </w:p>
    <w:p>
      <w:pPr>
        <w:bidi/>
        <w:spacing w:after="160" w:line="360"/>
        <w:jc w:val="both"/>
      </w:pPr>
      <w:r>
        <w:rPr>
          <w:rFonts w:ascii="Simplified Arabic" w:cs="Simplified Arabic" w:eastAsia="Simplified Arabic" w:hAnsi="Simplified Arabic"/>
          <w:sz w:val="28"/>
          <w:szCs w:val="28"/>
          <w:rtl/>
        </w:rPr>
        <w:t xml:space="preserve">ونتبع في التعليق المنهجية المستقرة: نعرض الوقائع، ثم الإجراءات، ثم ادعاءات الخصوم، ثم نحدد المشكلة القانونية والحل الذي أخذت به المحكمة، ونختم بتقييم الحكم في مبحثين: الأول لمواطن التأييد، والثاني لما يؤخذ عليه.</w:t>
      </w:r>
    </w:p>
    <w:p>
      <w:pPr>
        <w:pStyle w:val="Heading1"/>
        <w:bidi/>
        <w:spacing w:after="200" w:line="360"/>
        <w:jc w:val="right"/>
      </w:pPr>
      <w:r>
        <w:rPr>
          <w:rFonts w:ascii="Simplified Arabic" w:cs="Simplified Arabic" w:eastAsia="Simplified Arabic" w:hAnsi="Simplified Arabic"/>
          <w:b/>
          <w:bCs/>
          <w:color w:val="1F3864"/>
          <w:sz w:val="34"/>
          <w:szCs w:val="34"/>
          <w:rtl/>
        </w:rPr>
        <w:t xml:space="preserve">أولاً: الوقائع</w:t>
      </w:r>
    </w:p>
    <w:p>
      <w:pPr>
        <w:bidi/>
        <w:spacing w:after="160" w:line="360"/>
        <w:jc w:val="both"/>
      </w:pPr>
      <w:r>
        <w:rPr>
          <w:rFonts w:ascii="Simplified Arabic" w:cs="Simplified Arabic" w:eastAsia="Simplified Arabic" w:hAnsi="Simplified Arabic"/>
          <w:sz w:val="28"/>
          <w:szCs w:val="28"/>
          <w:rtl/>
        </w:rPr>
        <w:t xml:space="preserve">أبرمت شركتان تعملان في تأجير السيارات (المؤجرتان) اتفاقيات تأجير مركبات مع شركة "واتر ميلون لخدمات توصيل الطلبات" (المستأجرة)، تستخدم بموجبها الأخيرة السيارات في نشاط التوصيل. والتزمت المستأجرة بسداد المستحقات خلال 60 يوماً من إصدار الفواتير.</w:t>
      </w:r>
    </w:p>
    <w:p>
      <w:pPr>
        <w:bidi/>
        <w:spacing w:after="160" w:line="360"/>
        <w:jc w:val="both"/>
      </w:pPr>
      <w:r>
        <w:rPr>
          <w:rFonts w:ascii="Simplified Arabic" w:cs="Simplified Arabic" w:eastAsia="Simplified Arabic" w:hAnsi="Simplified Arabic"/>
          <w:sz w:val="28"/>
          <w:szCs w:val="28"/>
          <w:rtl/>
        </w:rPr>
        <w:t xml:space="preserve">وتضمنت العقود حداً أقصى قدره 60 ألف كيلومتر لكل سيارة، ومقابلاً للمسافات الزائدة قدره 35 فلساً للكيلومتر مضافاً إليه ضريبة القيمة المضافة، وغرامة تأخير قدرها 1% شهرياً على المبالغ غير المدفوعة. وكانت تُحرَّر عند تسليم كل سيارة واستلامها تقارير فحص تُثبت عداد المسافات وحالة المركبة.</w:t>
      </w:r>
    </w:p>
    <w:p>
      <w:pPr>
        <w:bidi/>
        <w:spacing w:after="160" w:line="360"/>
        <w:jc w:val="both"/>
      </w:pPr>
      <w:r>
        <w:rPr>
          <w:rFonts w:ascii="Simplified Arabic" w:cs="Simplified Arabic" w:eastAsia="Simplified Arabic" w:hAnsi="Simplified Arabic"/>
          <w:sz w:val="28"/>
          <w:szCs w:val="28"/>
          <w:rtl/>
        </w:rPr>
        <w:t xml:space="preserve">وادعت المؤجرتان أنه ترصّد لهما في ذمة المستأجرة مبلغ 1,098,212.80 درهماً استحق في 31/3/2022، يشمل الأجرة ورسوم الوقود و"سالك" والمخالفات المرورية والفائض التأميني وغرامات التأخير ومقابل المسافات الزائدة وإصلاح الأضرار. ولما امتنعت المستأجرة عن السداد، سحبت المؤجرتان المركبات منها ولجأتا إلى القضاء.</w:t>
      </w:r>
    </w:p>
    <w:p>
      <w:pPr>
        <w:pStyle w:val="Heading1"/>
        <w:bidi/>
        <w:spacing w:after="200" w:line="360"/>
        <w:jc w:val="right"/>
      </w:pPr>
      <w:r>
        <w:rPr>
          <w:rFonts w:ascii="Simplified Arabic" w:cs="Simplified Arabic" w:eastAsia="Simplified Arabic" w:hAnsi="Simplified Arabic"/>
          <w:b/>
          <w:bCs/>
          <w:color w:val="1F3864"/>
          <w:sz w:val="34"/>
          <w:szCs w:val="34"/>
          <w:rtl/>
        </w:rPr>
        <w:t xml:space="preserve">ثانياً: الإجراءات ومراحل التقاضي</w:t>
      </w:r>
    </w:p>
    <w:p>
      <w:pPr>
        <w:bidi/>
        <w:spacing w:after="160" w:line="360"/>
        <w:jc w:val="both"/>
      </w:pPr>
      <w:r>
        <w:rPr>
          <w:rFonts w:ascii="Simplified Arabic" w:cs="Simplified Arabic" w:eastAsia="Simplified Arabic" w:hAnsi="Simplified Arabic"/>
          <w:sz w:val="28"/>
          <w:szCs w:val="28"/>
          <w:rtl/>
        </w:rPr>
        <w:t xml:space="preserve">مرّ النزاع بثلاث درجات، انتهت بإلزام المستأجرة بمبلغ 515,529.50 درهماً أيدته محكمة التمييز، مضافاً إليه 546,086.12 درهماً أعادت الإلزام بها بعد أن أسقطتها محكمة الاستئناف.</w:t>
      </w:r>
    </w:p>
    <w:p>
      <w:pPr>
        <w:pStyle w:val="ListParagraph"/>
        <w:numPr>
          <w:ilvl w:val="0"/>
          <w:numId w:val="2"/>
        </w:numPr>
        <w:bidi/>
        <w:spacing w:after="100" w:line="360"/>
        <w:jc w:val="both"/>
      </w:pPr>
      <w:r>
        <w:rPr>
          <w:rFonts w:ascii="Simplified Arabic" w:cs="Simplified Arabic" w:eastAsia="Simplified Arabic" w:hAnsi="Simplified Arabic"/>
          <w:b/>
          <w:bCs/>
          <w:sz w:val="28"/>
          <w:szCs w:val="28"/>
          <w:rtl/>
        </w:rPr>
        <w:t xml:space="preserve">أمام محكمة أول درجة (الدعوى 3324 لسنة 2023 تجاري): </w:t>
      </w:r>
      <w:r>
        <w:rPr>
          <w:rFonts w:ascii="Simplified Arabic" w:cs="Simplified Arabic" w:eastAsia="Simplified Arabic" w:hAnsi="Simplified Arabic"/>
          <w:sz w:val="28"/>
          <w:szCs w:val="28"/>
          <w:rtl/>
        </w:rPr>
        <w:t xml:space="preserve">ندبت المحكمة خبيراً انتهى إلى براءة ذمة المستأجرة، ثم لجنة من خبيرين حسابيين. وفي 30/9/2024 قضت بعدم قبول إدخال شركة من الغير لعدم سداد الرسم، وبإلزام المستأجرة بمبلغ 946,806.75 درهماً والفائدة بواقع 5% من تاريخ كل فاتورة.</w:t>
      </w:r>
    </w:p>
    <w:p>
      <w:pPr>
        <w:pStyle w:val="ListParagraph"/>
        <w:numPr>
          <w:ilvl w:val="0"/>
          <w:numId w:val="2"/>
        </w:numPr>
        <w:bidi/>
        <w:spacing w:after="100" w:line="360"/>
        <w:jc w:val="both"/>
      </w:pPr>
      <w:r>
        <w:rPr>
          <w:rFonts w:ascii="Simplified Arabic" w:cs="Simplified Arabic" w:eastAsia="Simplified Arabic" w:hAnsi="Simplified Arabic"/>
          <w:b/>
          <w:bCs/>
          <w:sz w:val="28"/>
          <w:szCs w:val="28"/>
          <w:rtl/>
        </w:rPr>
        <w:t xml:space="preserve">أمام محكمة الاستئناف (الاستئنافان 1910 و1914 لسنة 2024): </w:t>
      </w:r>
      <w:r>
        <w:rPr>
          <w:rFonts w:ascii="Simplified Arabic" w:cs="Simplified Arabic" w:eastAsia="Simplified Arabic" w:hAnsi="Simplified Arabic"/>
          <w:sz w:val="28"/>
          <w:szCs w:val="28"/>
          <w:rtl/>
        </w:rPr>
        <w:t xml:space="preserve">ضُمّ الاستئنافان، وفي 27/1/2025 ألغت المحكمة القضاء بعدم قبول الإدخال وأعادته لأول درجة، وعدّلت المبلغ إلى 515,529.50 درهماً. واستبعدت مبلغي المسافات الزائدة والإصلاحات لأن التوقيع باستلام الفواتير لا يكفي في نظرها لإثبات صحة ما ورد فيها.</w:t>
      </w:r>
    </w:p>
    <w:p>
      <w:pPr>
        <w:pStyle w:val="ListParagraph"/>
        <w:numPr>
          <w:ilvl w:val="0"/>
          <w:numId w:val="2"/>
        </w:numPr>
        <w:bidi/>
        <w:spacing w:after="100" w:line="360"/>
        <w:jc w:val="both"/>
      </w:pPr>
      <w:r>
        <w:rPr>
          <w:rFonts w:ascii="Simplified Arabic" w:cs="Simplified Arabic" w:eastAsia="Simplified Arabic" w:hAnsi="Simplified Arabic"/>
          <w:b/>
          <w:bCs/>
          <w:sz w:val="28"/>
          <w:szCs w:val="28"/>
          <w:rtl/>
        </w:rPr>
        <w:t xml:space="preserve">أمام محكمة التمييز: </w:t>
      </w:r>
      <w:r>
        <w:rPr>
          <w:rFonts w:ascii="Simplified Arabic" w:cs="Simplified Arabic" w:eastAsia="Simplified Arabic" w:hAnsi="Simplified Arabic"/>
          <w:sz w:val="28"/>
          <w:szCs w:val="28"/>
          <w:rtl/>
        </w:rPr>
        <w:t xml:space="preserve">طعنت المستأجرة بالطعن 227، وطعنت المؤجرتان بالطعن 246، وأودعت الصحيفتان في 25/2/2025. ونظرتهما المحكمة بعد عرضهما في غرفة المشورة، وفصلت فيهما بحكم واحد بجلسة 1/5/2025.</w:t>
      </w:r>
    </w:p>
    <w:p>
      <w:pPr>
        <w:pStyle w:val="Heading1"/>
        <w:bidi/>
        <w:spacing w:after="200" w:line="360"/>
        <w:jc w:val="right"/>
      </w:pPr>
      <w:r>
        <w:rPr>
          <w:rFonts w:ascii="Simplified Arabic" w:cs="Simplified Arabic" w:eastAsia="Simplified Arabic" w:hAnsi="Simplified Arabic"/>
          <w:b/>
          <w:bCs/>
          <w:color w:val="1F3864"/>
          <w:sz w:val="34"/>
          <w:szCs w:val="34"/>
          <w:rtl/>
        </w:rPr>
        <w:t xml:space="preserve">ثالثاً: ادعاءات الخصوم وأسباب الطعن</w:t>
      </w:r>
    </w:p>
    <w:p>
      <w:pPr>
        <w:bidi/>
        <w:spacing w:after="160" w:line="360"/>
        <w:jc w:val="both"/>
      </w:pPr>
      <w:r>
        <w:rPr>
          <w:rFonts w:ascii="Simplified Arabic" w:cs="Simplified Arabic" w:eastAsia="Simplified Arabic" w:hAnsi="Simplified Arabic"/>
          <w:sz w:val="28"/>
          <w:szCs w:val="28"/>
          <w:rtl/>
        </w:rPr>
        <w:t xml:space="preserve">تعارضت الأدلة الإلكترونية لكل طرف: المستأجرة تحتج بالمراسلات، والمؤجرتان تحتجان بالسجلات المحاسبية المحوسبة وتقارير الفحص الموقعة.</w:t>
      </w:r>
    </w:p>
    <w:p>
      <w:pPr>
        <w:pStyle w:val="Heading2"/>
        <w:bidi/>
        <w:spacing w:after="160" w:line="360"/>
        <w:jc w:val="right"/>
      </w:pPr>
      <w:r>
        <w:rPr>
          <w:rFonts w:ascii="Simplified Arabic" w:cs="Simplified Arabic" w:eastAsia="Simplified Arabic" w:hAnsi="Simplified Arabic"/>
          <w:b/>
          <w:bCs/>
          <w:color w:val="2E5597"/>
          <w:sz w:val="30"/>
          <w:szCs w:val="30"/>
          <w:rtl/>
        </w:rPr>
        <w:t xml:space="preserve">أ) الطعن 227 لسنة 2025 (من المستأجرة)</w:t>
      </w:r>
    </w:p>
    <w:p>
      <w:pPr>
        <w:bidi/>
        <w:spacing w:after="160" w:line="360"/>
        <w:jc w:val="both"/>
      </w:pPr>
      <w:r>
        <w:rPr>
          <w:rFonts w:ascii="Simplified Arabic" w:cs="Simplified Arabic" w:eastAsia="Simplified Arabic" w:hAnsi="Simplified Arabic"/>
          <w:sz w:val="28"/>
          <w:szCs w:val="28"/>
          <w:rtl/>
        </w:rPr>
        <w:t xml:space="preserve">نعت الطاعنة على الحكم الإخلال بحق الدفاع والفساد في الاستدلال ومخالفة الثابت بالأوراق، لأنه:</w:t>
      </w:r>
    </w:p>
    <w:p>
      <w:pPr>
        <w:pStyle w:val="ListParagraph"/>
        <w:numPr>
          <w:ilvl w:val="0"/>
          <w:numId w:val="3"/>
        </w:numPr>
        <w:bidi/>
        <w:spacing w:after="100" w:line="360"/>
        <w:jc w:val="both"/>
      </w:pPr>
      <w:r>
        <w:rPr>
          <w:rFonts w:ascii="Simplified Arabic" w:cs="Simplified Arabic" w:eastAsia="Simplified Arabic" w:hAnsi="Simplified Arabic"/>
          <w:sz w:val="28"/>
          <w:szCs w:val="28"/>
          <w:rtl/>
        </w:rPr>
        <w:t xml:space="preserve">أهدر رسائل واتساب والبريد الإلكتروني التي قدمتها لإثبات سداد مستحقات 2022 و2023.</w:t>
      </w:r>
    </w:p>
    <w:p>
      <w:pPr>
        <w:pStyle w:val="ListParagraph"/>
        <w:numPr>
          <w:ilvl w:val="0"/>
          <w:numId w:val="3"/>
        </w:numPr>
        <w:bidi/>
        <w:spacing w:after="100" w:line="360"/>
        <w:jc w:val="both"/>
      </w:pPr>
      <w:r>
        <w:rPr>
          <w:rFonts w:ascii="Simplified Arabic" w:cs="Simplified Arabic" w:eastAsia="Simplified Arabic" w:hAnsi="Simplified Arabic"/>
          <w:sz w:val="28"/>
          <w:szCs w:val="28"/>
          <w:rtl/>
        </w:rPr>
        <w:t xml:space="preserve">تجاهل سحب المركبات قبل انتهاء العقد دون إخطارها، مع استمرار مطالبتها بالأجرة.</w:t>
      </w:r>
    </w:p>
    <w:p>
      <w:pPr>
        <w:pStyle w:val="ListParagraph"/>
        <w:numPr>
          <w:ilvl w:val="0"/>
          <w:numId w:val="3"/>
        </w:numPr>
        <w:bidi/>
        <w:spacing w:after="100" w:line="360"/>
        <w:jc w:val="both"/>
      </w:pPr>
      <w:r>
        <w:rPr>
          <w:rFonts w:ascii="Simplified Arabic" w:cs="Simplified Arabic" w:eastAsia="Simplified Arabic" w:hAnsi="Simplified Arabic"/>
          <w:sz w:val="28"/>
          <w:szCs w:val="28"/>
          <w:rtl/>
        </w:rPr>
        <w:t xml:space="preserve">اعتمد فواتير "من صنع" المؤجرتين لا تحمل توقيعها، وغرامات تأخير بلا سند.</w:t>
      </w:r>
    </w:p>
    <w:p>
      <w:pPr>
        <w:pStyle w:val="ListParagraph"/>
        <w:numPr>
          <w:ilvl w:val="0"/>
          <w:numId w:val="3"/>
        </w:numPr>
        <w:bidi/>
        <w:spacing w:after="100" w:line="360"/>
        <w:jc w:val="both"/>
      </w:pPr>
      <w:r>
        <w:rPr>
          <w:rFonts w:ascii="Simplified Arabic" w:cs="Simplified Arabic" w:eastAsia="Simplified Arabic" w:hAnsi="Simplified Arabic"/>
          <w:sz w:val="28"/>
          <w:szCs w:val="28"/>
          <w:rtl/>
        </w:rPr>
        <w:t xml:space="preserve">أخذ بتقرير اللجنة وأطرح تقرير الخبير الأول المؤيد لبراءة ذمتها، دون ندب لجنة مرجّحة.</w:t>
      </w:r>
    </w:p>
    <w:p>
      <w:pPr>
        <w:pStyle w:val="Heading2"/>
        <w:bidi/>
        <w:spacing w:after="160" w:line="360"/>
        <w:jc w:val="right"/>
      </w:pPr>
      <w:r>
        <w:rPr>
          <w:rFonts w:ascii="Simplified Arabic" w:cs="Simplified Arabic" w:eastAsia="Simplified Arabic" w:hAnsi="Simplified Arabic"/>
          <w:b/>
          <w:bCs/>
          <w:color w:val="2E5597"/>
          <w:sz w:val="30"/>
          <w:szCs w:val="30"/>
          <w:rtl/>
        </w:rPr>
        <w:t xml:space="preserve">ب) الطعن 246 لسنة 2025 (من المؤجرتين)</w:t>
      </w:r>
    </w:p>
    <w:p>
      <w:pPr>
        <w:bidi/>
        <w:spacing w:after="160" w:line="360"/>
        <w:jc w:val="both"/>
      </w:pPr>
      <w:r>
        <w:rPr>
          <w:rFonts w:ascii="Simplified Arabic" w:cs="Simplified Arabic" w:eastAsia="Simplified Arabic" w:hAnsi="Simplified Arabic"/>
          <w:sz w:val="28"/>
          <w:szCs w:val="28"/>
          <w:rtl/>
        </w:rPr>
        <w:t xml:space="preserve">نعت الطاعنتان على الحكم مخالفة القانون والقصور في التسبيب، لأنه أسقط مبلغ 413,401.82 درهماً عن المسافات الزائدة و132,684.30 درهماً عن الإصلاحات. وكان ذلك رغم تقديم تقارير فحص موقعة من المستأجرة نفسها، وكشف حساب مستخرج من دفاترهما التجارية، ورغم انتهاء لجنة الخبرة إلى استحقاق المبلغين.</w:t>
      </w:r>
    </w:p>
    <w:p>
      <w:pPr>
        <w:pStyle w:val="Heading1"/>
        <w:bidi/>
        <w:spacing w:after="200" w:line="360"/>
        <w:jc w:val="right"/>
      </w:pPr>
      <w:r>
        <w:rPr>
          <w:rFonts w:ascii="Simplified Arabic" w:cs="Simplified Arabic" w:eastAsia="Simplified Arabic" w:hAnsi="Simplified Arabic"/>
          <w:b/>
          <w:bCs/>
          <w:color w:val="1F3864"/>
          <w:sz w:val="34"/>
          <w:szCs w:val="34"/>
          <w:rtl/>
        </w:rPr>
        <w:t xml:space="preserve">رابعاً: المشكلة القانونية</w:t>
      </w:r>
    </w:p>
    <w:p>
      <w:pPr>
        <w:bidi/>
        <w:spacing w:after="160" w:line="360"/>
        <w:jc w:val="both"/>
      </w:pPr>
      <w:r>
        <w:rPr>
          <w:rFonts w:ascii="Simplified Arabic" w:cs="Simplified Arabic" w:eastAsia="Simplified Arabic" w:hAnsi="Simplified Arabic"/>
          <w:sz w:val="28"/>
          <w:szCs w:val="28"/>
          <w:rtl/>
        </w:rPr>
        <w:t xml:space="preserve">تتمثل المشكلة القانونية في السؤال التالي: ما حجية السجلات الإلكترونية والدفاتر التجارية الممسوكة بالحاسب الآلي في الإثبات بين تاجرين، وهل يكفي قيد الفاتورة في سجلات مصدرها وإرسالها إلكترونياً، أو التوقيع على تقرير فحص، لإلزام الخصم بما ورد فيهما ما لم ينقضهما بدليل مماثل؟</w:t>
      </w:r>
    </w:p>
    <w:p>
      <w:pPr>
        <w:bidi/>
        <w:spacing w:after="160" w:line="360"/>
        <w:jc w:val="both"/>
      </w:pPr>
      <w:r>
        <w:rPr>
          <w:rFonts w:ascii="Simplified Arabic" w:cs="Simplified Arabic" w:eastAsia="Simplified Arabic" w:hAnsi="Simplified Arabic"/>
          <w:sz w:val="28"/>
          <w:szCs w:val="28"/>
          <w:rtl/>
        </w:rPr>
        <w:t xml:space="preserve">ويتفرع عنها سؤالان: ما حدود سلطة محكمة الموضوع في الموازنة بين تقارير الخبرة المتعارضة؟ ومتى يكون إطراح مستند موقّع قصوراً في التسبيب يوجب النقض؟</w:t>
      </w:r>
    </w:p>
    <w:p>
      <w:pPr>
        <w:pStyle w:val="Heading1"/>
        <w:bidi/>
        <w:spacing w:after="200" w:line="360"/>
        <w:jc w:val="right"/>
      </w:pPr>
      <w:r>
        <w:rPr>
          <w:rFonts w:ascii="Simplified Arabic" w:cs="Simplified Arabic" w:eastAsia="Simplified Arabic" w:hAnsi="Simplified Arabic"/>
          <w:b/>
          <w:bCs/>
          <w:color w:val="1F3864"/>
          <w:sz w:val="34"/>
          <w:szCs w:val="34"/>
          <w:rtl/>
        </w:rPr>
        <w:t xml:space="preserve">خامساً: الحل الذي قررته المحكمة</w:t>
      </w:r>
    </w:p>
    <w:p>
      <w:pPr>
        <w:bidi/>
        <w:spacing w:after="160" w:line="360"/>
        <w:jc w:val="both"/>
      </w:pPr>
      <w:r>
        <w:rPr>
          <w:rFonts w:ascii="Simplified Arabic" w:cs="Simplified Arabic" w:eastAsia="Simplified Arabic" w:hAnsi="Simplified Arabic"/>
          <w:sz w:val="28"/>
          <w:szCs w:val="28"/>
          <w:rtl/>
        </w:rPr>
        <w:t xml:space="preserve">رفضت المحكمة طعن المستأجرة، ونقضت الحكم نقضاً جزئياً لصالح المؤجرتين وتصدت للموضوع فألزمت المستأجرة بمبلغ 546,086.12 درهماً.</w:t>
      </w:r>
    </w:p>
    <w:p>
      <w:pPr>
        <w:pStyle w:val="Heading2"/>
        <w:bidi/>
        <w:spacing w:after="160" w:line="360"/>
        <w:jc w:val="right"/>
      </w:pPr>
      <w:r>
        <w:rPr>
          <w:rFonts w:ascii="Simplified Arabic" w:cs="Simplified Arabic" w:eastAsia="Simplified Arabic" w:hAnsi="Simplified Arabic"/>
          <w:b/>
          <w:bCs/>
          <w:color w:val="2E5597"/>
          <w:sz w:val="30"/>
          <w:szCs w:val="30"/>
          <w:rtl/>
        </w:rPr>
        <w:t xml:space="preserve">أ) أسباب رفض الطعن 227</w:t>
      </w:r>
    </w:p>
    <w:p>
      <w:pPr>
        <w:bidi/>
        <w:spacing w:after="160" w:line="360"/>
        <w:jc w:val="both"/>
      </w:pPr>
      <w:r>
        <w:rPr>
          <w:rFonts w:ascii="Simplified Arabic" w:cs="Simplified Arabic" w:eastAsia="Simplified Arabic" w:hAnsi="Simplified Arabic"/>
          <w:sz w:val="28"/>
          <w:szCs w:val="28"/>
          <w:rtl/>
        </w:rPr>
        <w:t xml:space="preserve">رأت المحكمة أن النعي جدل موضوعي في تقدير الأدلة، لا تجوز إثارته أمام محكمة التمييز. واستندت في ذلك إلى:</w:t>
      </w:r>
    </w:p>
    <w:p>
      <w:pPr>
        <w:pStyle w:val="ListParagraph"/>
        <w:numPr>
          <w:ilvl w:val="0"/>
          <w:numId w:val="3"/>
        </w:numPr>
        <w:bidi/>
        <w:spacing w:after="100" w:line="360"/>
        <w:jc w:val="both"/>
      </w:pPr>
      <w:r>
        <w:rPr>
          <w:rFonts w:ascii="Simplified Arabic" w:cs="Simplified Arabic" w:eastAsia="Simplified Arabic" w:hAnsi="Simplified Arabic"/>
          <w:sz w:val="28"/>
          <w:szCs w:val="28"/>
          <w:rtl/>
        </w:rPr>
        <w:t xml:space="preserve">أن العقد شريعة المتعاقدين، وأن تقدير تنفيذ الالتزامات المتقابلة وتحديد المقصّر من سلطة محكمة الموضوع.</w:t>
      </w:r>
    </w:p>
    <w:p>
      <w:pPr>
        <w:pStyle w:val="ListParagraph"/>
        <w:numPr>
          <w:ilvl w:val="0"/>
          <w:numId w:val="3"/>
        </w:numPr>
        <w:bidi/>
        <w:spacing w:after="100" w:line="360"/>
        <w:jc w:val="both"/>
      </w:pPr>
      <w:r>
        <w:rPr>
          <w:rFonts w:ascii="Simplified Arabic" w:cs="Simplified Arabic" w:eastAsia="Simplified Arabic" w:hAnsi="Simplified Arabic"/>
          <w:sz w:val="28"/>
          <w:szCs w:val="28"/>
          <w:rtl/>
        </w:rPr>
        <w:t xml:space="preserve">أن لمحكمة الموضوع الأخذ بأحد تقارير الخبرة دون غيره، ولا تلتزم بالرد استقلالاً على المطاعن متى أحالت إليه.</w:t>
      </w:r>
    </w:p>
    <w:p>
      <w:pPr>
        <w:pStyle w:val="ListParagraph"/>
        <w:numPr>
          <w:ilvl w:val="0"/>
          <w:numId w:val="3"/>
        </w:numPr>
        <w:bidi/>
        <w:spacing w:after="100" w:line="360"/>
        <w:jc w:val="both"/>
      </w:pPr>
      <w:r>
        <w:rPr>
          <w:rFonts w:ascii="Simplified Arabic" w:cs="Simplified Arabic" w:eastAsia="Simplified Arabic" w:hAnsi="Simplified Arabic"/>
          <w:sz w:val="28"/>
          <w:szCs w:val="28"/>
          <w:rtl/>
        </w:rPr>
        <w:t xml:space="preserve">أن المادة 3 من القانون الاتحادي رقم 1 لسنة 2006 تمنح المعلومات الواردة في الرسالة الإلكترونية حجيتها متى أتيح الاطلاع عليها ضمن السجل الإلكتروني للمنشأة.</w:t>
      </w:r>
    </w:p>
    <w:p>
      <w:pPr>
        <w:pStyle w:val="ListParagraph"/>
        <w:numPr>
          <w:ilvl w:val="0"/>
          <w:numId w:val="3"/>
        </w:numPr>
        <w:bidi/>
        <w:spacing w:after="100" w:line="360"/>
        <w:jc w:val="both"/>
      </w:pPr>
      <w:r>
        <w:rPr>
          <w:rFonts w:ascii="Simplified Arabic" w:cs="Simplified Arabic" w:eastAsia="Simplified Arabic" w:hAnsi="Simplified Arabic"/>
          <w:sz w:val="28"/>
          <w:szCs w:val="28"/>
          <w:rtl/>
        </w:rPr>
        <w:t xml:space="preserve">أن اللجنة ثبت لها قيد الفواتير في سجلات المؤجرتين وفق المعايير المحاسبية الدولية، وإرسالها للمستأجرة وقيدها بسجلاتها، وأن السحب تم وفق العقد بعد تأخرها في السداد.</w:t>
      </w:r>
    </w:p>
    <w:p>
      <w:pPr>
        <w:pStyle w:val="Heading2"/>
        <w:bidi/>
        <w:spacing w:after="160" w:line="360"/>
        <w:jc w:val="right"/>
      </w:pPr>
      <w:r>
        <w:rPr>
          <w:rFonts w:ascii="Simplified Arabic" w:cs="Simplified Arabic" w:eastAsia="Simplified Arabic" w:hAnsi="Simplified Arabic"/>
          <w:b/>
          <w:bCs/>
          <w:color w:val="2E5597"/>
          <w:sz w:val="30"/>
          <w:szCs w:val="30"/>
          <w:rtl/>
        </w:rPr>
        <w:t xml:space="preserve">ب) أسباب النقض الجزئي في الطعن 246</w:t>
      </w:r>
    </w:p>
    <w:p>
      <w:pPr>
        <w:bidi/>
        <w:spacing w:after="160" w:line="360"/>
        <w:jc w:val="both"/>
      </w:pPr>
      <w:r>
        <w:rPr>
          <w:rFonts w:ascii="Simplified Arabic" w:cs="Simplified Arabic" w:eastAsia="Simplified Arabic" w:hAnsi="Simplified Arabic"/>
          <w:sz w:val="28"/>
          <w:szCs w:val="28"/>
          <w:rtl/>
        </w:rPr>
        <w:t xml:space="preserve">أقامت المحكمة النقض على القصور في التسبيب، مستندةً إلى:</w:t>
      </w:r>
    </w:p>
    <w:p>
      <w:pPr>
        <w:pStyle w:val="ListParagraph"/>
        <w:numPr>
          <w:ilvl w:val="0"/>
          <w:numId w:val="3"/>
        </w:numPr>
        <w:bidi/>
        <w:spacing w:after="100" w:line="360"/>
        <w:jc w:val="both"/>
      </w:pPr>
      <w:r>
        <w:rPr>
          <w:rFonts w:ascii="Simplified Arabic" w:cs="Simplified Arabic" w:eastAsia="Simplified Arabic" w:hAnsi="Simplified Arabic"/>
          <w:sz w:val="28"/>
          <w:szCs w:val="28"/>
          <w:rtl/>
        </w:rPr>
        <w:t xml:space="preserve">المادة 34/2 من قانون المعاملات التجارية لسنة 2022: المعلومات المستقاة من أجهزة التقنية الحديثة تعد دفاتر تجارية، حجة للتاجر على خصمه التاجر ما لم ينقضها بدفاتره المنتظمة أو بأي وسيلة أخرى.</w:t>
      </w:r>
    </w:p>
    <w:p>
      <w:pPr>
        <w:pStyle w:val="ListParagraph"/>
        <w:numPr>
          <w:ilvl w:val="0"/>
          <w:numId w:val="3"/>
        </w:numPr>
        <w:bidi/>
        <w:spacing w:after="100" w:line="360"/>
        <w:jc w:val="both"/>
      </w:pPr>
      <w:r>
        <w:rPr>
          <w:rFonts w:ascii="Simplified Arabic" w:cs="Simplified Arabic" w:eastAsia="Simplified Arabic" w:hAnsi="Simplified Arabic"/>
          <w:sz w:val="28"/>
          <w:szCs w:val="28"/>
          <w:rtl/>
        </w:rPr>
        <w:t xml:space="preserve">المادة 28/1 من قانون الإثبات: المحرر العرفي حجة على من وقّعه ما لم ينكر توقيعه صراحةً أو يدّعِ تزويره.</w:t>
      </w:r>
    </w:p>
    <w:p>
      <w:pPr>
        <w:pStyle w:val="ListParagraph"/>
        <w:numPr>
          <w:ilvl w:val="0"/>
          <w:numId w:val="3"/>
        </w:numPr>
        <w:bidi/>
        <w:spacing w:after="100" w:line="360"/>
        <w:jc w:val="both"/>
      </w:pPr>
      <w:r>
        <w:rPr>
          <w:rFonts w:ascii="Simplified Arabic" w:cs="Simplified Arabic" w:eastAsia="Simplified Arabic" w:hAnsi="Simplified Arabic"/>
          <w:sz w:val="28"/>
          <w:szCs w:val="28"/>
          <w:rtl/>
        </w:rPr>
        <w:t xml:space="preserve">أن محكمة الموضوع إذا أطرحت نتيجة تقرير خبرة مؤيد بالأدلة وجب عليها الرد على حججه بأسباب سائغة، لا بعبارات عامة.</w:t>
      </w:r>
    </w:p>
    <w:p>
      <w:pPr>
        <w:bidi/>
        <w:spacing w:after="160" w:line="360"/>
        <w:jc w:val="both"/>
      </w:pPr>
      <w:r>
        <w:rPr>
          <w:rFonts w:ascii="Simplified Arabic" w:cs="Simplified Arabic" w:eastAsia="Simplified Arabic" w:hAnsi="Simplified Arabic"/>
          <w:sz w:val="28"/>
          <w:szCs w:val="28"/>
          <w:rtl/>
        </w:rPr>
        <w:t xml:space="preserve">ولما كانت المستأجرة لم تنكر توقيعها على تقارير الفحص، ولم تنقض كشف الحساب بكشف من دفاترها، فإن إطراحهما قصور. وتصدت المحكمة للموضوع فأيدت حكم أول درجة في المبلغين (413,401.82 + 132,684.30 = 546,086.12 درهماً).</w:t>
      </w:r>
    </w:p>
    <w:p>
      <w:pPr>
        <w:pStyle w:val="Heading2"/>
        <w:bidi/>
        <w:spacing w:after="160" w:line="360"/>
        <w:jc w:val="right"/>
      </w:pPr>
      <w:r>
        <w:rPr>
          <w:rFonts w:ascii="Simplified Arabic" w:cs="Simplified Arabic" w:eastAsia="Simplified Arabic" w:hAnsi="Simplified Arabic"/>
          <w:b/>
          <w:bCs/>
          <w:color w:val="2E5597"/>
          <w:sz w:val="30"/>
          <w:szCs w:val="30"/>
          <w:rtl/>
        </w:rPr>
        <w:t xml:space="preserve">ج) المبادئ المستخلصة</w:t>
      </w:r>
    </w:p>
    <w:p>
      <w:pPr>
        <w:pStyle w:val="ListParagraph"/>
        <w:numPr>
          <w:ilvl w:val="0"/>
          <w:numId w:val="4"/>
        </w:numPr>
        <w:bidi/>
        <w:spacing w:after="100" w:line="360"/>
        <w:jc w:val="both"/>
      </w:pPr>
      <w:r>
        <w:rPr>
          <w:rFonts w:ascii="Simplified Arabic" w:cs="Simplified Arabic" w:eastAsia="Simplified Arabic" w:hAnsi="Simplified Arabic"/>
          <w:sz w:val="28"/>
          <w:szCs w:val="28"/>
          <w:rtl/>
        </w:rPr>
        <w:t xml:space="preserve">السجلات المحاسبية المحوسبة دفاتر تجارية حجة بين التجار، وعبء نقضها على الخصم بدفاتره أو بأي وسيلة أخرى.</w:t>
      </w:r>
    </w:p>
    <w:p>
      <w:pPr>
        <w:pStyle w:val="ListParagraph"/>
        <w:numPr>
          <w:ilvl w:val="0"/>
          <w:numId w:val="4"/>
        </w:numPr>
        <w:bidi/>
        <w:spacing w:after="100" w:line="360"/>
        <w:jc w:val="both"/>
      </w:pPr>
      <w:r>
        <w:rPr>
          <w:rFonts w:ascii="Simplified Arabic" w:cs="Simplified Arabic" w:eastAsia="Simplified Arabic" w:hAnsi="Simplified Arabic"/>
          <w:sz w:val="28"/>
          <w:szCs w:val="28"/>
          <w:rtl/>
        </w:rPr>
        <w:t xml:space="preserve">للرسالة الإلكترونية حجية قانونية متى أمكن الاطلاع عليها ضمن سجل إلكتروني يعتمد عليه.</w:t>
      </w:r>
    </w:p>
    <w:p>
      <w:pPr>
        <w:pStyle w:val="ListParagraph"/>
        <w:numPr>
          <w:ilvl w:val="0"/>
          <w:numId w:val="4"/>
        </w:numPr>
        <w:bidi/>
        <w:spacing w:after="100" w:line="360"/>
        <w:jc w:val="both"/>
      </w:pPr>
      <w:r>
        <w:rPr>
          <w:rFonts w:ascii="Simplified Arabic" w:cs="Simplified Arabic" w:eastAsia="Simplified Arabic" w:hAnsi="Simplified Arabic"/>
          <w:sz w:val="28"/>
          <w:szCs w:val="28"/>
          <w:rtl/>
        </w:rPr>
        <w:t xml:space="preserve">التوقيع على مستند يتضمن الوقائع (كتقرير الفحص) يلزم الموقّع بمضمونه، لا بمجرد استلامه.</w:t>
      </w:r>
    </w:p>
    <w:p>
      <w:pPr>
        <w:pStyle w:val="ListParagraph"/>
        <w:numPr>
          <w:ilvl w:val="0"/>
          <w:numId w:val="4"/>
        </w:numPr>
        <w:bidi/>
        <w:spacing w:after="100" w:line="360"/>
        <w:jc w:val="both"/>
      </w:pPr>
      <w:r>
        <w:rPr>
          <w:rFonts w:ascii="Simplified Arabic" w:cs="Simplified Arabic" w:eastAsia="Simplified Arabic" w:hAnsi="Simplified Arabic"/>
          <w:sz w:val="28"/>
          <w:szCs w:val="28"/>
          <w:rtl/>
        </w:rPr>
        <w:t xml:space="preserve">إطراح تقرير خبرة مؤيد بالأدلة يستوجب تسبيباً خاصاً، وإلا كان الحكم معيباً بالقصور.</w:t>
      </w:r>
    </w:p>
    <w:p>
      <w:pPr>
        <w:pStyle w:val="Heading1"/>
        <w:bidi/>
        <w:spacing w:after="200" w:line="360"/>
        <w:jc w:val="right"/>
      </w:pPr>
      <w:r>
        <w:rPr>
          <w:rFonts w:ascii="Simplified Arabic" w:cs="Simplified Arabic" w:eastAsia="Simplified Arabic" w:hAnsi="Simplified Arabic"/>
          <w:b/>
          <w:bCs/>
          <w:color w:val="1F3864"/>
          <w:sz w:val="34"/>
          <w:szCs w:val="34"/>
          <w:rtl/>
        </w:rPr>
        <w:t xml:space="preserve">سادساً: التعليق على الحكم</w:t>
      </w:r>
    </w:p>
    <w:p>
      <w:pPr>
        <w:bidi/>
        <w:spacing w:after="160" w:line="360"/>
        <w:jc w:val="both"/>
      </w:pPr>
      <w:r>
        <w:rPr>
          <w:rFonts w:ascii="Simplified Arabic" w:cs="Simplified Arabic" w:eastAsia="Simplified Arabic" w:hAnsi="Simplified Arabic"/>
          <w:sz w:val="28"/>
          <w:szCs w:val="28"/>
          <w:rtl/>
        </w:rPr>
        <w:t xml:space="preserve">نرى أن الحكم صائب في نتيجته وفي اعترافه بحجية السجلات الإلكترونية، لكنه جانب الصواب في تحديد النص الواجب التطبيق، وفي المساواة بين الأدلة الإلكترونية للطرفين.</w:t>
      </w:r>
    </w:p>
    <w:p>
      <w:pPr>
        <w:pStyle w:val="Heading2"/>
        <w:bidi/>
        <w:spacing w:after="160" w:line="360"/>
        <w:jc w:val="right"/>
      </w:pPr>
      <w:r>
        <w:rPr>
          <w:rFonts w:ascii="Simplified Arabic" w:cs="Simplified Arabic" w:eastAsia="Simplified Arabic" w:hAnsi="Simplified Arabic"/>
          <w:b/>
          <w:bCs/>
          <w:color w:val="2E5597"/>
          <w:sz w:val="30"/>
          <w:szCs w:val="30"/>
          <w:rtl/>
        </w:rPr>
        <w:t xml:space="preserve">المبحث الأول: مواطن التأييد</w:t>
      </w:r>
    </w:p>
    <w:p>
      <w:pPr>
        <w:bidi/>
        <w:spacing w:after="160" w:line="360"/>
        <w:jc w:val="both"/>
      </w:pPr>
      <w:r>
        <w:rPr>
          <w:rFonts w:ascii="Simplified Arabic" w:cs="Simplified Arabic" w:eastAsia="Simplified Arabic" w:hAnsi="Simplified Arabic"/>
          <w:b/>
          <w:bCs/>
          <w:sz w:val="28"/>
          <w:szCs w:val="28"/>
          <w:rtl/>
        </w:rPr>
        <w:t xml:space="preserve">المطلب الأول: ترسيخ حجية السجلات المحوسبة بين التجار. </w:t>
      </w:r>
      <w:r>
        <w:rPr>
          <w:rFonts w:ascii="Simplified Arabic" w:cs="Simplified Arabic" w:eastAsia="Simplified Arabic" w:hAnsi="Simplified Arabic"/>
          <w:sz w:val="28"/>
          <w:szCs w:val="28"/>
          <w:rtl/>
        </w:rPr>
        <w:t xml:space="preserve">أحسنت المحكمة حين اعتبرت المعلومات المستقاة من الحاسب الآلي دفاتر تجارية تلزم التاجر الخصم ما لم ينقضها. فهذا يتفق مع المادة 34/2 من قانون المعاملات التجارية، ومع المادة 55 من قانون الإثبات الجديد التي تمنح الدليل الإلكتروني حكم الكتابة. وهو توجه يخدم استقرار التجارة الإلكترونية، إذ لم تعد الفواتير الورقية الموقعة هي الأصل في التعامل.</w:t>
      </w:r>
    </w:p>
    <w:p>
      <w:pPr>
        <w:bidi/>
        <w:spacing w:after="160" w:line="360"/>
        <w:jc w:val="both"/>
      </w:pPr>
      <w:r>
        <w:rPr>
          <w:rFonts w:ascii="Simplified Arabic" w:cs="Simplified Arabic" w:eastAsia="Simplified Arabic" w:hAnsi="Simplified Arabic"/>
          <w:b/>
          <w:bCs/>
          <w:sz w:val="28"/>
          <w:szCs w:val="28"/>
          <w:rtl/>
        </w:rPr>
        <w:t xml:space="preserve">المطلب الثاني: التمييز السليم بين الواقع والقانون. </w:t>
      </w:r>
      <w:r>
        <w:rPr>
          <w:rFonts w:ascii="Simplified Arabic" w:cs="Simplified Arabic" w:eastAsia="Simplified Arabic" w:hAnsi="Simplified Arabic"/>
          <w:sz w:val="28"/>
          <w:szCs w:val="28"/>
          <w:rtl/>
        </w:rPr>
        <w:t xml:space="preserve">التزمت المحكمة حدود وظيفتها حين ردّت نعي المستأجرة بوصفه جدلاً موضوعياً في تقدير الأدلة. وفي المقابل بسطت رقابتها حين أهدرت محكمة الاستئناف مستندات موقعة لم يُنكَر توقيعها، بعبارات عامة لا تصلح رداً. فالموضوع ملك محكمة الموضوع، لكن التسبيب خاضع للرقابة.</w:t>
      </w:r>
    </w:p>
    <w:p>
      <w:pPr>
        <w:bidi/>
        <w:spacing w:after="160" w:line="360"/>
        <w:jc w:val="both"/>
      </w:pPr>
      <w:r>
        <w:rPr>
          <w:rFonts w:ascii="Simplified Arabic" w:cs="Simplified Arabic" w:eastAsia="Simplified Arabic" w:hAnsi="Simplified Arabic"/>
          <w:b/>
          <w:bCs/>
          <w:sz w:val="28"/>
          <w:szCs w:val="28"/>
          <w:rtl/>
        </w:rPr>
        <w:t xml:space="preserve">المطلب الثالث: التمييز بين استلام الفاتورة والإقرار بمضمون تقرير الفحص. </w:t>
      </w:r>
      <w:r>
        <w:rPr>
          <w:rFonts w:ascii="Simplified Arabic" w:cs="Simplified Arabic" w:eastAsia="Simplified Arabic" w:hAnsi="Simplified Arabic"/>
          <w:sz w:val="28"/>
          <w:szCs w:val="28"/>
          <w:rtl/>
        </w:rPr>
        <w:t xml:space="preserve">ركزت المحكمة على المستند الذي يثبت الوقائع نفسها، وهو تقرير الفحص الموقع الذي يثبت عداد المسافات والأضرار. وهذا أدق من موقف محكمة الاستئناف التي اكتفت بفحص الفاتورة وحدها. كما أن تصديها للموضوع اختصر أمد النزاع دون إعادة القضية للاستئناف.</w:t>
      </w:r>
    </w:p>
    <w:p>
      <w:pPr>
        <w:pStyle w:val="Heading2"/>
        <w:bidi/>
        <w:spacing w:after="160" w:line="360"/>
        <w:jc w:val="right"/>
      </w:pPr>
      <w:r>
        <w:rPr>
          <w:rFonts w:ascii="Simplified Arabic" w:cs="Simplified Arabic" w:eastAsia="Simplified Arabic" w:hAnsi="Simplified Arabic"/>
          <w:b/>
          <w:bCs/>
          <w:color w:val="2E5597"/>
          <w:sz w:val="30"/>
          <w:szCs w:val="30"/>
          <w:rtl/>
        </w:rPr>
        <w:t xml:space="preserve">المبحث الثاني: ما يؤخذ على الحكم</w:t>
      </w:r>
    </w:p>
    <w:p>
      <w:pPr>
        <w:bidi/>
        <w:spacing w:after="160" w:line="360"/>
        <w:jc w:val="both"/>
      </w:pPr>
      <w:r>
        <w:rPr>
          <w:rFonts w:ascii="Simplified Arabic" w:cs="Simplified Arabic" w:eastAsia="Simplified Arabic" w:hAnsi="Simplified Arabic"/>
          <w:b/>
          <w:bCs/>
          <w:sz w:val="28"/>
          <w:szCs w:val="28"/>
          <w:rtl/>
        </w:rPr>
        <w:t xml:space="preserve">المطلب الأول: الاستناد إلى نص ملغى. </w:t>
      </w:r>
      <w:r>
        <w:rPr>
          <w:rFonts w:ascii="Simplified Arabic" w:cs="Simplified Arabic" w:eastAsia="Simplified Arabic" w:hAnsi="Simplified Arabic"/>
          <w:sz w:val="28"/>
          <w:szCs w:val="28"/>
          <w:rtl/>
        </w:rPr>
        <w:t xml:space="preserve">بنت المحكمة حجية الرسائل الإلكترونية على المادة 3 من القانون رقم 1 لسنة 2006. غير أن هذا القانون أُلغي بالمرسوم بقانون اتحادي رقم 46 لسنة 2021 بشأن المعاملات الإلكترونية وخدمات الثقة، اعتباراً من 2 يناير 2022. بينما استحقاق الدين المدعى به في 31/3/2022، والدعوى رُفعت سنة 2023، والحكم صدر سنة 2025.</w:t>
      </w:r>
    </w:p>
    <w:p>
      <w:pPr>
        <w:bidi/>
        <w:spacing w:after="160" w:line="360"/>
        <w:jc w:val="both"/>
      </w:pPr>
      <w:r>
        <w:rPr>
          <w:rFonts w:ascii="Simplified Arabic" w:cs="Simplified Arabic" w:eastAsia="Simplified Arabic" w:hAnsi="Simplified Arabic"/>
          <w:sz w:val="28"/>
          <w:szCs w:val="28"/>
          <w:rtl/>
        </w:rPr>
        <w:t xml:space="preserve">وقد يُبرَّر ذلك بأن بعض المراسلات والفواتير أُنشئت قبل نفاذ القانون الجديد، إعمالاً لقاعدة سريان النص النافذ وقت إعداد الدليل. لكن الحكم لم يبيّن ذلك، وكان الأولى الاستناد إلى المرسوم بقانون 46 لسنة 2021، وإلى المواد 53 إلى 64 من قانون الإثبات رقم 35 لسنة 2022 الخاصة بالدليل الإلكتروني. ويزيد من هذا الاضطراب أن الحكم استشهد بالمادة 11/1 من قانون الإثبات الملغى في الطعن الأول، وبالمادة 28/1 من القانون الجديد في الطعن الثاني، للمبدأ ذاته.</w:t>
      </w:r>
    </w:p>
    <w:p>
      <w:pPr>
        <w:bidi/>
        <w:spacing w:after="160" w:line="360"/>
        <w:jc w:val="both"/>
      </w:pPr>
      <w:r>
        <w:rPr>
          <w:rFonts w:ascii="Simplified Arabic" w:cs="Simplified Arabic" w:eastAsia="Simplified Arabic" w:hAnsi="Simplified Arabic"/>
          <w:b/>
          <w:bCs/>
          <w:sz w:val="28"/>
          <w:szCs w:val="28"/>
          <w:rtl/>
        </w:rPr>
        <w:t xml:space="preserve">المطلب الثاني: عدم المساواة بين الأدلة الإلكترونية للطرفين. </w:t>
      </w:r>
      <w:r>
        <w:rPr>
          <w:rFonts w:ascii="Simplified Arabic" w:cs="Simplified Arabic" w:eastAsia="Simplified Arabic" w:hAnsi="Simplified Arabic"/>
          <w:sz w:val="28"/>
          <w:szCs w:val="28"/>
          <w:rtl/>
        </w:rPr>
        <w:t xml:space="preserve">منحت المحكمة سجلات المؤجرتين الإلكترونية حجية كاملة، وهي من صنع من يحتج بها. أما رسائل واتساب والبريد الإلكتروني التي قدمتها المستأجرة، وهي مراسلات منسوبة للطرفين معاً، فلم يتناول الحكم قيمتها واكتفى بالرد الضمني.</w:t>
      </w:r>
    </w:p>
    <w:p>
      <w:pPr>
        <w:bidi/>
        <w:spacing w:after="160" w:line="360"/>
        <w:jc w:val="both"/>
      </w:pPr>
      <w:r>
        <w:rPr>
          <w:rFonts w:ascii="Simplified Arabic" w:cs="Simplified Arabic" w:eastAsia="Simplified Arabic" w:hAnsi="Simplified Arabic"/>
          <w:sz w:val="28"/>
          <w:szCs w:val="28"/>
          <w:rtl/>
        </w:rPr>
        <w:t xml:space="preserve">والمادة 34/2 نفسها تجيز نقض الدفاتر "بأي وسيلة أخرى"، والمراسلات الإلكترونية من هذه الوسائل. وكان حرياً بالمحكمة أن تضع معياراً لتقدير هذه الرسائل، كسلامة محتواها وإمكان نسبتها إلى مرسلها. فهذا الفراغ يتكرر في منازعات التجارة الإلكترونية كافة.</w:t>
      </w:r>
    </w:p>
    <w:p>
      <w:pPr>
        <w:bidi/>
        <w:spacing w:after="160" w:line="360"/>
        <w:jc w:val="both"/>
      </w:pPr>
      <w:r>
        <w:rPr>
          <w:rFonts w:ascii="Simplified Arabic" w:cs="Simplified Arabic" w:eastAsia="Simplified Arabic" w:hAnsi="Simplified Arabic"/>
          <w:b/>
          <w:bCs/>
          <w:sz w:val="28"/>
          <w:szCs w:val="28"/>
          <w:rtl/>
        </w:rPr>
        <w:t xml:space="preserve">المطلب الثالث: حدود نقل المبدأ إلى المستهلك. </w:t>
      </w:r>
      <w:r>
        <w:rPr>
          <w:rFonts w:ascii="Simplified Arabic" w:cs="Simplified Arabic" w:eastAsia="Simplified Arabic" w:hAnsi="Simplified Arabic"/>
          <w:sz w:val="28"/>
          <w:szCs w:val="28"/>
          <w:rtl/>
        </w:rPr>
        <w:t xml:space="preserve">قصرت المحكمة حجية الدفاتر المحوسبة على النزاع بين تاجرين، وهذا قيد جوهري. فلو كان الخصم مستهلكاً ينازع منصة بيع، لما جاز أن تكون سجلات المنصة حجة عليه بالقدر ذاته. ويؤيد ذلك القانون الاتحادي رقم 15 لسنة 2020 بشأن حماية المستهلك، والمرسوم بقانون اتحادي رقم 14 لسنة 2023 بشأن التجارة عبر وسائل التقنية الحديثة، اللذان يقيمان توازناً لصالح الطرف الأضعف.</w:t>
      </w:r>
    </w:p>
    <w:p>
      <w:pPr>
        <w:bidi/>
        <w:spacing w:after="160" w:line="360"/>
        <w:jc w:val="both"/>
      </w:pPr>
      <w:r>
        <w:rPr>
          <w:rFonts w:ascii="Simplified Arabic" w:cs="Simplified Arabic" w:eastAsia="Simplified Arabic" w:hAnsi="Simplified Arabic"/>
          <w:b/>
          <w:bCs/>
          <w:sz w:val="28"/>
          <w:szCs w:val="28"/>
          <w:rtl/>
        </w:rPr>
        <w:t xml:space="preserve">المطلب الرابع: ملاحظة شكلية. </w:t>
      </w:r>
      <w:r>
        <w:rPr>
          <w:rFonts w:ascii="Simplified Arabic" w:cs="Simplified Arabic" w:eastAsia="Simplified Arabic" w:hAnsi="Simplified Arabic"/>
          <w:sz w:val="28"/>
          <w:szCs w:val="28"/>
          <w:rtl/>
        </w:rPr>
        <w:t xml:space="preserve">ورد في المنطوق "الاستئناف رقم 1914 لسنة 2025" بينما رقمه الصحيح في صدر الحكم 1914 لسنة 2024. وهو خطأ مادي لا يؤثر في صحة الحكم، ويجوز تصحيحه بطلب.</w:t>
      </w:r>
    </w:p>
    <w:p>
      <w:pPr>
        <w:pStyle w:val="Heading1"/>
        <w:bidi/>
        <w:spacing w:after="200" w:line="360"/>
        <w:jc w:val="right"/>
      </w:pPr>
      <w:r>
        <w:rPr>
          <w:rFonts w:ascii="Simplified Arabic" w:cs="Simplified Arabic" w:eastAsia="Simplified Arabic" w:hAnsi="Simplified Arabic"/>
          <w:b/>
          <w:bCs/>
          <w:color w:val="1F3864"/>
          <w:sz w:val="34"/>
          <w:szCs w:val="34"/>
          <w:rtl/>
        </w:rPr>
        <w:t xml:space="preserve">خاتمة</w:t>
      </w:r>
    </w:p>
    <w:p>
      <w:pPr>
        <w:bidi/>
        <w:spacing w:after="160" w:line="360"/>
        <w:jc w:val="both"/>
      </w:pPr>
      <w:r>
        <w:rPr>
          <w:rFonts w:ascii="Simplified Arabic" w:cs="Simplified Arabic" w:eastAsia="Simplified Arabic" w:hAnsi="Simplified Arabic"/>
          <w:sz w:val="28"/>
          <w:szCs w:val="28"/>
          <w:rtl/>
        </w:rPr>
        <w:t xml:space="preserve">أكد الحكم أن السجل الإلكتروني المنتظم والمستند الموقع ينقلان عبء الإثبات إلى الخصم، وهي نتيجة نؤيدها. لكنه أسس ذلك جزئياً على نص ملغى، ولم يضع معياراً لتقدير المراسلات الفورية كواتساب.</w:t>
      </w:r>
    </w:p>
    <w:p>
      <w:pPr>
        <w:bidi/>
        <w:spacing w:after="160" w:line="360"/>
        <w:jc w:val="both"/>
      </w:pPr>
      <w:r>
        <w:rPr>
          <w:rFonts w:ascii="Simplified Arabic" w:cs="Simplified Arabic" w:eastAsia="Simplified Arabic" w:hAnsi="Simplified Arabic"/>
          <w:sz w:val="28"/>
          <w:szCs w:val="28"/>
          <w:rtl/>
        </w:rPr>
        <w:t xml:space="preserve">ونقترح أن تستقر الأحكام اللاحقة على تطبيق المواد 53 إلى 64 من قانون الإثبات لسنة 2022، وأن تُبيّن صراحةً شروط الاعتداد بالمراسلات الإلكترونية. فذلك ما يحقق الثقة في التجارة الإلكترونية، بين التجار أولاً، ثم بين المنصات والمستهلكين.</w:t>
      </w:r>
    </w:p>
    <w:p>
      <w:pPr>
        <w:pStyle w:val="Heading1"/>
        <w:bidi/>
        <w:spacing w:after="200" w:line="360"/>
        <w:jc w:val="right"/>
      </w:pPr>
      <w:r>
        <w:rPr>
          <w:rFonts w:ascii="Simplified Arabic" w:cs="Simplified Arabic" w:eastAsia="Simplified Arabic" w:hAnsi="Simplified Arabic"/>
          <w:b/>
          <w:bCs/>
          <w:color w:val="1F3864"/>
          <w:sz w:val="34"/>
          <w:szCs w:val="34"/>
          <w:rtl/>
        </w:rPr>
        <w:t xml:space="preserve">المصادر والمراجع</w:t>
      </w:r>
    </w:p>
    <w:p>
      <w:pPr>
        <w:pStyle w:val="ListParagraph"/>
        <w:numPr>
          <w:ilvl w:val="0"/>
          <w:numId w:val="5"/>
        </w:numPr>
        <w:bidi/>
        <w:spacing w:after="100" w:line="360"/>
        <w:jc w:val="both"/>
      </w:pPr>
      <w:r>
        <w:rPr>
          <w:rFonts w:ascii="Simplified Arabic" w:cs="Simplified Arabic" w:eastAsia="Simplified Arabic" w:hAnsi="Simplified Arabic"/>
          <w:sz w:val="28"/>
          <w:szCs w:val="28"/>
          <w:rtl/>
        </w:rPr>
        <w:t xml:space="preserve">حكم محكمة التمييز بدبي في الطعنين رقمي 227 و246 لسنة 2025 تجاري، جلسة 1/5/2025، منشور في مدونة رواق الجمل: https://ahmedazimelgamel.blogspot.com/2025/08/227-2025-1-5-2025.html</w:t>
      </w:r>
    </w:p>
    <w:p>
      <w:pPr>
        <w:pStyle w:val="ListParagraph"/>
        <w:numPr>
          <w:ilvl w:val="0"/>
          <w:numId w:val="5"/>
        </w:numPr>
        <w:bidi/>
        <w:spacing w:after="100" w:line="360"/>
        <w:jc w:val="both"/>
      </w:pPr>
      <w:r>
        <w:rPr>
          <w:rFonts w:ascii="Simplified Arabic" w:cs="Simplified Arabic" w:eastAsia="Simplified Arabic" w:hAnsi="Simplified Arabic"/>
          <w:sz w:val="28"/>
          <w:szCs w:val="28"/>
          <w:rtl/>
        </w:rPr>
        <w:t xml:space="preserve">المرسوم بقانون اتحادي رقم 46 لسنة 2021 بشأن المعاملات الإلكترونية وخدمات الثقة: https://uaelegislation.gov.ae/ar/legislations/1539</w:t>
      </w:r>
    </w:p>
    <w:p>
      <w:pPr>
        <w:pStyle w:val="ListParagraph"/>
        <w:numPr>
          <w:ilvl w:val="0"/>
          <w:numId w:val="5"/>
        </w:numPr>
        <w:bidi/>
        <w:spacing w:after="100" w:line="360"/>
        <w:jc w:val="both"/>
      </w:pPr>
      <w:r>
        <w:rPr>
          <w:rFonts w:ascii="Simplified Arabic" w:cs="Simplified Arabic" w:eastAsia="Simplified Arabic" w:hAnsi="Simplified Arabic"/>
          <w:sz w:val="28"/>
          <w:szCs w:val="28"/>
          <w:rtl/>
        </w:rPr>
        <w:t xml:space="preserve">المرسوم بقانون اتحادي رقم 35 لسنة 2022 بإصدار قانون الإثبات في المعاملات المدنية والتجارية (المعمول به من 2 يناير 2023): https://uaelegislation.gov.ae/ar/legislations/1612</w:t>
      </w:r>
    </w:p>
    <w:p>
      <w:pPr>
        <w:pStyle w:val="ListParagraph"/>
        <w:numPr>
          <w:ilvl w:val="0"/>
          <w:numId w:val="5"/>
        </w:numPr>
        <w:bidi/>
        <w:spacing w:after="100" w:line="360"/>
        <w:jc w:val="both"/>
      </w:pPr>
      <w:r>
        <w:rPr>
          <w:rFonts w:ascii="Simplified Arabic" w:cs="Simplified Arabic" w:eastAsia="Simplified Arabic" w:hAnsi="Simplified Arabic"/>
          <w:sz w:val="28"/>
          <w:szCs w:val="28"/>
          <w:rtl/>
        </w:rPr>
        <w:t xml:space="preserve">المرسوم بقانون اتحادي رقم 50 لسنة 2022 بإصدار قانون المعاملات التجارية، المادة 34.</w:t>
      </w:r>
    </w:p>
    <w:p>
      <w:pPr>
        <w:pStyle w:val="ListParagraph"/>
        <w:numPr>
          <w:ilvl w:val="0"/>
          <w:numId w:val="5"/>
        </w:numPr>
        <w:bidi/>
        <w:spacing w:after="100" w:line="360"/>
        <w:jc w:val="both"/>
      </w:pPr>
      <w:r>
        <w:rPr>
          <w:rFonts w:ascii="Simplified Arabic" w:cs="Simplified Arabic" w:eastAsia="Simplified Arabic" w:hAnsi="Simplified Arabic"/>
          <w:sz w:val="28"/>
          <w:szCs w:val="28"/>
          <w:rtl/>
        </w:rPr>
        <w:t xml:space="preserve">القانون الاتحادي رقم 15 لسنة 2020 بشأن حماية المستهلك، والمرسوم بقانون اتحادي رقم 14 لسنة 2023 بشأن التجارة عبر وسائل التقنية الحديثة.</w:t>
      </w:r>
    </w:p>
    <w:p>
      <w:pPr>
        <w:pStyle w:val="ListParagraph"/>
        <w:numPr>
          <w:ilvl w:val="0"/>
          <w:numId w:val="5"/>
        </w:numPr>
        <w:bidi/>
        <w:spacing w:after="100" w:line="360"/>
        <w:jc w:val="both"/>
      </w:pPr>
      <w:r>
        <w:rPr>
          <w:rFonts w:ascii="Simplified Arabic" w:cs="Simplified Arabic" w:eastAsia="Simplified Arabic" w:hAnsi="Simplified Arabic"/>
          <w:sz w:val="28"/>
          <w:szCs w:val="28"/>
          <w:rtl/>
        </w:rPr>
        <w:t xml:space="preserve">التميمي ومشاركوه، Sign of the Times: The UAE's new Federal Electronic Transactions Law and Trust Services، فبراير 2022.</w:t>
      </w:r>
    </w:p>
    <w:p>
      <w:pPr>
        <w:pStyle w:val="ListParagraph"/>
        <w:numPr>
          <w:ilvl w:val="0"/>
          <w:numId w:val="5"/>
        </w:numPr>
        <w:bidi/>
        <w:spacing w:after="100" w:line="360"/>
        <w:jc w:val="both"/>
      </w:pPr>
      <w:r>
        <w:rPr>
          <w:rFonts w:ascii="Simplified Arabic" w:cs="Simplified Arabic" w:eastAsia="Simplified Arabic" w:hAnsi="Simplified Arabic"/>
          <w:sz w:val="28"/>
          <w:szCs w:val="28"/>
          <w:rtl/>
        </w:rPr>
        <w:t xml:space="preserve">صحيفة الخليج، أهمية الإثبات في حماية الحقوق بالمعاملات الرقمية، 27 يونيو 2026.</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plified Arabic" w:cs="Simplified Arabic" w:eastAsia="Simplified Arabic" w:hAnsi="Simplified Arabic"/>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right"/>
      <w:pPr>
        <w:ind w:right="540" w:hanging="360"/>
      </w:pPr>
      <w:rPr>
        <w:rFonts w:ascii="Simplified Arabic" w:cs="Simplified Arabic" w:eastAsia="Simplified Arabic" w:hAnsi="Simplified Arabic"/>
      </w:rPr>
    </w:lvl>
  </w:abstractNum>
  <w:abstractNum w:abstractNumId="3" w15:restartNumberingAfterBreak="0">
    <w:multiLevelType w:val="hybridMultilevel"/>
    <w:lvl w:ilvl="0" w:tentative="1">
      <w:start w:val="1"/>
      <w:numFmt w:val="bullet"/>
      <w:lvlText w:val="•"/>
      <w:lvlJc w:val="right"/>
      <w:pPr>
        <w:ind w:right="540" w:hanging="360"/>
      </w:pPr>
    </w:lvl>
  </w:abstractNum>
  <w:abstractNum w:abstractNumId="4" w15:restartNumberingAfterBreak="0">
    <w:multiLevelType w:val="hybridMultilevel"/>
    <w:lvl w:ilvl="0" w:tentative="1">
      <w:start w:val="1"/>
      <w:numFmt w:val="decimal"/>
      <w:lvlText w:val="%1."/>
      <w:lvlJc w:val="right"/>
      <w:pPr>
        <w:ind w:right="540" w:hanging="360"/>
      </w:pPr>
      <w:rPr>
        <w:rFonts w:ascii="Simplified Arabic" w:cs="Simplified Arabic" w:eastAsia="Simplified Arabic" w:hAnsi="Simplified Arabic"/>
      </w:rPr>
    </w:lvl>
  </w:abstractNum>
  <w:abstractNum w:abstractNumId="5" w15:restartNumberingAfterBreak="0">
    <w:multiLevelType w:val="hybridMultilevel"/>
    <w:lvl w:ilvl="0" w:tentative="1">
      <w:start w:val="1"/>
      <w:numFmt w:val="decimal"/>
      <w:lvlText w:val="%1."/>
      <w:lvlJc w:val="right"/>
      <w:pPr>
        <w:ind w:right="540" w:hanging="360"/>
      </w:pPr>
      <w:rPr>
        <w:rFonts w:ascii="Simplified Arabic" w:cs="Simplified Arabic" w:eastAsia="Simplified Arabic" w:hAnsi="Simplified Arabi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2026-10-28T19:28:38.442Z</dcterms:created>
  <dcterms:modified xsi:type="dcterms:W3CDTF">2026-10-28T19:28:38.442Z</dcterms:modified>
</cp:coreProperties>
</file>

<file path=docProps/custom.xml><?xml version="1.0" encoding="utf-8"?>
<Properties xmlns="http://schemas.openxmlformats.org/officeDocument/2006/custom-properties" xmlns:vt="http://schemas.openxmlformats.org/officeDocument/2006/docPropsVTypes"/>
</file>