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bidi/>
      </w:pPr>
      <w:r>
        <w:rPr>
          <w:rtl/>
        </w:rPr>
        <w:t xml:space="preserve">عقد بيع وفقاً لقانون دولة الإمارات العربية المتحدة</w:t>
      </w:r>
    </w:p>
    <w:p>
      <w:pPr/>
      <w:r>
        <w:t xml:space="preserve">Oct 28, 2026</w:t>
      </w:r>
      <w:r>
        <w:t xml:space="preserve"> · </w:t>
      </w:r>
      <w:r>
        <w:t xml:space="preserve">@Rahaf</w:t>
      </w:r>
    </w:p>
    <w:p>
      <w:pPr>
        <w:bidi/>
      </w:pPr>
      <w:r>
        <w:rPr>
          <w:b/>
          <w:rtl/>
        </w:rPr>
        <w:t xml:space="preserve">عنوان الواجب / Assignment Title:</w:t>
      </w:r>
      <w:r>
        <w:rPr>
          <w:rtl/>
        </w:rPr>
        <w:t xml:space="preserve"> عقد بيع وفقاً لقانون دولة الإمارات العربية المتحدة </w:t>
      </w:r>
      <w:r>
        <w:rPr>
          <w:i/>
          <w:rtl/>
        </w:rPr>
        <w:t xml:space="preserve">Sale Contract under the Law of the United Arab Emirates</w:t>
      </w:r>
    </w:p>
    <w:p>
      <w:pPr>
        <w:bidi/>
      </w:pPr>
      <w:r>
        <w:rPr>
          <w:b/>
          <w:rtl/>
        </w:rPr>
        <w:t xml:space="preserve">إعداد الطالبة / Prepared by:</w:t>
      </w:r>
      <w:r>
        <w:rPr>
          <w:rtl/>
        </w:rPr>
        <w:t xml:space="preserve"> رهف طرّاف – الرقم الجامعي: ……………</w:t>
      </w:r>
    </w:p>
    <w:p>
      <w:pPr>
        <w:bidi/>
      </w:pPr>
      <w:r>
        <w:rPr>
          <w:b/>
          <w:rtl/>
        </w:rPr>
        <w:t xml:space="preserve">جامعة الشارقة – كلية القانون / University of Sharjah – College of Law</w:t>
      </w:r>
    </w:p>
    <w:p>
      <w:pPr>
        <w:bidi/>
      </w:pPr>
      <w:r>
        <w:rPr>
          <w:b/>
          <w:rtl/>
        </w:rPr>
        <w:t xml:space="preserve">العام الدراسي / Academic Year:</w:t>
      </w:r>
      <w:r>
        <w:rPr>
          <w:rtl/>
        </w:rPr>
        <w:t xml:space="preserve"> 2026 – 2027</w:t>
      </w:r>
    </w:p>
    <w:p>
      <w:pPr>
        <w:pStyle w:val="Heading2"/>
        <w:bidi/>
      </w:pPr>
      <w:r>
        <w:rPr>
          <w:rtl/>
        </w:rPr>
        <w:t xml:space="preserve">المقدمة</w:t>
      </w:r>
    </w:p>
    <w:p>
      <w:pPr>
        <w:bidi/>
      </w:pPr>
      <w:r>
        <w:rPr>
          <w:rtl/>
        </w:rPr>
        <w:t xml:space="preserve">عقد البيع هو أكثر العقود تداولاً في الحياة اليومية، فكل شراء لسلعة أو عقار أو حق مالي هو في حقيقته عقد بيع. وتكمن أهميته في أنه الأداة القانونية الأساسية لانتقال الأموال بين الأشخاص.</w:t>
      </w:r>
    </w:p>
    <w:p>
      <w:pPr>
        <w:bidi/>
      </w:pPr>
      <w:r>
        <w:rPr>
          <w:rtl/>
        </w:rPr>
        <w:t xml:space="preserve">وقد شهد هذا العقد في دولة الإمارات تطوراً تشريعياً مهماً؛ إذ صدر </w:t>
      </w:r>
      <w:r>
        <w:rPr>
          <w:b/>
          <w:rtl/>
        </w:rPr>
        <w:t xml:space="preserve">المرسوم بقانون اتحادي رقم (25) لسنة 2025 بإصدار قانون المعاملات المدنية</w:t>
      </w:r>
      <w:r>
        <w:rPr>
          <w:rtl/>
        </w:rPr>
        <w:t xml:space="preserve"> بتاريخ 1 أكتوبر 2025، ليحل محل القانون الاتحادي رقم (5) لسنة 1985، وبدأ العمل به اعتباراً من 1 يونيو 2026 (مرسوم بقانون اتحادي رقم 25، 2025). وقد نظم القانون الجديد عقد البيع في المواد من (445) إلى (547)، وأدخل تعديلات جوهرية، أبرزها توسيع مفهوم المبيع ليشمل الحقوق المالية والأصول غير المادية، وإطالة مدة دعوى العيب الخفي من ستة أشهر إلى سنة (Afridi &amp; Angell, n.d.).</w:t>
      </w:r>
    </w:p>
    <w:p>
      <w:pPr>
        <w:bidi/>
      </w:pPr>
      <w:r>
        <w:rPr>
          <w:rtl/>
        </w:rPr>
        <w:t xml:space="preserve">ويهدف هذا الواجب إلى بيان أركان عقد البيع والتزامات طرفيه وفق القانون الجديد، ثم صياغة نموذج عقد بيع عملي باللغتين العربية والإنجليزية يراعي هذه الأحكام.</w:t>
      </w:r>
    </w:p>
    <w:p>
      <w:pPr>
        <w:pStyle w:val="Heading2"/>
      </w:pPr>
      <w:r>
        <w:t xml:space="preserve">Introduction</w:t>
      </w:r>
    </w:p>
    <w:p>
      <w:pPr/>
      <w:r>
        <w:t xml:space="preserve">The sale contract is the most common contract in daily life: every purchase of goods, real estate or a financial right is, in legal terms, a sale. It is the main legal tool for transferring property between persons.</w:t>
      </w:r>
    </w:p>
    <w:p>
      <w:pPr/>
      <w:r>
        <w:t xml:space="preserve">The UAE recently modernised this contract. </w:t>
      </w:r>
      <w:r>
        <w:rPr>
          <w:b/>
        </w:rPr>
        <w:t xml:space="preserve">Federal Decree-Law No. 25 of 2025 promulgating the Civil Transactions Law</w:t>
      </w:r>
      <w:r>
        <w:t xml:space="preserve"> was issued on 1 October 2025, replaced Federal Law No. 5 of 1985, and came into force on 1 June 2026. The new law regulates sale in Articles 445 to 547. Its key changes include extending the subject of sale to financial rights and intangible assets, and extending the limitation period for hidden-defect claims from six months to one year (Afridi &amp; Angell, n.d.).</w:t>
      </w:r>
    </w:p>
    <w:p>
      <w:pPr/>
      <w:r>
        <w:t xml:space="preserve">This assignment explains the elements of the sale contract and the obligations of both parties under the new law, then drafts a practical bilingual (Arabic–English) sale contract that applies these rules.</w:t>
      </w:r>
    </w:p>
    <w:p>
      <w:pPr>
        <w:pStyle w:val="Heading2"/>
        <w:bidi/>
      </w:pPr>
      <w:r>
        <w:rPr>
          <w:rtl/>
        </w:rPr>
        <w:t xml:space="preserve">أولاً: تعريف عقد البيع وأركانه</w:t>
      </w:r>
    </w:p>
    <w:p>
      <w:pPr>
        <w:pStyle w:val="Heading3"/>
        <w:bidi/>
      </w:pPr>
      <w:r>
        <w:rPr>
          <w:rtl/>
        </w:rPr>
        <w:t xml:space="preserve">1) التعريف</w:t>
      </w:r>
    </w:p>
    <w:p>
      <w:pPr>
        <w:bidi/>
      </w:pPr>
      <w:r>
        <w:rPr>
          <w:rtl/>
        </w:rPr>
        <w:t xml:space="preserve">عرّفت المادة (445) البيع بأنه عقد يلتزم بمقتضاه البائع بأن ينقل إلى المشتري ملكية شيء أو حق مالي آخر، مقابل ثمن نقدي. ويتضح من هذا التعريف أن البيع عقد </w:t>
      </w:r>
      <w:r>
        <w:rPr>
          <w:b/>
          <w:rtl/>
        </w:rPr>
        <w:t xml:space="preserve">رضائي، ملزم للجانبين، ومن عقود المعاوضة</w:t>
      </w:r>
      <w:r>
        <w:rPr>
          <w:rtl/>
        </w:rPr>
        <w:t xml:space="preserve">، وأن الثمن فيه يجب أن يكون نقداً، وإلا كان العقد مقايضة لا بيعاً.</w:t>
      </w:r>
    </w:p>
    <w:p>
      <w:pPr>
        <w:pStyle w:val="Heading3"/>
        <w:bidi/>
      </w:pPr>
      <w:r>
        <w:rPr>
          <w:rtl/>
        </w:rPr>
        <w:t xml:space="preserve">2) الأركان</w:t>
      </w:r>
    </w:p>
    <w:p>
      <w:pPr>
        <w:bidi/>
      </w:pPr>
      <w:r>
        <w:rPr>
          <w:rtl/>
        </w:rPr>
        <w:t xml:space="preserve">تقوم العقود عامة على ثلاثة أركان هي التراضي والمحل والسبب (المادة 124)، ويضاف إليها في البيع ركن خاص هو الثمن:</w:t>
      </w:r>
    </w:p>
    <w:tbl>
      <w:tblPr>
        <w:tblStyle w:val="TableGrid"/>
        <w:tblW w:w="0" w:type="auto"/>
        <w:tblLayout w:type="fixed"/>
        <w:tblLook w:val="04A0" w:firstRow="1" w:lastRow="0" w:firstColumn="0" w:lastColumn="0" w:noHBand="0" w:noVBand="1"/>
      </w:tblPr>
      <w:tblGrid>
        <w:gridCol w:w="2894"/>
        <w:gridCol w:w="4470"/>
        <w:gridCol w:w="1996"/>
      </w:tblGrid>
      <w:tr>
        <w:trPr>
          <w:tblHeader/>
        </w:trPr>
        <w:tc>
          <w:tcPr>
            <w:tcW w:w="2894" w:type="dxa"/>
            <w:shd w:val="clear" w:color="auto" w:fill="F2F2F2"/>
          </w:tcPr>
          <w:p>
            <w:pPr>
              <w:bidi/>
            </w:pPr>
            <w:r>
              <w:rPr>
                <w:rtl/>
              </w:rPr>
              <w:t xml:space="preserve">الركن</w:t>
            </w:r>
          </w:p>
        </w:tc>
        <w:tc>
          <w:tcPr>
            <w:tcW w:w="4470" w:type="dxa"/>
            <w:shd w:val="clear" w:color="auto" w:fill="F2F2F2"/>
          </w:tcPr>
          <w:p>
            <w:pPr>
              <w:bidi/>
            </w:pPr>
            <w:r>
              <w:rPr>
                <w:rtl/>
              </w:rPr>
              <w:t xml:space="preserve">مضمونه</w:t>
            </w:r>
          </w:p>
        </w:tc>
        <w:tc>
          <w:tcPr>
            <w:tcW w:w="1996" w:type="dxa"/>
            <w:shd w:val="clear" w:color="auto" w:fill="F2F2F2"/>
          </w:tcPr>
          <w:p>
            <w:pPr>
              <w:bidi/>
            </w:pPr>
            <w:r>
              <w:rPr>
                <w:rtl/>
              </w:rPr>
              <w:t xml:space="preserve">السند القانوني</w:t>
            </w:r>
          </w:p>
        </w:tc>
      </w:tr>
      <w:tr>
        <w:tc>
          <w:tcPr>
            <w:tcW w:w="2894" w:type="dxa"/>
          </w:tcPr>
          <w:p>
            <w:pPr>
              <w:bidi/>
            </w:pPr>
            <w:r>
              <w:rPr>
                <w:b/>
                <w:rtl/>
              </w:rPr>
              <w:t xml:space="preserve">التراضي</w:t>
            </w:r>
          </w:p>
        </w:tc>
        <w:tc>
          <w:tcPr>
            <w:tcW w:w="4470" w:type="dxa"/>
          </w:tcPr>
          <w:p>
            <w:pPr>
              <w:bidi/>
            </w:pPr>
            <w:r>
              <w:rPr>
                <w:rtl/>
              </w:rPr>
              <w:t xml:space="preserve">تطابق الإيجاب والقبول، مع أهلية الطرفين وسلامة إرادتهما من الغلط والإكراه والتغرير والاستغلال</w:t>
            </w:r>
          </w:p>
        </w:tc>
        <w:tc>
          <w:tcPr>
            <w:tcW w:w="1996" w:type="dxa"/>
          </w:tcPr>
          <w:p>
            <w:pPr>
              <w:bidi/>
            </w:pPr>
            <w:r>
              <w:rPr>
                <w:rtl/>
              </w:rPr>
              <w:t xml:space="preserve">المواد 125–129، 146–151، 161–179</w:t>
            </w:r>
          </w:p>
        </w:tc>
      </w:tr>
      <w:tr>
        <w:tc>
          <w:tcPr>
            <w:tcW w:w="2894" w:type="dxa"/>
          </w:tcPr>
          <w:p>
            <w:pPr>
              <w:bidi/>
            </w:pPr>
            <w:r>
              <w:rPr>
                <w:b/>
                <w:rtl/>
              </w:rPr>
              <w:t xml:space="preserve">المحل (المبيع)</w:t>
            </w:r>
          </w:p>
        </w:tc>
        <w:tc>
          <w:tcPr>
            <w:tcW w:w="4470" w:type="dxa"/>
          </w:tcPr>
          <w:p>
            <w:pPr>
              <w:bidi/>
            </w:pPr>
            <w:r>
              <w:rPr>
                <w:rtl/>
              </w:rPr>
              <w:t xml:space="preserve">أن يكون موجوداً أو قابلاً للوجود، معيناً أو قابلاً للتعيين، مشروعاً، ومعلوماً للمشتري علماً كافياً بالرؤية أو بالوصف</w:t>
            </w:r>
          </w:p>
        </w:tc>
        <w:tc>
          <w:tcPr>
            <w:tcW w:w="1996" w:type="dxa"/>
          </w:tcPr>
          <w:p>
            <w:pPr>
              <w:bidi/>
            </w:pPr>
            <w:r>
              <w:rPr>
                <w:rtl/>
              </w:rPr>
              <w:t xml:space="preserve">المادتان 124، 446</w:t>
            </w:r>
          </w:p>
        </w:tc>
      </w:tr>
      <w:tr>
        <w:tc>
          <w:tcPr>
            <w:tcW w:w="2894" w:type="dxa"/>
          </w:tcPr>
          <w:p>
            <w:pPr>
              <w:bidi/>
            </w:pPr>
            <w:r>
              <w:rPr>
                <w:b/>
                <w:rtl/>
              </w:rPr>
              <w:t xml:space="preserve">الثمن</w:t>
            </w:r>
          </w:p>
        </w:tc>
        <w:tc>
          <w:tcPr>
            <w:tcW w:w="4470" w:type="dxa"/>
          </w:tcPr>
          <w:p>
            <w:pPr>
              <w:bidi/>
            </w:pPr>
            <w:r>
              <w:rPr>
                <w:rtl/>
              </w:rPr>
              <w:t xml:space="preserve">ما يتفق عليه الطرفان، ويجوز تحديده بأسس يتفقان عليها أو بواسطة الغير، ولا يبطل البيع إذا ثبت أنهما أرادا سعر السوق</w:t>
            </w:r>
          </w:p>
        </w:tc>
        <w:tc>
          <w:tcPr>
            <w:tcW w:w="1996" w:type="dxa"/>
          </w:tcPr>
          <w:p>
            <w:pPr>
              <w:bidi/>
            </w:pPr>
            <w:r>
              <w:rPr>
                <w:rtl/>
              </w:rPr>
              <w:t xml:space="preserve">المواد 456–458</w:t>
            </w:r>
          </w:p>
        </w:tc>
      </w:tr>
      <w:tr>
        <w:tc>
          <w:tcPr>
            <w:tcW w:w="2894" w:type="dxa"/>
          </w:tcPr>
          <w:p>
            <w:pPr>
              <w:bidi/>
            </w:pPr>
            <w:r>
              <w:rPr>
                <w:b/>
                <w:rtl/>
              </w:rPr>
              <w:t xml:space="preserve">السبب</w:t>
            </w:r>
          </w:p>
        </w:tc>
        <w:tc>
          <w:tcPr>
            <w:tcW w:w="4470" w:type="dxa"/>
          </w:tcPr>
          <w:p>
            <w:pPr>
              <w:bidi/>
            </w:pPr>
            <w:r>
              <w:rPr>
                <w:rtl/>
              </w:rPr>
              <w:t xml:space="preserve">الغرض المشروع من التعاقد، وهو تملك المبيع بالنسبة للمشتري وتملك الثمن بالنسبة للبائع</w:t>
            </w:r>
          </w:p>
        </w:tc>
        <w:tc>
          <w:tcPr>
            <w:tcW w:w="1996" w:type="dxa"/>
          </w:tcPr>
          <w:p>
            <w:pPr>
              <w:bidi/>
            </w:pPr>
            <w:r>
              <w:rPr>
                <w:rtl/>
              </w:rPr>
              <w:t xml:space="preserve">المادة 124</w:t>
            </w:r>
          </w:p>
        </w:tc>
      </w:tr>
    </w:tbl>
    <w:p>
      <w:pPr>
        <w:bidi/>
      </w:pPr>
      <w:r>
        <w:rPr>
          <w:b/>
          <w:rtl/>
        </w:rPr>
        <w:t xml:space="preserve">ملاحظة:</w:t>
      </w:r>
      <w:r>
        <w:rPr>
          <w:rtl/>
        </w:rPr>
        <w:t xml:space="preserve"> من الأحكام الجديدة أن المشتري إذا لم يعترض على المبيع خلال مدة معقولة بعد علمه به، يُفترض قبوله له (المادة 446). كما أن دفع </w:t>
      </w:r>
      <w:r>
        <w:rPr>
          <w:b/>
          <w:rtl/>
        </w:rPr>
        <w:t xml:space="preserve">العربون</w:t>
      </w:r>
      <w:r>
        <w:rPr>
          <w:rtl/>
        </w:rPr>
        <w:t xml:space="preserve"> يجعل العقد باتاً ما لم يتفق الطرفان أو يقضِ العرف بغير ذلك (المادة 137).</w:t>
      </w:r>
    </w:p>
    <w:p>
      <w:pPr>
        <w:pStyle w:val="Heading2"/>
      </w:pPr>
      <w:r>
        <w:t xml:space="preserve">First: Definition and Elements of the Sale Contract</w:t>
      </w:r>
    </w:p>
    <w:p>
      <w:pPr/>
      <w:r>
        <w:rPr>
          <w:b/>
        </w:rPr>
        <w:t xml:space="preserve">Definition.</w:t>
      </w:r>
      <w:r>
        <w:t xml:space="preserve"> Article 445 defines sale as a contract by which the seller undertakes to transfer to the buyer ownership of a thing or another financial right in exchange for a monetary price. It is therefore a consensual, bilateral contract for consideration. If the consideration is not money, the contract is a barter, not a sale.</w:t>
      </w:r>
    </w:p>
    <w:p>
      <w:pPr/>
      <w:r>
        <w:rPr>
          <w:b/>
        </w:rPr>
        <w:t xml:space="preserve">Elements.</w:t>
      </w:r>
      <w:r>
        <w:t xml:space="preserve"> Every contract requires consent, an object and a lawful cause (Article 124). Sale adds a fourth element, the price:</w:t>
      </w:r>
    </w:p>
    <w:tbl>
      <w:tblPr>
        <w:tblStyle w:val="TableGrid"/>
        <w:tblW w:w="0" w:type="auto"/>
        <w:tblLayout w:type="fixed"/>
        <w:tblLook w:val="04A0" w:firstRow="1" w:lastRow="0" w:firstColumn="0" w:lastColumn="0" w:noHBand="0" w:noVBand="1"/>
      </w:tblPr>
      <w:tblGrid>
        <w:gridCol w:w="1113"/>
        <w:gridCol w:w="4920"/>
        <w:gridCol w:w="3327"/>
      </w:tblGrid>
      <w:tr>
        <w:trPr>
          <w:tblHeader/>
        </w:trPr>
        <w:tc>
          <w:tcPr>
            <w:tcW w:w="1113" w:type="dxa"/>
            <w:shd w:val="clear" w:color="auto" w:fill="F2F2F2"/>
          </w:tcPr>
          <w:p>
            <w:pPr/>
            <w:r>
              <w:t xml:space="preserve">Element</w:t>
            </w:r>
          </w:p>
        </w:tc>
        <w:tc>
          <w:tcPr>
            <w:tcW w:w="4920" w:type="dxa"/>
            <w:shd w:val="clear" w:color="auto" w:fill="F2F2F2"/>
          </w:tcPr>
          <w:p>
            <w:pPr/>
            <w:r>
              <w:t xml:space="preserve">Requirement</w:t>
            </w:r>
          </w:p>
        </w:tc>
        <w:tc>
          <w:tcPr>
            <w:tcW w:w="3327" w:type="dxa"/>
            <w:shd w:val="clear" w:color="auto" w:fill="F2F2F2"/>
          </w:tcPr>
          <w:p>
            <w:pPr/>
            <w:r>
              <w:t xml:space="preserve">Legal basis</w:t>
            </w:r>
          </w:p>
        </w:tc>
      </w:tr>
      <w:tr>
        <w:tc>
          <w:tcPr>
            <w:tcW w:w="1113" w:type="dxa"/>
          </w:tcPr>
          <w:p>
            <w:pPr/>
            <w:r>
              <w:rPr>
                <w:b/>
              </w:rPr>
              <w:t xml:space="preserve">Consent</w:t>
            </w:r>
          </w:p>
        </w:tc>
        <w:tc>
          <w:tcPr>
            <w:tcW w:w="4920" w:type="dxa"/>
          </w:tcPr>
          <w:p>
            <w:pPr/>
            <w:r>
              <w:t xml:space="preserve">Matching offer and acceptance; legal capacity; free of mistake, duress, misrepresentation and exploitation</w:t>
            </w:r>
          </w:p>
        </w:tc>
        <w:tc>
          <w:tcPr>
            <w:tcW w:w="3327" w:type="dxa"/>
          </w:tcPr>
          <w:p>
            <w:pPr/>
            <w:r>
              <w:t xml:space="preserve">Arts. 125–129, 146–151, 161–179</w:t>
            </w:r>
          </w:p>
        </w:tc>
      </w:tr>
      <w:tr>
        <w:tc>
          <w:tcPr>
            <w:tcW w:w="1113" w:type="dxa"/>
          </w:tcPr>
          <w:p>
            <w:pPr/>
            <w:r>
              <w:rPr>
                <w:b/>
              </w:rPr>
              <w:t xml:space="preserve">Object</w:t>
            </w:r>
          </w:p>
        </w:tc>
        <w:tc>
          <w:tcPr>
            <w:tcW w:w="4920" w:type="dxa"/>
          </w:tcPr>
          <w:p>
            <w:pPr/>
            <w:r>
              <w:t xml:space="preserve">Existing or capable of existing; specified or specifiable; lawful; sufficiently known to the buyer by inspection or description</w:t>
            </w:r>
          </w:p>
        </w:tc>
        <w:tc>
          <w:tcPr>
            <w:tcW w:w="3327" w:type="dxa"/>
          </w:tcPr>
          <w:p>
            <w:pPr/>
            <w:r>
              <w:t xml:space="preserve">Arts. 124, 446</w:t>
            </w:r>
          </w:p>
        </w:tc>
      </w:tr>
      <w:tr>
        <w:tc>
          <w:tcPr>
            <w:tcW w:w="1113" w:type="dxa"/>
          </w:tcPr>
          <w:p>
            <w:pPr/>
            <w:r>
              <w:rPr>
                <w:b/>
              </w:rPr>
              <w:t xml:space="preserve">Price</w:t>
            </w:r>
          </w:p>
        </w:tc>
        <w:tc>
          <w:tcPr>
            <w:tcW w:w="4920" w:type="dxa"/>
          </w:tcPr>
          <w:p>
            <w:pPr/>
            <w:r>
              <w:t xml:space="preserve">As agreed; may be set by agreed criteria or by a third party; the sale stands if the parties intended the market price</w:t>
            </w:r>
          </w:p>
        </w:tc>
        <w:tc>
          <w:tcPr>
            <w:tcW w:w="3327" w:type="dxa"/>
          </w:tcPr>
          <w:p>
            <w:pPr/>
            <w:r>
              <w:t xml:space="preserve">Arts. 456–458</w:t>
            </w:r>
          </w:p>
        </w:tc>
      </w:tr>
      <w:tr>
        <w:tc>
          <w:tcPr>
            <w:tcW w:w="1113" w:type="dxa"/>
          </w:tcPr>
          <w:p>
            <w:pPr/>
            <w:r>
              <w:rPr>
                <w:b/>
              </w:rPr>
              <w:t xml:space="preserve">Cause</w:t>
            </w:r>
          </w:p>
        </w:tc>
        <w:tc>
          <w:tcPr>
            <w:tcW w:w="4920" w:type="dxa"/>
          </w:tcPr>
          <w:p>
            <w:pPr/>
            <w:r>
              <w:t xml:space="preserve">The lawful purpose: ownership of the goods for the buyer, ownership of the price for the seller</w:t>
            </w:r>
          </w:p>
        </w:tc>
        <w:tc>
          <w:tcPr>
            <w:tcW w:w="3327" w:type="dxa"/>
          </w:tcPr>
          <w:p>
            <w:pPr/>
            <w:r>
              <w:t xml:space="preserve">Art. 124</w:t>
            </w:r>
          </w:p>
        </w:tc>
      </w:tr>
    </w:tbl>
    <w:p>
      <w:pPr/>
      <w:r>
        <w:t xml:space="preserve">Under the new law, a buyer who does not object within a reasonable time after learning of the goods is presumed to have accepted them (Article 446). Paying a </w:t>
      </w:r>
      <w:r>
        <w:rPr>
          <w:b/>
        </w:rPr>
        <w:t xml:space="preserve">deposit</w:t>
      </w:r>
      <w:r>
        <w:t xml:space="preserve"> makes the contract final unless agreed or customary otherwise (Article 137).</w:t>
      </w:r>
    </w:p>
    <w:p>
      <w:pPr>
        <w:pStyle w:val="Quote"/>
        <w:bidi/>
      </w:pPr>
      <w:r>
        <w:rPr>
          <w:b/>
          <w:rtl/>
        </w:rPr>
        <w:t xml:space="preserve">ملاحظة منهجية / Note on sources:</w:t>
      </w:r>
      <w:r>
        <w:rPr>
          <w:rtl/>
        </w:rPr>
        <w:t xml:space="preserve"> أرقام المواد الواردة في هذا الواجب مأخوذة من المرسوم بقانون اتحادي رقم (25) لسنة 2025، وقد قوبلت بالترجمة الإنجليزية غير الرسمية للقانون (UAE Legal Notes, n.d.). </w:t>
      </w:r>
      <w:r>
        <w:rPr>
          <w:i/>
          <w:rtl/>
        </w:rPr>
        <w:t xml:space="preserve">Article numbers are those of Federal Decree-Law No. 25 of 2025, cross-checked against an unofficial English translation (UAE Legal Notes, n.d.).</w:t>
      </w:r>
    </w:p>
    <w:p>
      <w:pPr>
        <w:pStyle w:val="Heading2"/>
        <w:bidi/>
      </w:pPr>
      <w:r>
        <w:rPr>
          <w:rtl/>
        </w:rPr>
        <w:t xml:space="preserve">ثانياً: آثار عقد البيع (التزامات الطرفين)</w:t>
      </w:r>
    </w:p>
    <w:tbl>
      <w:tblPr>
        <w:tblStyle w:val="TableGrid"/>
        <w:tblW w:w="0" w:type="auto"/>
        <w:tblLayout w:type="fixed"/>
        <w:tblLook w:val="04A0" w:firstRow="1" w:lastRow="0" w:firstColumn="0" w:lastColumn="0" w:noHBand="0" w:noVBand="1"/>
      </w:tblPr>
      <w:tblGrid>
        <w:gridCol w:w="3346"/>
        <w:gridCol w:w="1724"/>
        <w:gridCol w:w="2734"/>
        <w:gridCol w:w="1556"/>
      </w:tblGrid>
      <w:tr>
        <w:trPr>
          <w:tblHeader/>
        </w:trPr>
        <w:tc>
          <w:tcPr>
            <w:tcW w:w="3346" w:type="dxa"/>
            <w:shd w:val="clear" w:color="auto" w:fill="F2F2F2"/>
          </w:tcPr>
          <w:p>
            <w:pPr>
              <w:bidi/>
            </w:pPr>
            <w:r>
              <w:rPr>
                <w:rtl/>
              </w:rPr>
              <w:t xml:space="preserve">التزامات البائع</w:t>
            </w:r>
          </w:p>
        </w:tc>
        <w:tc>
          <w:tcPr>
            <w:tcW w:w="1724" w:type="dxa"/>
            <w:shd w:val="clear" w:color="auto" w:fill="F2F2F2"/>
          </w:tcPr>
          <w:p>
            <w:pPr>
              <w:bidi/>
            </w:pPr>
            <w:r>
              <w:rPr>
                <w:rtl/>
              </w:rPr>
              <w:t xml:space="preserve">المادة</w:t>
            </w:r>
          </w:p>
        </w:tc>
        <w:tc>
          <w:tcPr>
            <w:tcW w:w="2734" w:type="dxa"/>
            <w:shd w:val="clear" w:color="auto" w:fill="F2F2F2"/>
          </w:tcPr>
          <w:p>
            <w:pPr>
              <w:bidi/>
            </w:pPr>
            <w:r>
              <w:rPr>
                <w:rtl/>
              </w:rPr>
              <w:t xml:space="preserve">التزامات المشتري</w:t>
            </w:r>
          </w:p>
        </w:tc>
        <w:tc>
          <w:tcPr>
            <w:tcW w:w="1556" w:type="dxa"/>
            <w:shd w:val="clear" w:color="auto" w:fill="F2F2F2"/>
          </w:tcPr>
          <w:p>
            <w:pPr>
              <w:bidi/>
            </w:pPr>
            <w:r>
              <w:rPr>
                <w:rtl/>
              </w:rPr>
              <w:t xml:space="preserve">المادة</w:t>
            </w:r>
          </w:p>
        </w:tc>
      </w:tr>
      <w:tr>
        <w:tc>
          <w:tcPr>
            <w:tcW w:w="3346" w:type="dxa"/>
          </w:tcPr>
          <w:p>
            <w:pPr>
              <w:bidi/>
            </w:pPr>
            <w:r>
              <w:rPr>
                <w:rtl/>
              </w:rPr>
              <w:t xml:space="preserve">نقل الملكية، واتخاذ كل ما يلزم لذلك وعدم عرقلته</w:t>
            </w:r>
          </w:p>
        </w:tc>
        <w:tc>
          <w:tcPr>
            <w:tcW w:w="1724" w:type="dxa"/>
          </w:tcPr>
          <w:p>
            <w:pPr/>
            <w:r>
              <w:t xml:space="preserve">466</w:t>
            </w:r>
          </w:p>
        </w:tc>
        <w:tc>
          <w:tcPr>
            <w:tcW w:w="2734" w:type="dxa"/>
          </w:tcPr>
          <w:p>
            <w:pPr>
              <w:bidi/>
            </w:pPr>
            <w:r>
              <w:rPr>
                <w:rtl/>
              </w:rPr>
              <w:t xml:space="preserve">دفع الثمن فور التعاقد ما لم يُتفق على تأجيله أو تقسيطه</w:t>
            </w:r>
          </w:p>
        </w:tc>
        <w:tc>
          <w:tcPr>
            <w:tcW w:w="1556" w:type="dxa"/>
          </w:tcPr>
          <w:p>
            <w:pPr/>
            <w:r>
              <w:t xml:space="preserve">465، 511</w:t>
            </w:r>
          </w:p>
        </w:tc>
      </w:tr>
      <w:tr>
        <w:tc>
          <w:tcPr>
            <w:tcW w:w="3346" w:type="dxa"/>
          </w:tcPr>
          <w:p>
            <w:pPr>
              <w:bidi/>
            </w:pPr>
            <w:r>
              <w:rPr>
                <w:rtl/>
              </w:rPr>
              <w:t xml:space="preserve">تسليم المبيع بالحالة التي كان عليها وقت البيع مع ملحقاته ومستنداته</w:t>
            </w:r>
          </w:p>
        </w:tc>
        <w:tc>
          <w:tcPr>
            <w:tcW w:w="1724" w:type="dxa"/>
          </w:tcPr>
          <w:p>
            <w:pPr/>
            <w:r>
              <w:t xml:space="preserve">469</w:t>
            </w:r>
          </w:p>
        </w:tc>
        <w:tc>
          <w:tcPr>
            <w:tcW w:w="2734" w:type="dxa"/>
          </w:tcPr>
          <w:p>
            <w:pPr>
              <w:bidi/>
            </w:pPr>
            <w:r>
              <w:rPr>
                <w:rtl/>
              </w:rPr>
              <w:t xml:space="preserve">دفع الثمن في مكان وجود المبيع، والثمن المؤجل في موطن المشتري</w:t>
            </w:r>
          </w:p>
        </w:tc>
        <w:tc>
          <w:tcPr>
            <w:tcW w:w="1556" w:type="dxa"/>
          </w:tcPr>
          <w:p>
            <w:pPr/>
            <w:r>
              <w:t xml:space="preserve">516</w:t>
            </w:r>
          </w:p>
        </w:tc>
      </w:tr>
      <w:tr>
        <w:tc>
          <w:tcPr>
            <w:tcW w:w="3346" w:type="dxa"/>
          </w:tcPr>
          <w:p>
            <w:pPr>
              <w:bidi/>
            </w:pPr>
            <w:r>
              <w:rPr>
                <w:rtl/>
              </w:rPr>
              <w:t xml:space="preserve">التسليم فوراً وفي مكان وجود المبيع ما لم يُتفق على غير ذلك</w:t>
            </w:r>
          </w:p>
        </w:tc>
        <w:tc>
          <w:tcPr>
            <w:tcW w:w="1724" w:type="dxa"/>
          </w:tcPr>
          <w:p>
            <w:pPr/>
            <w:r>
              <w:t xml:space="preserve">478، 479</w:t>
            </w:r>
          </w:p>
        </w:tc>
        <w:tc>
          <w:tcPr>
            <w:tcW w:w="2734" w:type="dxa"/>
          </w:tcPr>
          <w:p>
            <w:pPr>
              <w:bidi/>
            </w:pPr>
            <w:r>
              <w:rPr>
                <w:rtl/>
              </w:rPr>
              <w:t xml:space="preserve">تسلّم المبيع، ويُعدّ تسلماً حكمياً إذا أُخطر بالتسلم فلم يتسلم</w:t>
            </w:r>
          </w:p>
        </w:tc>
        <w:tc>
          <w:tcPr>
            <w:tcW w:w="1556" w:type="dxa"/>
          </w:tcPr>
          <w:p>
            <w:pPr/>
            <w:r>
              <w:t xml:space="preserve">480، 481</w:t>
            </w:r>
          </w:p>
        </w:tc>
      </w:tr>
      <w:tr>
        <w:tc>
          <w:tcPr>
            <w:tcW w:w="3346" w:type="dxa"/>
          </w:tcPr>
          <w:p>
            <w:pPr>
              <w:bidi/>
            </w:pPr>
            <w:r>
              <w:rPr>
                <w:rtl/>
              </w:rPr>
              <w:t xml:space="preserve">تحمّل تبعة هلاك المبيع قبل التسليم</w:t>
            </w:r>
          </w:p>
        </w:tc>
        <w:tc>
          <w:tcPr>
            <w:tcW w:w="1724" w:type="dxa"/>
          </w:tcPr>
          <w:p>
            <w:pPr/>
            <w:r>
              <w:t xml:space="preserve">482</w:t>
            </w:r>
          </w:p>
        </w:tc>
        <w:tc>
          <w:tcPr>
            <w:tcW w:w="2734" w:type="dxa"/>
          </w:tcPr>
          <w:p>
            <w:pPr>
              <w:bidi/>
            </w:pPr>
            <w:r>
              <w:rPr>
                <w:rtl/>
              </w:rPr>
              <w:t xml:space="preserve">تحمّل نفقات دفع الثمن وتسجيل العقد</w:t>
            </w:r>
          </w:p>
        </w:tc>
        <w:tc>
          <w:tcPr>
            <w:tcW w:w="1556" w:type="dxa"/>
          </w:tcPr>
          <w:p>
            <w:pPr/>
            <w:r>
              <w:t xml:space="preserve">521</w:t>
            </w:r>
          </w:p>
        </w:tc>
      </w:tr>
      <w:tr>
        <w:tc>
          <w:tcPr>
            <w:tcW w:w="3346" w:type="dxa"/>
          </w:tcPr>
          <w:p>
            <w:pPr>
              <w:bidi/>
            </w:pPr>
            <w:r>
              <w:rPr>
                <w:rtl/>
              </w:rPr>
              <w:t xml:space="preserve">ضمان التعرض والاستحقاق، وكل شرط يُسقطه باطل</w:t>
            </w:r>
          </w:p>
        </w:tc>
        <w:tc>
          <w:tcPr>
            <w:tcW w:w="1724" w:type="dxa"/>
          </w:tcPr>
          <w:p>
            <w:pPr/>
            <w:r>
              <w:t xml:space="preserve">483–490</w:t>
            </w:r>
          </w:p>
        </w:tc>
        <w:tc>
          <w:tcPr>
            <w:tcW w:w="2734" w:type="dxa"/>
          </w:tcPr>
          <w:p>
            <w:pPr/>
          </w:p>
        </w:tc>
        <w:tc>
          <w:tcPr>
            <w:tcW w:w="1556" w:type="dxa"/>
          </w:tcPr>
          <w:p>
            <w:pPr/>
          </w:p>
        </w:tc>
      </w:tr>
      <w:tr>
        <w:tc>
          <w:tcPr>
            <w:tcW w:w="3346" w:type="dxa"/>
          </w:tcPr>
          <w:p>
            <w:pPr>
              <w:bidi/>
            </w:pPr>
            <w:r>
              <w:rPr>
                <w:rtl/>
              </w:rPr>
              <w:t xml:space="preserve">ضمان العيوب الخفية</w:t>
            </w:r>
          </w:p>
        </w:tc>
        <w:tc>
          <w:tcPr>
            <w:tcW w:w="1724" w:type="dxa"/>
          </w:tcPr>
          <w:p>
            <w:pPr/>
            <w:r>
              <w:t xml:space="preserve">493–495، 510</w:t>
            </w:r>
          </w:p>
        </w:tc>
        <w:tc>
          <w:tcPr>
            <w:tcW w:w="2734" w:type="dxa"/>
          </w:tcPr>
          <w:p>
            <w:pPr/>
          </w:p>
        </w:tc>
        <w:tc>
          <w:tcPr>
            <w:tcW w:w="1556" w:type="dxa"/>
          </w:tcPr>
          <w:p>
            <w:pPr/>
          </w:p>
        </w:tc>
      </w:tr>
    </w:tbl>
    <w:p>
      <w:pPr>
        <w:pStyle w:val="Heading3"/>
        <w:bidi/>
      </w:pPr>
      <w:r>
        <w:rPr>
          <w:rtl/>
        </w:rPr>
        <w:t xml:space="preserve">أبرز المستجدات في القانون الجديد</w:t>
      </w:r>
    </w:p>
    <w:p>
      <w:pPr>
        <w:pStyle w:val="ListParagraph"/>
        <w:numPr>
          <w:ilvl w:val="0"/>
          <w:numId w:val="2"/>
        </w:numPr>
        <w:bidi/>
      </w:pPr>
      <w:r>
        <w:rPr>
          <w:b/>
          <w:rtl/>
        </w:rPr>
        <w:t xml:space="preserve">ضمان العيب الخفي:</w:t>
      </w:r>
      <w:r>
        <w:rPr>
          <w:rtl/>
        </w:rPr>
        <w:t xml:space="preserve"> أصبح للمشتري أن يرد المبيع، أو أن يحتفظ به ويطالب بإنقاص الثمن، ويجوز للبائع أن يتفادى المسؤولية بتقديم بديل سليم (المادة 495). ولا تُسمع الدعوى بعد </w:t>
      </w:r>
      <w:r>
        <w:rPr>
          <w:b/>
          <w:rtl/>
        </w:rPr>
        <w:t xml:space="preserve">سنة</w:t>
      </w:r>
      <w:r>
        <w:rPr>
          <w:rtl/>
        </w:rPr>
        <w:t xml:space="preserve"> من اليوم التالي للتسلم بدل ستة أشهر، إلا إذا تعمّد البائع إخفاء العيب غشاً (المادة 510؛ Al Suwaidi &amp; Company, n.d.).</w:t>
      </w:r>
    </w:p>
    <w:p>
      <w:pPr>
        <w:pStyle w:val="ListParagraph"/>
        <w:numPr>
          <w:ilvl w:val="0"/>
          <w:numId w:val="2"/>
        </w:numPr>
        <w:bidi/>
      </w:pPr>
      <w:r>
        <w:rPr>
          <w:b/>
          <w:rtl/>
        </w:rPr>
        <w:t xml:space="preserve">الاحتفاظ بالملكية:</w:t>
      </w:r>
      <w:r>
        <w:rPr>
          <w:rtl/>
        </w:rPr>
        <w:t xml:space="preserve"> إذا كان البيع بثمن مؤجل أو مقسط، جاز للبائع أن يشترط عدم انتقال الملكية إلا بعد دفع الثمن كاملاً، ولو تم التسليم (المادة 468).</w:t>
      </w:r>
    </w:p>
    <w:p>
      <w:pPr>
        <w:pStyle w:val="ListParagraph"/>
        <w:numPr>
          <w:ilvl w:val="0"/>
          <w:numId w:val="2"/>
        </w:numPr>
        <w:bidi/>
      </w:pPr>
      <w:r>
        <w:rPr>
          <w:b/>
          <w:rtl/>
        </w:rPr>
        <w:t xml:space="preserve">نفقات العقد:</w:t>
      </w:r>
      <w:r>
        <w:rPr>
          <w:rtl/>
        </w:rPr>
        <w:t xml:space="preserve"> الأصل أن نفقات التسليم على البائع، ونفقات دفع الثمن والتسجيل على المشتري، ما لم يُتفق على خلاف ذلك (المادة 521).</w:t>
      </w:r>
    </w:p>
    <w:p>
      <w:pPr>
        <w:pStyle w:val="Heading2"/>
      </w:pPr>
      <w:r>
        <w:t xml:space="preserve">Second: Effects of the Sale Contract (Obligations of the Parties)</w:t>
      </w:r>
    </w:p>
    <w:tbl>
      <w:tblPr>
        <w:tblStyle w:val="TableGrid"/>
        <w:tblW w:w="0" w:type="auto"/>
        <w:tblLayout w:type="fixed"/>
        <w:tblLook w:val="04A0" w:firstRow="1" w:lastRow="0" w:firstColumn="0" w:lastColumn="0" w:noHBand="0" w:noVBand="1"/>
      </w:tblPr>
      <w:tblGrid>
        <w:gridCol w:w="3860"/>
        <w:gridCol w:w="1583"/>
        <w:gridCol w:w="2809"/>
        <w:gridCol w:w="1108"/>
      </w:tblGrid>
      <w:tr>
        <w:trPr>
          <w:tblHeader/>
        </w:trPr>
        <w:tc>
          <w:tcPr>
            <w:tcW w:w="3860" w:type="dxa"/>
            <w:shd w:val="clear" w:color="auto" w:fill="F2F2F2"/>
          </w:tcPr>
          <w:p>
            <w:pPr/>
            <w:r>
              <w:t xml:space="preserve">Seller's obligations</w:t>
            </w:r>
          </w:p>
        </w:tc>
        <w:tc>
          <w:tcPr>
            <w:tcW w:w="1583" w:type="dxa"/>
            <w:shd w:val="clear" w:color="auto" w:fill="F2F2F2"/>
          </w:tcPr>
          <w:p>
            <w:pPr/>
            <w:r>
              <w:t xml:space="preserve">Art.</w:t>
            </w:r>
          </w:p>
        </w:tc>
        <w:tc>
          <w:tcPr>
            <w:tcW w:w="2809" w:type="dxa"/>
            <w:shd w:val="clear" w:color="auto" w:fill="F2F2F2"/>
          </w:tcPr>
          <w:p>
            <w:pPr/>
            <w:r>
              <w:t xml:space="preserve">Buyer's obligations</w:t>
            </w:r>
          </w:p>
        </w:tc>
        <w:tc>
          <w:tcPr>
            <w:tcW w:w="1108" w:type="dxa"/>
            <w:shd w:val="clear" w:color="auto" w:fill="F2F2F2"/>
          </w:tcPr>
          <w:p>
            <w:pPr/>
            <w:r>
              <w:t xml:space="preserve">Art.</w:t>
            </w:r>
          </w:p>
        </w:tc>
      </w:tr>
      <w:tr>
        <w:tc>
          <w:tcPr>
            <w:tcW w:w="3860" w:type="dxa"/>
          </w:tcPr>
          <w:p>
            <w:pPr/>
            <w:r>
              <w:t xml:space="preserve">Transfer ownership and take all necessary steps to do so</w:t>
            </w:r>
          </w:p>
        </w:tc>
        <w:tc>
          <w:tcPr>
            <w:tcW w:w="1583" w:type="dxa"/>
          </w:tcPr>
          <w:p>
            <w:pPr/>
            <w:r>
              <w:t xml:space="preserve">466</w:t>
            </w:r>
          </w:p>
        </w:tc>
        <w:tc>
          <w:tcPr>
            <w:tcW w:w="2809" w:type="dxa"/>
          </w:tcPr>
          <w:p>
            <w:pPr/>
            <w:r>
              <w:t xml:space="preserve">Pay the price on contracting unless deferred or in instalments</w:t>
            </w:r>
          </w:p>
        </w:tc>
        <w:tc>
          <w:tcPr>
            <w:tcW w:w="1108" w:type="dxa"/>
          </w:tcPr>
          <w:p>
            <w:pPr/>
            <w:r>
              <w:t xml:space="preserve">465, 511</w:t>
            </w:r>
          </w:p>
        </w:tc>
      </w:tr>
      <w:tr>
        <w:tc>
          <w:tcPr>
            <w:tcW w:w="3860" w:type="dxa"/>
          </w:tcPr>
          <w:p>
            <w:pPr/>
            <w:r>
              <w:t xml:space="preserve">Deliver the goods in their condition at the time of sale, with accessories and documents</w:t>
            </w:r>
          </w:p>
        </w:tc>
        <w:tc>
          <w:tcPr>
            <w:tcW w:w="1583" w:type="dxa"/>
          </w:tcPr>
          <w:p>
            <w:pPr/>
            <w:r>
              <w:t xml:space="preserve">469</w:t>
            </w:r>
          </w:p>
        </w:tc>
        <w:tc>
          <w:tcPr>
            <w:tcW w:w="2809" w:type="dxa"/>
          </w:tcPr>
          <w:p>
            <w:pPr/>
            <w:r>
              <w:t xml:space="preserve">Pay where the goods are located; deferred price at the buyer's domicile</w:t>
            </w:r>
          </w:p>
        </w:tc>
        <w:tc>
          <w:tcPr>
            <w:tcW w:w="1108" w:type="dxa"/>
          </w:tcPr>
          <w:p>
            <w:pPr/>
            <w:r>
              <w:t xml:space="preserve">516</w:t>
            </w:r>
          </w:p>
        </w:tc>
      </w:tr>
      <w:tr>
        <w:tc>
          <w:tcPr>
            <w:tcW w:w="3860" w:type="dxa"/>
          </w:tcPr>
          <w:p>
            <w:pPr/>
            <w:r>
              <w:t xml:space="preserve">Deliver immediately, at the goods' location, unless agreed otherwise</w:t>
            </w:r>
          </w:p>
        </w:tc>
        <w:tc>
          <w:tcPr>
            <w:tcW w:w="1583" w:type="dxa"/>
          </w:tcPr>
          <w:p>
            <w:pPr/>
            <w:r>
              <w:t xml:space="preserve">478, 479</w:t>
            </w:r>
          </w:p>
        </w:tc>
        <w:tc>
          <w:tcPr>
            <w:tcW w:w="2809" w:type="dxa"/>
          </w:tcPr>
          <w:p>
            <w:pPr/>
            <w:r>
              <w:t xml:space="preserve">Take delivery; failure after notice counts as constructive delivery</w:t>
            </w:r>
          </w:p>
        </w:tc>
        <w:tc>
          <w:tcPr>
            <w:tcW w:w="1108" w:type="dxa"/>
          </w:tcPr>
          <w:p>
            <w:pPr/>
            <w:r>
              <w:t xml:space="preserve">480, 481</w:t>
            </w:r>
          </w:p>
        </w:tc>
      </w:tr>
      <w:tr>
        <w:tc>
          <w:tcPr>
            <w:tcW w:w="3860" w:type="dxa"/>
          </w:tcPr>
          <w:p>
            <w:pPr/>
            <w:r>
              <w:t xml:space="preserve">Bear the risk of loss before delivery</w:t>
            </w:r>
          </w:p>
        </w:tc>
        <w:tc>
          <w:tcPr>
            <w:tcW w:w="1583" w:type="dxa"/>
          </w:tcPr>
          <w:p>
            <w:pPr/>
            <w:r>
              <w:t xml:space="preserve">482</w:t>
            </w:r>
          </w:p>
        </w:tc>
        <w:tc>
          <w:tcPr>
            <w:tcW w:w="2809" w:type="dxa"/>
          </w:tcPr>
          <w:p>
            <w:pPr/>
            <w:r>
              <w:t xml:space="preserve">Bear payment and registration costs</w:t>
            </w:r>
          </w:p>
        </w:tc>
        <w:tc>
          <w:tcPr>
            <w:tcW w:w="1108" w:type="dxa"/>
          </w:tcPr>
          <w:p>
            <w:pPr/>
            <w:r>
              <w:t xml:space="preserve">521</w:t>
            </w:r>
          </w:p>
        </w:tc>
      </w:tr>
      <w:tr>
        <w:tc>
          <w:tcPr>
            <w:tcW w:w="3860" w:type="dxa"/>
          </w:tcPr>
          <w:p>
            <w:pPr/>
            <w:r>
              <w:t xml:space="preserve">Warrant against eviction; any clause removing it is void</w:t>
            </w:r>
          </w:p>
        </w:tc>
        <w:tc>
          <w:tcPr>
            <w:tcW w:w="1583" w:type="dxa"/>
          </w:tcPr>
          <w:p>
            <w:pPr/>
            <w:r>
              <w:t xml:space="preserve">483–490</w:t>
            </w:r>
          </w:p>
        </w:tc>
        <w:tc>
          <w:tcPr>
            <w:tcW w:w="2809" w:type="dxa"/>
          </w:tcPr>
          <w:p>
            <w:pPr/>
          </w:p>
        </w:tc>
        <w:tc>
          <w:tcPr>
            <w:tcW w:w="1108" w:type="dxa"/>
          </w:tcPr>
          <w:p>
            <w:pPr/>
          </w:p>
        </w:tc>
      </w:tr>
      <w:tr>
        <w:tc>
          <w:tcPr>
            <w:tcW w:w="3860" w:type="dxa"/>
          </w:tcPr>
          <w:p>
            <w:pPr/>
            <w:r>
              <w:t xml:space="preserve">Warrant against hidden defects</w:t>
            </w:r>
          </w:p>
        </w:tc>
        <w:tc>
          <w:tcPr>
            <w:tcW w:w="1583" w:type="dxa"/>
          </w:tcPr>
          <w:p>
            <w:pPr/>
            <w:r>
              <w:t xml:space="preserve">493–495, 510</w:t>
            </w:r>
          </w:p>
        </w:tc>
        <w:tc>
          <w:tcPr>
            <w:tcW w:w="2809" w:type="dxa"/>
          </w:tcPr>
          <w:p>
            <w:pPr/>
          </w:p>
        </w:tc>
        <w:tc>
          <w:tcPr>
            <w:tcW w:w="1108" w:type="dxa"/>
          </w:tcPr>
          <w:p>
            <w:pPr/>
          </w:p>
        </w:tc>
      </w:tr>
    </w:tbl>
    <w:p>
      <w:pPr/>
      <w:r>
        <w:rPr>
          <w:b/>
        </w:rPr>
        <w:t xml:space="preserve">Key changes:</w:t>
      </w:r>
      <w:r>
        <w:t xml:space="preserve"> (1) For a hidden defect, the buyer may return the goods or keep them with a price reduction, and the seller may supply a sound replacement (Art. 495); the claim is time-barred after </w:t>
      </w:r>
      <w:r>
        <w:rPr>
          <w:b/>
        </w:rPr>
        <w:t xml:space="preserve">one year</w:t>
      </w:r>
      <w:r>
        <w:t xml:space="preserve"> from the day after delivery, not six months, unless the seller concealed the defect by fraud (Art. 510). (2) In a sale on deferred or instalment payment, the seller may retain ownership until full payment, even after delivery (Art. 468). (3) Delivery costs fall on the seller; payment and registration costs fall on the buyer, unless agreed otherwise (Art. 521).</w:t>
      </w:r>
    </w:p>
    <w:p>
      <w:pPr>
        <w:pStyle w:val="Heading2"/>
        <w:bidi/>
      </w:pPr>
      <w:r>
        <w:rPr>
          <w:rtl/>
        </w:rPr>
        <w:t xml:space="preserve">ثالثاً: نموذج عقد بيع منقول / Third: Model Contract for the Sale of Movable Property</w:t>
      </w:r>
    </w:p>
    <w:p>
      <w:pPr>
        <w:bidi/>
      </w:pPr>
      <w:r>
        <w:rPr>
          <w:b/>
          <w:rtl/>
        </w:rPr>
        <w:t xml:space="preserve">عقد بيع منقول</w:t>
      </w:r>
      <w:r>
        <w:rPr>
          <w:rtl/>
        </w:rPr>
        <w:t xml:space="preserve"> </w:t>
      </w:r>
      <w:r>
        <w:rPr>
          <w:b/>
          <w:rtl/>
        </w:rPr>
        <w:t xml:space="preserve">Contract for the Sale of Movable Property</w:t>
      </w:r>
    </w:p>
    <w:p>
      <w:pPr>
        <w:bidi/>
      </w:pPr>
      <w:r>
        <w:rPr>
          <w:rtl/>
        </w:rPr>
        <w:t xml:space="preserve">حُرّر هذا العقد في إمارة ……………… بتاريخ …… / …… / 2026م، بين كل من: </w:t>
      </w:r>
      <w:r>
        <w:rPr>
          <w:i/>
          <w:rtl/>
        </w:rPr>
        <w:t xml:space="preserve">This contract is made in the Emirate of ……………… on …… / …… / 2026, between:</w:t>
      </w:r>
    </w:p>
    <w:tbl>
      <w:tblPr>
        <w:tblStyle w:val="TableGrid"/>
        <w:tblW w:w="0" w:type="auto"/>
        <w:tblLayout w:type="fixed"/>
        <w:tblLook w:val="04A0" w:firstRow="1" w:lastRow="0" w:firstColumn="0" w:lastColumn="0" w:noHBand="0" w:noVBand="1"/>
      </w:tblPr>
      <w:tblGrid>
        <w:gridCol w:w="4920"/>
        <w:gridCol w:w="2122"/>
        <w:gridCol w:w="2318"/>
      </w:tblGrid>
      <w:tr>
        <w:trPr>
          <w:tblHeader/>
        </w:trPr>
        <w:tc>
          <w:tcPr>
            <w:tcW w:w="4920" w:type="dxa"/>
            <w:shd w:val="clear" w:color="auto" w:fill="F2F2F2"/>
          </w:tcPr>
          <w:p>
            <w:pPr/>
          </w:p>
        </w:tc>
        <w:tc>
          <w:tcPr>
            <w:tcW w:w="2122" w:type="dxa"/>
            <w:shd w:val="clear" w:color="auto" w:fill="F2F2F2"/>
          </w:tcPr>
          <w:p>
            <w:pPr>
              <w:bidi/>
            </w:pPr>
            <w:r>
              <w:rPr>
                <w:rtl/>
              </w:rPr>
              <w:t xml:space="preserve">الطرف الأول (البائع) / First Party (Seller)</w:t>
            </w:r>
          </w:p>
        </w:tc>
        <w:tc>
          <w:tcPr>
            <w:tcW w:w="2318" w:type="dxa"/>
            <w:shd w:val="clear" w:color="auto" w:fill="F2F2F2"/>
          </w:tcPr>
          <w:p>
            <w:pPr>
              <w:bidi/>
            </w:pPr>
            <w:r>
              <w:rPr>
                <w:rtl/>
              </w:rPr>
              <w:t xml:space="preserve">الطرف الثاني (المشتري) / Second Party (Buyer)</w:t>
            </w:r>
          </w:p>
        </w:tc>
      </w:tr>
      <w:tr>
        <w:tc>
          <w:tcPr>
            <w:tcW w:w="4920" w:type="dxa"/>
          </w:tcPr>
          <w:p>
            <w:pPr>
              <w:bidi/>
            </w:pPr>
            <w:r>
              <w:rPr>
                <w:rtl/>
              </w:rPr>
              <w:t xml:space="preserve">الاسم / Name</w:t>
            </w:r>
          </w:p>
        </w:tc>
        <w:tc>
          <w:tcPr>
            <w:tcW w:w="2122" w:type="dxa"/>
          </w:tcPr>
          <w:p>
            <w:pPr/>
          </w:p>
        </w:tc>
        <w:tc>
          <w:tcPr>
            <w:tcW w:w="2318" w:type="dxa"/>
          </w:tcPr>
          <w:p>
            <w:pPr/>
          </w:p>
        </w:tc>
      </w:tr>
      <w:tr>
        <w:tc>
          <w:tcPr>
            <w:tcW w:w="4920" w:type="dxa"/>
          </w:tcPr>
          <w:p>
            <w:pPr>
              <w:bidi/>
            </w:pPr>
            <w:r>
              <w:rPr>
                <w:rtl/>
              </w:rPr>
              <w:t xml:space="preserve">الجنسية / Nationality</w:t>
            </w:r>
          </w:p>
        </w:tc>
        <w:tc>
          <w:tcPr>
            <w:tcW w:w="2122" w:type="dxa"/>
          </w:tcPr>
          <w:p>
            <w:pPr/>
          </w:p>
        </w:tc>
        <w:tc>
          <w:tcPr>
            <w:tcW w:w="2318" w:type="dxa"/>
          </w:tcPr>
          <w:p>
            <w:pPr/>
          </w:p>
        </w:tc>
      </w:tr>
      <w:tr>
        <w:tc>
          <w:tcPr>
            <w:tcW w:w="4920" w:type="dxa"/>
          </w:tcPr>
          <w:p>
            <w:pPr>
              <w:bidi/>
            </w:pPr>
            <w:r>
              <w:rPr>
                <w:rtl/>
              </w:rPr>
              <w:t xml:space="preserve">رقم الهوية الإماراتية أو جواز السفر / Emirates ID or Passport No.</w:t>
            </w:r>
          </w:p>
        </w:tc>
        <w:tc>
          <w:tcPr>
            <w:tcW w:w="2122" w:type="dxa"/>
          </w:tcPr>
          <w:p>
            <w:pPr/>
          </w:p>
        </w:tc>
        <w:tc>
          <w:tcPr>
            <w:tcW w:w="2318" w:type="dxa"/>
          </w:tcPr>
          <w:p>
            <w:pPr/>
          </w:p>
        </w:tc>
      </w:tr>
      <w:tr>
        <w:tc>
          <w:tcPr>
            <w:tcW w:w="4920" w:type="dxa"/>
          </w:tcPr>
          <w:p>
            <w:pPr>
              <w:bidi/>
            </w:pPr>
            <w:r>
              <w:rPr>
                <w:rtl/>
              </w:rPr>
              <w:t xml:space="preserve">العنوان / Address</w:t>
            </w:r>
          </w:p>
        </w:tc>
        <w:tc>
          <w:tcPr>
            <w:tcW w:w="2122" w:type="dxa"/>
          </w:tcPr>
          <w:p>
            <w:pPr/>
          </w:p>
        </w:tc>
        <w:tc>
          <w:tcPr>
            <w:tcW w:w="2318" w:type="dxa"/>
          </w:tcPr>
          <w:p>
            <w:pPr/>
          </w:p>
        </w:tc>
      </w:tr>
      <w:tr>
        <w:tc>
          <w:tcPr>
            <w:tcW w:w="4920" w:type="dxa"/>
          </w:tcPr>
          <w:p>
            <w:pPr>
              <w:bidi/>
            </w:pPr>
            <w:r>
              <w:rPr>
                <w:rtl/>
              </w:rPr>
              <w:t xml:space="preserve">الهاتف والبريد الإلكتروني / Phone and Email</w:t>
            </w:r>
          </w:p>
        </w:tc>
        <w:tc>
          <w:tcPr>
            <w:tcW w:w="2122" w:type="dxa"/>
          </w:tcPr>
          <w:p>
            <w:pPr/>
          </w:p>
        </w:tc>
        <w:tc>
          <w:tcPr>
            <w:tcW w:w="2318" w:type="dxa"/>
          </w:tcPr>
          <w:p>
            <w:pPr/>
          </w:p>
        </w:tc>
      </w:tr>
    </w:tbl>
    <w:p>
      <w:pPr>
        <w:pStyle w:val="Heading3"/>
        <w:bidi/>
      </w:pPr>
      <w:r>
        <w:rPr>
          <w:rtl/>
        </w:rPr>
        <w:t xml:space="preserve">التمهيد / Recitals</w:t>
      </w:r>
    </w:p>
    <w:p>
      <w:pPr>
        <w:bidi/>
      </w:pPr>
      <w:r>
        <w:rPr>
          <w:rtl/>
        </w:rPr>
        <w:t xml:space="preserve">لما كان الطرف الأول مالكاً للمنقول الموصوف في البند الأول ملكية تامة، وله حق التصرف فيه، ولما كان الطرف الثاني قد عاين المبيع معاينة نافية للجهالة ورغب في شرائه، فقد اتفق الطرفان، وهما بكامل أهليتهما المعتبرة قانوناً، على ما يلي. ويُعدّ هذا التمهيد جزءاً لا يتجزأ من العقد.</w:t>
      </w:r>
    </w:p>
    <w:p>
      <w:pPr/>
      <w:r>
        <w:rPr>
          <w:i/>
        </w:rPr>
        <w:t xml:space="preserve">Whereas the First Party fully owns the movable property described in Clause 1 and has the right to dispose of it, and the Second Party has inspected it sufficiently and wishes to buy it, the Parties, having full legal capacity, agree as follows. These recitals form an integral part of this contract.</w:t>
      </w:r>
    </w:p>
    <w:p>
      <w:pPr>
        <w:pStyle w:val="Heading3"/>
        <w:bidi/>
      </w:pPr>
      <w:r>
        <w:rPr>
          <w:rtl/>
        </w:rPr>
        <w:t xml:space="preserve">البند الأول: المبيع / Clause 1: The Goods</w:t>
      </w:r>
    </w:p>
    <w:p>
      <w:pPr>
        <w:bidi/>
      </w:pPr>
      <w:r>
        <w:rPr>
          <w:rtl/>
        </w:rPr>
        <w:t xml:space="preserve">باع الطرف الأول إلى الطرف الثاني، الذي قبل الشراء، المنقول الآتي: ……………………………… (مثال: عدد 20 مكتباً و20 كرسياً مكتبياً مستعملاً من نوع ………، بحالة جيدة، وفق الكشف المرفق). ويقر الطرف الثاني بأنه عاين المبيع وعلم به علماً كافياً (المادة 446).</w:t>
      </w:r>
    </w:p>
    <w:p>
      <w:pPr/>
      <w:r>
        <w:rPr>
          <w:i/>
        </w:rPr>
        <w:t xml:space="preserve">The First Party sells to the Second Party, who accepts, the following: ……………………… (e.g. 20 used office desks and 20 office chairs, make ………, in good condition, as listed in the attached schedule). The Second Party acknowledges having inspected the goods and having sufficient knowledge of them (Art. 446).</w:t>
      </w:r>
    </w:p>
    <w:p>
      <w:pPr>
        <w:pStyle w:val="Heading3"/>
        <w:bidi/>
      </w:pPr>
      <w:r>
        <w:rPr>
          <w:rtl/>
        </w:rPr>
        <w:t xml:space="preserve">البند الثاني: الثمن وطريقة الدفع / Clause 2: Price and Payment</w:t>
      </w:r>
    </w:p>
    <w:p>
      <w:pPr>
        <w:bidi/>
      </w:pPr>
      <w:r>
        <w:rPr>
          <w:rtl/>
        </w:rPr>
        <w:t xml:space="preserve">اتفق الطرفان على أن الثمن الإجمالي هو (……………) درهم إماراتي، يُدفع على النحو الآتي:</w:t>
      </w:r>
    </w:p>
    <w:p>
      <w:pPr>
        <w:pStyle w:val="ListParagraph"/>
        <w:numPr>
          <w:ilvl w:val="0"/>
          <w:numId w:val="3"/>
        </w:numPr>
        <w:bidi/>
      </w:pPr>
      <w:r>
        <w:rPr>
          <w:rtl/>
        </w:rPr>
        <w:t xml:space="preserve">دفعة أولى قدرها (………) درهم عند التوقيع، بموجب ☐ نقداً ☐ تحويل بنكي ☐ شيك.</w:t>
      </w:r>
    </w:p>
    <w:p>
      <w:pPr>
        <w:pStyle w:val="ListParagraph"/>
        <w:numPr>
          <w:ilvl w:val="0"/>
          <w:numId w:val="3"/>
        </w:numPr>
        <w:bidi/>
      </w:pPr>
      <w:r>
        <w:rPr>
          <w:rtl/>
        </w:rPr>
        <w:t xml:space="preserve">الباقي وقدره (………) درهم على (……) أقساط شهرية متساوية، يستحق أولها بتاريخ …… / …… / 2026.</w:t>
      </w:r>
    </w:p>
    <w:p>
      <w:pPr/>
      <w:r>
        <w:rPr>
          <w:i/>
        </w:rPr>
        <w:t xml:space="preserve">The total price is AED (……………), payable as follows: a first payment of AED (………) on signing, by ☐ cash ☐ bank transfer ☐ cheque; and the balance of AED (………) in (……) equal monthly instalments, the first due on …… / …… / 2026.</w:t>
      </w:r>
    </w:p>
    <w:p>
      <w:pPr>
        <w:pStyle w:val="Heading3"/>
        <w:bidi/>
      </w:pPr>
      <w:r>
        <w:rPr>
          <w:rtl/>
        </w:rPr>
        <w:t xml:space="preserve">البند الثالث: التسليم وتبعة الهلاك / Clause 3: Delivery and Risk</w:t>
      </w:r>
    </w:p>
    <w:p>
      <w:pPr>
        <w:bidi/>
      </w:pPr>
      <w:r>
        <w:rPr>
          <w:rtl/>
        </w:rPr>
        <w:t xml:space="preserve">يلتزم الطرف الأول بتسليم المبيع بحالته وقت التعاقد، مع ملحقاته، في العنوان الآتي: ……………… بتاريخ …… / …… / 2026. ويتحمل الطرف الأول تبعة هلاك المبيع قبل التسليم، فإذا أخطر الطرف الثاني بالتسلم ولم يتسلم دون عذر انتقلت إليه تبعة الهلاك (المواد 469، 481، 482).</w:t>
      </w:r>
    </w:p>
    <w:p>
      <w:pPr/>
      <w:r>
        <w:rPr>
          <w:i/>
        </w:rPr>
        <w:t xml:space="preserve">The First Party shall deliver the goods in their condition at the time of contracting, with their accessories, at ……………… on …… / …… / 2026. The First Party bears the risk of loss before delivery. If the Second Party is notified to take delivery and fails to do so without excuse, the risk passes to it (Arts. 469, 481, 482).</w:t>
      </w:r>
    </w:p>
    <w:p>
      <w:pPr>
        <w:pStyle w:val="Heading3"/>
        <w:bidi/>
      </w:pPr>
      <w:r>
        <w:rPr>
          <w:rtl/>
        </w:rPr>
        <w:t xml:space="preserve">البند الرابع: انتقال الملكية والاحتفاظ بها / Clause 4: Transfer and Retention of Title</w:t>
      </w:r>
    </w:p>
    <w:p>
      <w:pPr>
        <w:bidi/>
      </w:pPr>
      <w:r>
        <w:rPr>
          <w:rtl/>
        </w:rPr>
        <w:t xml:space="preserve">تبقى ملكية المبيع للطرف الأول إلى حين سداد الثمن كاملاً، ولو تم التسليم، وتنتقل الملكية إلى الطرف الثاني تلقائياً بسداد آخر قسط (المادة 468). ويلتزم الطرف الأول باتخاذ كل ما يلزم لنقل الملكية (المادة 466).</w:t>
      </w:r>
    </w:p>
    <w:p>
      <w:pPr/>
      <w:r>
        <w:rPr>
          <w:i/>
        </w:rPr>
        <w:t xml:space="preserve">Title remains with the First Party until the full price is paid, even after delivery, and passes automatically to the Second Party on payment of the last instalment (Art. 468). The First Party shall take all steps necessary to transfer ownership (Art. 466).</w:t>
      </w:r>
    </w:p>
    <w:p>
      <w:pPr>
        <w:pStyle w:val="Heading3"/>
        <w:bidi/>
      </w:pPr>
      <w:r>
        <w:rPr>
          <w:rtl/>
        </w:rPr>
        <w:t xml:space="preserve">البند الخامس: الضمان / Clause 5: Warranties</w:t>
      </w:r>
    </w:p>
    <w:p>
      <w:pPr>
        <w:bidi/>
      </w:pPr>
      <w:r>
        <w:rPr>
          <w:rtl/>
        </w:rPr>
        <w:t xml:space="preserve">يضمن الطرف الأول أن المبيع مملوك له وخالٍ من أي حق للغير، ويضمن عدم التعرض للطرف الثاني (المواد 483–490). كما يضمن خلو المبيع من العيوب الخفية، فإذا ظهر عيب خفي سابق على التسليم، كان للطرف الثاني رد المبيع أو الاحتفاظ به مع إنقاص الثمن، ويجوز للطرف الأول تقديم بديل سليم. ولا تُسمع دعوى العيب بعد سنة من اليوم التالي للتسلم، ما لم يكن البائع قد أخفى العيب غشاً (المواد 493–495، 510).</w:t>
      </w:r>
    </w:p>
    <w:p>
      <w:pPr/>
      <w:r>
        <w:rPr>
          <w:i/>
        </w:rPr>
        <w:t xml:space="preserve">The First Party warrants that it owns the goods free of any third-party right and that the Second Party will not be disturbed in its possession (Arts. 483–490). It also warrants the goods against hidden defects. If a hidden defect existing before delivery appears, the Second Party may return the goods or keep them with a price reduction, and the First Party may offer a sound replacement. No defect claim may be heard after one year from the day following delivery, unless the seller concealed the defect by fraud (Arts. 493–495, 510).</w:t>
      </w:r>
    </w:p>
    <w:p>
      <w:pPr>
        <w:pStyle w:val="Heading3"/>
        <w:bidi/>
      </w:pPr>
      <w:r>
        <w:rPr>
          <w:rtl/>
        </w:rPr>
        <w:t xml:space="preserve">البند السادس: الإخلال والفسخ / Clause 6: Breach and Termination</w:t>
      </w:r>
    </w:p>
    <w:p>
      <w:pPr>
        <w:bidi/>
      </w:pPr>
      <w:r>
        <w:rPr>
          <w:rtl/>
        </w:rPr>
        <w:t xml:space="preserve">إذا تأخر الطرف الثاني في سداد قسطين متتاليين، وجب على الطرف الأول إنذاره كتابياً بمهلة (15) يوماً. فإذا لم يسدد، جاز للطرف الأول طلب الفسخ واسترداد المبيع، مع الاحتفاظ بجزء من المدفوع تعويضاً، وللمحكمة تخفيض هذا التعويض إذا كان مبالغاً فيه (المادة 468). وفي جميع الأحوال، للطرف المتضرر المطالبة بالتنفيذ أو بالتعويض وفق القانون.</w:t>
      </w:r>
    </w:p>
    <w:p>
      <w:pPr/>
      <w:r>
        <w:rPr>
          <w:i/>
        </w:rPr>
        <w:t xml:space="preserve">If the Second Party fails to pay two consecutive instalments, the First Party shall give it written notice of (15) days. If payment is not made, the First Party may seek termination and recover the goods, retaining part of the amount paid as compensation, which the court may reduce if excessive (Art. 468). In all cases, the injured party may claim performance or damages under the law.</w:t>
      </w:r>
    </w:p>
    <w:p>
      <w:pPr>
        <w:pStyle w:val="Heading3"/>
        <w:bidi/>
      </w:pPr>
      <w:r>
        <w:rPr>
          <w:rtl/>
        </w:rPr>
        <w:t xml:space="preserve">البند السابع: النفقات / Clause 7: Expenses</w:t>
      </w:r>
    </w:p>
    <w:p>
      <w:pPr>
        <w:bidi/>
      </w:pPr>
      <w:r>
        <w:rPr>
          <w:rtl/>
        </w:rPr>
        <w:t xml:space="preserve">يتحمل الطرف الأول نفقات التسليم، ويتحمل الطرف الثاني نفقات دفع الثمن وأي رسوم تسجيل (المادة 521).</w:t>
      </w:r>
    </w:p>
    <w:p>
      <w:pPr/>
      <w:r>
        <w:rPr>
          <w:i/>
        </w:rPr>
        <w:t xml:space="preserve">The First Party bears the delivery costs; the Second Party bears the costs of payment and any registration fees (Art. 521).</w:t>
      </w:r>
    </w:p>
    <w:p>
      <w:pPr>
        <w:pStyle w:val="Heading3"/>
        <w:bidi/>
      </w:pPr>
      <w:r>
        <w:rPr>
          <w:rtl/>
        </w:rPr>
        <w:t xml:space="preserve">البند الثامن: القانون الواجب التطبيق والاختصاص / Clause 8: Governing Law and Jurisdiction</w:t>
      </w:r>
    </w:p>
    <w:p>
      <w:pPr>
        <w:bidi/>
      </w:pPr>
      <w:r>
        <w:rPr>
          <w:rtl/>
        </w:rPr>
        <w:t xml:space="preserve">يخضع هذا العقد لقانون المعاملات المدنية الصادر بالمرسوم بقانون اتحادي رقم (25) لسنة 2025، وتختص محاكم إمارة ……………… بنظر أي نزاع ينشأ عنه.</w:t>
      </w:r>
    </w:p>
    <w:p>
      <w:pPr/>
      <w:r>
        <w:rPr>
          <w:i/>
        </w:rPr>
        <w:t xml:space="preserve">This contract is governed by the Civil Transactions Law issued by Federal Decree-Law No. 25 of 2025. The courts of the Emirate of ……………… have jurisdiction over any dispute arising from it.</w:t>
      </w:r>
    </w:p>
    <w:p>
      <w:pPr>
        <w:pStyle w:val="Heading3"/>
        <w:bidi/>
      </w:pPr>
      <w:r>
        <w:rPr>
          <w:rtl/>
        </w:rPr>
        <w:t xml:space="preserve">البند التاسع: اللغة والنسخ / Clause 9: Language and Copies</w:t>
      </w:r>
    </w:p>
    <w:p>
      <w:pPr>
        <w:bidi/>
      </w:pPr>
      <w:r>
        <w:rPr>
          <w:rtl/>
        </w:rPr>
        <w:t xml:space="preserve">حُرّر هذا العقد باللغتين العربية والإنجليزية من نسختين أصليتين، بيد كل طرف نسخة. وعند الاختلاف يُعتمد النص العربي.</w:t>
      </w:r>
    </w:p>
    <w:p>
      <w:pPr/>
      <w:r>
        <w:rPr>
          <w:i/>
        </w:rPr>
        <w:t xml:space="preserve">This contract is made in Arabic and English in two originals, one for each Party. In case of conflict, the Arabic text prevails.</w:t>
      </w:r>
    </w:p>
    <w:tbl>
      <w:tblPr>
        <w:tblStyle w:val="TableGrid"/>
        <w:tblW w:w="0" w:type="auto"/>
        <w:tblLayout w:type="fixed"/>
        <w:tblLook w:val="04A0" w:firstRow="1" w:lastRow="0" w:firstColumn="0" w:lastColumn="0" w:noHBand="0" w:noVBand="1"/>
      </w:tblPr>
      <w:tblGrid>
        <w:gridCol w:w="3043"/>
        <w:gridCol w:w="3040"/>
        <w:gridCol w:w="3277"/>
      </w:tblGrid>
      <w:tr>
        <w:trPr>
          <w:tblHeader/>
        </w:trPr>
        <w:tc>
          <w:tcPr>
            <w:tcW w:w="3043" w:type="dxa"/>
            <w:shd w:val="clear" w:color="auto" w:fill="F2F2F2"/>
          </w:tcPr>
          <w:p>
            <w:pPr/>
          </w:p>
        </w:tc>
        <w:tc>
          <w:tcPr>
            <w:tcW w:w="3040" w:type="dxa"/>
            <w:shd w:val="clear" w:color="auto" w:fill="F2F2F2"/>
          </w:tcPr>
          <w:p>
            <w:pPr>
              <w:bidi/>
            </w:pPr>
            <w:r>
              <w:rPr>
                <w:rtl/>
              </w:rPr>
              <w:t xml:space="preserve">الطرف الأول (البائع) / Seller</w:t>
            </w:r>
          </w:p>
        </w:tc>
        <w:tc>
          <w:tcPr>
            <w:tcW w:w="3277" w:type="dxa"/>
            <w:shd w:val="clear" w:color="auto" w:fill="F2F2F2"/>
          </w:tcPr>
          <w:p>
            <w:pPr>
              <w:bidi/>
            </w:pPr>
            <w:r>
              <w:rPr>
                <w:rtl/>
              </w:rPr>
              <w:t xml:space="preserve">الطرف الثاني (المشتري) / Buyer</w:t>
            </w:r>
          </w:p>
        </w:tc>
      </w:tr>
      <w:tr>
        <w:tc>
          <w:tcPr>
            <w:tcW w:w="3043" w:type="dxa"/>
          </w:tcPr>
          <w:p>
            <w:pPr>
              <w:bidi/>
            </w:pPr>
            <w:r>
              <w:rPr>
                <w:rtl/>
              </w:rPr>
              <w:t xml:space="preserve">الاسم / Name</w:t>
            </w:r>
          </w:p>
        </w:tc>
        <w:tc>
          <w:tcPr>
            <w:tcW w:w="3040" w:type="dxa"/>
          </w:tcPr>
          <w:p>
            <w:pPr/>
          </w:p>
        </w:tc>
        <w:tc>
          <w:tcPr>
            <w:tcW w:w="3277" w:type="dxa"/>
          </w:tcPr>
          <w:p>
            <w:pPr/>
          </w:p>
        </w:tc>
      </w:tr>
      <w:tr>
        <w:tc>
          <w:tcPr>
            <w:tcW w:w="3043" w:type="dxa"/>
          </w:tcPr>
          <w:p>
            <w:pPr>
              <w:bidi/>
            </w:pPr>
            <w:r>
              <w:rPr>
                <w:rtl/>
              </w:rPr>
              <w:t xml:space="preserve">التوقيع / Signature</w:t>
            </w:r>
          </w:p>
        </w:tc>
        <w:tc>
          <w:tcPr>
            <w:tcW w:w="3040" w:type="dxa"/>
          </w:tcPr>
          <w:p>
            <w:pPr/>
          </w:p>
        </w:tc>
        <w:tc>
          <w:tcPr>
            <w:tcW w:w="3277" w:type="dxa"/>
          </w:tcPr>
          <w:p>
            <w:pPr/>
          </w:p>
        </w:tc>
      </w:tr>
      <w:tr>
        <w:tc>
          <w:tcPr>
            <w:tcW w:w="3043" w:type="dxa"/>
          </w:tcPr>
          <w:p>
            <w:pPr>
              <w:bidi/>
            </w:pPr>
            <w:r>
              <w:rPr>
                <w:rtl/>
              </w:rPr>
              <w:t xml:space="preserve">التاريخ / Date</w:t>
            </w:r>
          </w:p>
        </w:tc>
        <w:tc>
          <w:tcPr>
            <w:tcW w:w="3040" w:type="dxa"/>
          </w:tcPr>
          <w:p>
            <w:pPr/>
          </w:p>
        </w:tc>
        <w:tc>
          <w:tcPr>
            <w:tcW w:w="3277" w:type="dxa"/>
          </w:tcPr>
          <w:p>
            <w:pPr/>
          </w:p>
        </w:tc>
      </w:tr>
      <w:tr>
        <w:tc>
          <w:tcPr>
            <w:tcW w:w="3043" w:type="dxa"/>
          </w:tcPr>
          <w:p>
            <w:pPr>
              <w:bidi/>
            </w:pPr>
            <w:r>
              <w:rPr>
                <w:rtl/>
              </w:rPr>
              <w:t xml:space="preserve">شاهد / Witness</w:t>
            </w:r>
          </w:p>
        </w:tc>
        <w:tc>
          <w:tcPr>
            <w:tcW w:w="3040" w:type="dxa"/>
          </w:tcPr>
          <w:p>
            <w:pPr/>
          </w:p>
        </w:tc>
        <w:tc>
          <w:tcPr>
            <w:tcW w:w="3277" w:type="dxa"/>
          </w:tcPr>
          <w:p>
            <w:pPr/>
          </w:p>
        </w:tc>
      </w:tr>
    </w:tbl>
    <w:p>
      <w:pPr>
        <w:pStyle w:val="Heading2"/>
        <w:bidi/>
      </w:pPr>
      <w:r>
        <w:rPr>
          <w:rtl/>
        </w:rPr>
        <w:t xml:space="preserve">الخاتمة</w:t>
      </w:r>
    </w:p>
    <w:p>
      <w:pPr>
        <w:bidi/>
      </w:pPr>
      <w:r>
        <w:rPr>
          <w:rtl/>
        </w:rPr>
        <w:t xml:space="preserve">يتبين من هذا الواجب أن قانون المعاملات المدنية الجديد عزّز التوازن بين طرفي عقد البيع. فقد منح المشتري حماية أوسع، من خلال إطالة مدة دعوى العيب الخفي إلى سنة، وإتاحة خيار إنقاص الثمن مع الاحتفاظ بالمبيع. وفي المقابل، حمى البائع بإقرار شرط الاحتفاظ بالملكية حتى سداد الثمن كاملاً.</w:t>
      </w:r>
    </w:p>
    <w:p>
      <w:pPr>
        <w:bidi/>
      </w:pPr>
      <w:r>
        <w:rPr>
          <w:rtl/>
        </w:rPr>
        <w:t xml:space="preserve">كما يظهر من نموذج العقد أن الصياغة الدقيقة هي خط الدفاع الأول ضد النزاعات. فتحديد المبيع والثمن وموعد التسليم وتبعة الهلاك وآلية الفسخ بشكل صريح، مع الإحالة إلى المواد القانونية ذات الصلة، يجعل العقد واضحاً للطرفين وقابلاً للتنفيذ أمام القضاء.</w:t>
      </w:r>
    </w:p>
    <w:p>
      <w:pPr>
        <w:pStyle w:val="Heading2"/>
      </w:pPr>
      <w:r>
        <w:t xml:space="preserve">Conclusion</w:t>
      </w:r>
    </w:p>
    <w:p>
      <w:pPr/>
      <w:r>
        <w:t xml:space="preserve">The new Civil Transactions Law strikes a better balance between the parties to a sale. It protects the buyer by extending the hidden-defect claim period to one year and allowing a price reduction while keeping the goods. It protects the seller by recognising retention of title until full payment.</w:t>
      </w:r>
    </w:p>
    <w:p>
      <w:pPr/>
      <w:r>
        <w:t xml:space="preserve">The model contract also shows that precise drafting is the first defence against disputes. Clearly defining the goods, price, delivery date, risk and termination mechanism, with reference to the relevant articles, makes the contract clear to both parties and enforceable in court.</w:t>
      </w:r>
    </w:p>
    <w:p>
      <w:pPr>
        <w:pStyle w:val="Heading2"/>
        <w:bidi/>
      </w:pPr>
      <w:r>
        <w:rPr>
          <w:rtl/>
        </w:rPr>
        <w:t xml:space="preserve">المراجع / References</w:t>
      </w:r>
    </w:p>
    <w:p>
      <w:pPr>
        <w:bidi/>
      </w:pPr>
      <w:r>
        <w:rPr>
          <w:i/>
          <w:rtl/>
        </w:rPr>
        <w:t xml:space="preserve">(وفق نظام APA، الإصدار السابع)</w:t>
      </w:r>
    </w:p>
    <w:p>
      <w:pPr>
        <w:bidi/>
      </w:pPr>
      <w:r>
        <w:rPr>
          <w:rtl/>
        </w:rPr>
        <w:t xml:space="preserve">مرسوم بقانون اتحادي رقم (25) لسنة 2025 بإصدار قانون المعاملات المدنية. (2025). </w:t>
      </w:r>
      <w:r>
        <w:rPr>
          <w:i/>
          <w:rtl/>
        </w:rPr>
        <w:t xml:space="preserve">الجريدة الرسمية لدولة الإمارات العربية المتحدة</w:t>
      </w:r>
      <w:r>
        <w:rPr>
          <w:rtl/>
        </w:rPr>
        <w:t xml:space="preserve">. </w:t>
      </w:r>
      <w:hyperlink r:id="rId3" w:history="1">
        <w:r>
          <w:rPr>
            <w:rStyle w:val="Hyperlink"/>
            <w:rtl/>
          </w:rPr>
          <w:t xml:space="preserve">https://uaelegislation.gov.ae/ar/legislations/4011/download</w:t>
        </w:r>
      </w:hyperlink>
    </w:p>
    <w:p>
      <w:pPr/>
      <w:r>
        <w:t xml:space="preserve">Afridi &amp; Angell. (n.d.). </w:t>
      </w:r>
      <w:r>
        <w:rPr>
          <w:i/>
        </w:rPr>
        <w:t xml:space="preserve">The new UAE Civil Transactions Law: Key changes to sale contracts</w:t>
      </w:r>
      <w:r>
        <w:t xml:space="preserve">. </w:t>
      </w:r>
      <w:hyperlink r:id="rId4" w:history="1">
        <w:r>
          <w:rPr>
            <w:rStyle w:val="Hyperlink"/>
          </w:rPr>
          <w:t xml:space="preserve">https://afridi-angell.com/the-new-uae-civil-transactions-law-key-changes-to-sale-contracts/</w:t>
        </w:r>
      </w:hyperlink>
    </w:p>
    <w:p>
      <w:pPr/>
      <w:r>
        <w:t xml:space="preserve">Al Suwaidi &amp; Company. (n.d.). </w:t>
      </w:r>
      <w:r>
        <w:rPr>
          <w:i/>
        </w:rPr>
        <w:t xml:space="preserve">Key updates to UAE Civil Code rules on sale contracts</w:t>
      </w:r>
      <w:r>
        <w:t xml:space="preserve">. Retrieved October 28, 2026, from </w:t>
      </w:r>
      <w:hyperlink r:id="rId5" w:history="1">
        <w:r>
          <w:rPr>
            <w:rStyle w:val="Hyperlink"/>
          </w:rPr>
          <w:t xml:space="preserve">https://alsuwaidi.ae/key-updates-to-uae-civil-code-rules-on-sale-contracts/</w:t>
        </w:r>
      </w:hyperlink>
    </w:p>
    <w:p>
      <w:pPr/>
      <w:r>
        <w:t xml:space="preserve">UAE Legal Notes. (n.d.). </w:t>
      </w:r>
      <w:r>
        <w:rPr>
          <w:i/>
        </w:rPr>
        <w:t xml:space="preserve">Civil Transactions Law 2025: Book Two</w:t>
      </w:r>
      <w:r>
        <w:t xml:space="preserve"> [Unofficial English translation]. Retrieved October 28, 2026, from </w:t>
      </w:r>
      <w:hyperlink r:id="rId6" w:history="1">
        <w:r>
          <w:rPr>
            <w:rStyle w:val="Hyperlink"/>
          </w:rPr>
          <w:t xml:space="preserve">https://uae.shushin.io/contractlaw/civil-transactions-law-2025/book-2</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uaelegislation.gov.ae/ar/legislations/4011/download" TargetMode="External"/><Relationship Id="rId4" Type="http://schemas.openxmlformats.org/officeDocument/2006/relationships/hyperlink" Target="https://afridi-angell.com/the-new-uae-civil-transactions-law-key-changes-to-sale-contracts/" TargetMode="External"/><Relationship Id="rId5" Type="http://schemas.openxmlformats.org/officeDocument/2006/relationships/hyperlink" Target="https://alsuwaidi.ae/key-updates-to-uae-civil-code-rules-on-sale-contracts/" TargetMode="External"/><Relationship Id="rId6" Type="http://schemas.openxmlformats.org/officeDocument/2006/relationships/hyperlink" Target="https://uae.shushin.io/contractlaw/civil-transactions-law-2025/book-2"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عقد بيع وفقاً لقانون دولة الإمارات العربية المتحدة</dc:title>
  <dc:description>Claude Docs node/7b37e179-f10f@14 docx-w7</dc:description>
  <cp:revision>14</cp:revision>
</cp:coreProperties>
</file>