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6A" w:rsidRDefault="00C45DB0" w:rsidP="00C45DB0">
      <w:pPr>
        <w:jc w:val="center"/>
        <w:rPr>
          <w:rFonts w:ascii="Times New Roman" w:hAnsi="Times New Roman" w:cs="Times New Roman"/>
          <w:b/>
          <w:sz w:val="24"/>
          <w:szCs w:val="24"/>
        </w:rPr>
      </w:pPr>
      <w:r w:rsidRPr="00C45DB0">
        <w:rPr>
          <w:rFonts w:ascii="Times New Roman" w:hAnsi="Times New Roman" w:cs="Times New Roman"/>
          <w:b/>
          <w:sz w:val="24"/>
          <w:szCs w:val="24"/>
        </w:rPr>
        <w:t>REVIEW JURNAL INTERNASIONAL ETIKA PELAYANAN</w:t>
      </w:r>
    </w:p>
    <w:tbl>
      <w:tblPr>
        <w:tblStyle w:val="TableGrid"/>
        <w:tblW w:w="0" w:type="auto"/>
        <w:tblLook w:val="04A0"/>
      </w:tblPr>
      <w:tblGrid>
        <w:gridCol w:w="4621"/>
        <w:gridCol w:w="4621"/>
      </w:tblGrid>
      <w:tr w:rsidR="00C45DB0" w:rsidTr="00C45DB0">
        <w:tc>
          <w:tcPr>
            <w:tcW w:w="4621" w:type="dxa"/>
          </w:tcPr>
          <w:p w:rsidR="00C45DB0" w:rsidRPr="00D54835" w:rsidRDefault="00C45DB0" w:rsidP="00C45DB0">
            <w:pPr>
              <w:rPr>
                <w:rFonts w:ascii="Times New Roman" w:hAnsi="Times New Roman" w:cs="Times New Roman"/>
              </w:rPr>
            </w:pPr>
            <w:r w:rsidRPr="00D54835">
              <w:rPr>
                <w:rFonts w:ascii="Times New Roman" w:hAnsi="Times New Roman" w:cs="Times New Roman"/>
              </w:rPr>
              <w:t xml:space="preserve">Judul </w:t>
            </w:r>
          </w:p>
        </w:tc>
        <w:tc>
          <w:tcPr>
            <w:tcW w:w="4621" w:type="dxa"/>
          </w:tcPr>
          <w:p w:rsidR="00C45DB0" w:rsidRPr="00D54835" w:rsidRDefault="00C45DB0" w:rsidP="00C45DB0">
            <w:pPr>
              <w:rPr>
                <w:rFonts w:ascii="Times New Roman" w:hAnsi="Times New Roman" w:cs="Times New Roman"/>
              </w:rPr>
            </w:pPr>
            <w:r w:rsidRPr="00D54835">
              <w:rPr>
                <w:rFonts w:ascii="Times New Roman" w:hAnsi="Times New Roman" w:cs="Times New Roman"/>
              </w:rPr>
              <w:t xml:space="preserve">An ethical quandary that dare not speak </w:t>
            </w:r>
            <w:r w:rsidR="00EF234D" w:rsidRPr="00D54835">
              <w:rPr>
                <w:rFonts w:ascii="Times New Roman" w:hAnsi="Times New Roman" w:cs="Times New Roman"/>
              </w:rPr>
              <w:t>its name: Archival privacy and access to queer erotica</w:t>
            </w:r>
          </w:p>
        </w:tc>
      </w:tr>
      <w:tr w:rsidR="00C45DB0" w:rsidTr="00C45DB0">
        <w:tc>
          <w:tcPr>
            <w:tcW w:w="4621" w:type="dxa"/>
          </w:tcPr>
          <w:p w:rsidR="00C45DB0" w:rsidRPr="00D54835" w:rsidRDefault="00EF234D" w:rsidP="00EF234D">
            <w:pPr>
              <w:rPr>
                <w:rFonts w:ascii="Times New Roman" w:hAnsi="Times New Roman" w:cs="Times New Roman"/>
              </w:rPr>
            </w:pPr>
            <w:r w:rsidRPr="00D54835">
              <w:rPr>
                <w:rFonts w:ascii="Times New Roman" w:hAnsi="Times New Roman" w:cs="Times New Roman"/>
              </w:rPr>
              <w:t xml:space="preserve">Volume </w:t>
            </w:r>
          </w:p>
        </w:tc>
        <w:tc>
          <w:tcPr>
            <w:tcW w:w="4621" w:type="dxa"/>
          </w:tcPr>
          <w:p w:rsidR="00C45DB0" w:rsidRPr="004C26B7" w:rsidRDefault="004C26B7" w:rsidP="004C26B7">
            <w:pPr>
              <w:rPr>
                <w:rFonts w:ascii="Times New Roman" w:hAnsi="Times New Roman" w:cs="Times New Roman"/>
              </w:rPr>
            </w:pPr>
            <w:r>
              <w:rPr>
                <w:rFonts w:ascii="Times New Roman" w:hAnsi="Times New Roman" w:cs="Times New Roman"/>
              </w:rPr>
              <w:t>42</w:t>
            </w:r>
          </w:p>
        </w:tc>
      </w:tr>
      <w:tr w:rsidR="00C45DB0" w:rsidTr="00C45DB0">
        <w:tc>
          <w:tcPr>
            <w:tcW w:w="4621" w:type="dxa"/>
          </w:tcPr>
          <w:p w:rsidR="004C26B7" w:rsidRPr="00D54835" w:rsidRDefault="00EF234D" w:rsidP="00EF234D">
            <w:pPr>
              <w:rPr>
                <w:rFonts w:ascii="Times New Roman" w:hAnsi="Times New Roman" w:cs="Times New Roman"/>
              </w:rPr>
            </w:pPr>
            <w:r w:rsidRPr="00D54835">
              <w:rPr>
                <w:rFonts w:ascii="Times New Roman" w:hAnsi="Times New Roman" w:cs="Times New Roman"/>
              </w:rPr>
              <w:t>Tahun</w:t>
            </w:r>
          </w:p>
        </w:tc>
        <w:tc>
          <w:tcPr>
            <w:tcW w:w="4621" w:type="dxa"/>
          </w:tcPr>
          <w:p w:rsidR="00C57D22" w:rsidRPr="00D54835" w:rsidRDefault="00EF234D" w:rsidP="00C57D22">
            <w:pPr>
              <w:autoSpaceDE w:val="0"/>
              <w:autoSpaceDN w:val="0"/>
              <w:adjustRightInd w:val="0"/>
              <w:rPr>
                <w:rFonts w:ascii="Times New Roman" w:hAnsi="Times New Roman" w:cs="Times New Roman"/>
              </w:rPr>
            </w:pPr>
            <w:r w:rsidRPr="00D54835">
              <w:rPr>
                <w:rFonts w:ascii="Times New Roman" w:hAnsi="Times New Roman" w:cs="Times New Roman"/>
              </w:rPr>
              <w:t>2020</w:t>
            </w:r>
            <w:r w:rsidR="00C57D22" w:rsidRPr="00C57D22">
              <w:rPr>
                <w:rFonts w:ascii="Times New Roman" w:hAnsi="Times New Roman" w:cs="Times New Roman"/>
                <w:color w:val="000000"/>
              </w:rPr>
              <w:t xml:space="preserve"> </w:t>
            </w:r>
          </w:p>
          <w:p w:rsidR="00C45DB0" w:rsidRPr="00D54835" w:rsidRDefault="00C45DB0" w:rsidP="00C57D22">
            <w:pPr>
              <w:rPr>
                <w:rFonts w:ascii="Times New Roman" w:hAnsi="Times New Roman" w:cs="Times New Roman"/>
              </w:rPr>
            </w:pPr>
          </w:p>
        </w:tc>
      </w:tr>
      <w:tr w:rsidR="00C45DB0" w:rsidTr="00C45DB0">
        <w:tc>
          <w:tcPr>
            <w:tcW w:w="4621" w:type="dxa"/>
          </w:tcPr>
          <w:p w:rsidR="00C45DB0" w:rsidRPr="00D54835" w:rsidRDefault="00EF234D" w:rsidP="00EF234D">
            <w:pPr>
              <w:rPr>
                <w:rFonts w:ascii="Times New Roman" w:hAnsi="Times New Roman" w:cs="Times New Roman"/>
              </w:rPr>
            </w:pPr>
            <w:r w:rsidRPr="00D54835">
              <w:rPr>
                <w:rFonts w:ascii="Times New Roman" w:hAnsi="Times New Roman" w:cs="Times New Roman"/>
              </w:rPr>
              <w:t xml:space="preserve">Penulis </w:t>
            </w:r>
          </w:p>
        </w:tc>
        <w:tc>
          <w:tcPr>
            <w:tcW w:w="4621" w:type="dxa"/>
          </w:tcPr>
          <w:p w:rsidR="00C45DB0" w:rsidRPr="00D54835" w:rsidRDefault="00EF234D" w:rsidP="00EF234D">
            <w:pPr>
              <w:rPr>
                <w:rFonts w:ascii="Times New Roman" w:hAnsi="Times New Roman" w:cs="Times New Roman"/>
              </w:rPr>
            </w:pPr>
            <w:r w:rsidRPr="00D54835">
              <w:rPr>
                <w:rFonts w:ascii="Times New Roman" w:hAnsi="Times New Roman" w:cs="Times New Roman"/>
              </w:rPr>
              <w:t>Alex H. Poole</w:t>
            </w:r>
          </w:p>
        </w:tc>
      </w:tr>
      <w:tr w:rsidR="00C45DB0" w:rsidTr="00C45DB0">
        <w:tc>
          <w:tcPr>
            <w:tcW w:w="4621" w:type="dxa"/>
          </w:tcPr>
          <w:p w:rsidR="00C45DB0" w:rsidRPr="00D54835" w:rsidRDefault="00EF234D" w:rsidP="00EF234D">
            <w:pPr>
              <w:rPr>
                <w:rFonts w:ascii="Times New Roman" w:hAnsi="Times New Roman" w:cs="Times New Roman"/>
              </w:rPr>
            </w:pPr>
            <w:r w:rsidRPr="00D54835">
              <w:rPr>
                <w:rFonts w:ascii="Times New Roman" w:hAnsi="Times New Roman" w:cs="Times New Roman"/>
              </w:rPr>
              <w:t xml:space="preserve">Reviewer </w:t>
            </w:r>
          </w:p>
        </w:tc>
        <w:tc>
          <w:tcPr>
            <w:tcW w:w="4621" w:type="dxa"/>
          </w:tcPr>
          <w:p w:rsidR="00C45DB0" w:rsidRPr="00D54835" w:rsidRDefault="00EF234D" w:rsidP="00EF234D">
            <w:pPr>
              <w:rPr>
                <w:rFonts w:ascii="Times New Roman" w:hAnsi="Times New Roman" w:cs="Times New Roman"/>
              </w:rPr>
            </w:pPr>
            <w:r w:rsidRPr="00D54835">
              <w:rPr>
                <w:rFonts w:ascii="Times New Roman" w:hAnsi="Times New Roman" w:cs="Times New Roman"/>
              </w:rPr>
              <w:t>Rahajeng Sekar Wangi Nugroho</w:t>
            </w:r>
          </w:p>
        </w:tc>
      </w:tr>
    </w:tbl>
    <w:p w:rsidR="00EF234D" w:rsidRDefault="00EF234D" w:rsidP="00EF234D">
      <w:pPr>
        <w:rPr>
          <w:rFonts w:ascii="Times New Roman" w:hAnsi="Times New Roman" w:cs="Times New Roman"/>
          <w:sz w:val="24"/>
          <w:szCs w:val="24"/>
        </w:rPr>
      </w:pPr>
    </w:p>
    <w:tbl>
      <w:tblPr>
        <w:tblStyle w:val="TableGrid"/>
        <w:tblW w:w="0" w:type="auto"/>
        <w:tblLook w:val="04A0"/>
      </w:tblPr>
      <w:tblGrid>
        <w:gridCol w:w="4621"/>
        <w:gridCol w:w="4621"/>
      </w:tblGrid>
      <w:tr w:rsidR="00EF234D" w:rsidTr="00EF234D">
        <w:tc>
          <w:tcPr>
            <w:tcW w:w="4621" w:type="dxa"/>
          </w:tcPr>
          <w:p w:rsidR="00EF234D" w:rsidRPr="006163C5" w:rsidRDefault="00EF234D" w:rsidP="00EF234D">
            <w:pPr>
              <w:rPr>
                <w:rFonts w:ascii="Times New Roman" w:hAnsi="Times New Roman" w:cs="Times New Roman"/>
              </w:rPr>
            </w:pPr>
            <w:r w:rsidRPr="006163C5">
              <w:rPr>
                <w:rFonts w:ascii="Times New Roman" w:hAnsi="Times New Roman" w:cs="Times New Roman"/>
              </w:rPr>
              <w:t>Latar Belakang Masalah</w:t>
            </w:r>
          </w:p>
        </w:tc>
        <w:tc>
          <w:tcPr>
            <w:tcW w:w="4621" w:type="dxa"/>
          </w:tcPr>
          <w:p w:rsidR="00EF234D" w:rsidRPr="006163C5" w:rsidRDefault="00C57D22" w:rsidP="00BE19B0">
            <w:pPr>
              <w:autoSpaceDE w:val="0"/>
              <w:autoSpaceDN w:val="0"/>
              <w:adjustRightInd w:val="0"/>
              <w:jc w:val="both"/>
              <w:rPr>
                <w:rFonts w:ascii="Times New Roman" w:hAnsi="Times New Roman" w:cs="Times New Roman"/>
                <w:color w:val="000000"/>
              </w:rPr>
            </w:pPr>
            <w:r w:rsidRPr="006163C5">
              <w:rPr>
                <w:rFonts w:ascii="Times New Roman" w:hAnsi="Times New Roman" w:cs="Times New Roman"/>
                <w:color w:val="000000"/>
              </w:rPr>
              <w:t>Para profesional informasi seperti arsiparis bergulat dengan tantangan etika yang</w:t>
            </w:r>
            <w:r w:rsidR="008D7D06">
              <w:rPr>
                <w:rFonts w:ascii="Times New Roman" w:hAnsi="Times New Roman" w:cs="Times New Roman"/>
                <w:color w:val="000000"/>
              </w:rPr>
              <w:t xml:space="preserve"> </w:t>
            </w:r>
            <w:r w:rsidRPr="006163C5">
              <w:rPr>
                <w:rFonts w:ascii="Times New Roman" w:hAnsi="Times New Roman" w:cs="Times New Roman"/>
                <w:color w:val="000000"/>
              </w:rPr>
              <w:t>menjengkelkan terkait dengan akses informasi yang adil dan penggunaan (kembali), pengembangan koleksi dan akuisisi materi, penyensoran, privasi, hak cipta, kekayaan intelektual dan hak cipta, netralitas internet, keragaman dan inklusivitas, konten digital, pemfilteran internet, konten buatan pengguna, teknologi, dan keadilan sosial</w:t>
            </w:r>
            <w:r w:rsidR="00BE19B0">
              <w:rPr>
                <w:rFonts w:ascii="Times New Roman" w:hAnsi="Times New Roman" w:cs="Times New Roman"/>
                <w:color w:val="000000"/>
              </w:rPr>
              <w:t xml:space="preserve">. </w:t>
            </w:r>
            <w:r w:rsidRPr="006163C5">
              <w:rPr>
                <w:rFonts w:ascii="Times New Roman" w:hAnsi="Times New Roman" w:cs="Times New Roman"/>
                <w:color w:val="000000"/>
              </w:rPr>
              <w:t>Mereka melakukannya sambil menyulap potensi konflik kewajiban, tanggung jawab, dan loyalitas kepada diri mereka sendiri, kepada institusi mereka, kepada donor mereka, untuk sarjana lain seperti sejarawan, asosiasi profesional, dan profesi mereka. Merundingkan ketegangan ini menjadi tanggung jawab yang semakin kompleks dan semakin mendesak.</w:t>
            </w:r>
          </w:p>
        </w:tc>
      </w:tr>
      <w:tr w:rsidR="00EF234D" w:rsidTr="00EF234D">
        <w:tc>
          <w:tcPr>
            <w:tcW w:w="4621" w:type="dxa"/>
          </w:tcPr>
          <w:p w:rsidR="00EF234D" w:rsidRPr="006163C5" w:rsidRDefault="00C57D22" w:rsidP="00EF234D">
            <w:pPr>
              <w:rPr>
                <w:rFonts w:ascii="Times New Roman" w:hAnsi="Times New Roman" w:cs="Times New Roman"/>
              </w:rPr>
            </w:pPr>
            <w:r w:rsidRPr="006163C5">
              <w:rPr>
                <w:rFonts w:ascii="Times New Roman" w:hAnsi="Times New Roman" w:cs="Times New Roman"/>
              </w:rPr>
              <w:t>Fokus Masalah</w:t>
            </w:r>
          </w:p>
        </w:tc>
        <w:tc>
          <w:tcPr>
            <w:tcW w:w="4621" w:type="dxa"/>
          </w:tcPr>
          <w:p w:rsidR="00EF234D" w:rsidRPr="006163C5" w:rsidRDefault="00C57D22" w:rsidP="00C57D22">
            <w:pPr>
              <w:jc w:val="both"/>
              <w:rPr>
                <w:rFonts w:ascii="Times New Roman" w:hAnsi="Times New Roman" w:cs="Times New Roman"/>
              </w:rPr>
            </w:pPr>
            <w:r w:rsidRPr="006163C5">
              <w:rPr>
                <w:rFonts w:ascii="Times New Roman" w:hAnsi="Times New Roman" w:cs="Times New Roman"/>
              </w:rPr>
              <w:t>Penelitian ini berfokus pada kasus tertentu dari awal 1990-an di mana klaim tentang tiga masalah ini: akses yang adil, privasi pibadi, dan keadilan sosial. Yang menjadi masalah adalah akses ke cache erotika aneh yang disimpan di Society for Preservation of New England Antiquities (SPNEA) milik Thomas Codman, anggota keluarga Agustus yang terhormat. Menampilkan arsiparis, aktivis, sejarawan, dan administrator SPNEA, studi ini mengandalkan kerangka teori terdiri dari dunia kecil dan perilaku normatif. Kerangka kerja ini membantu melacak dan memperjelas proses perubahan sosial, khususnya kerjasama dan konflik, diantara dunia kecil.</w:t>
            </w:r>
          </w:p>
        </w:tc>
      </w:tr>
      <w:tr w:rsidR="00EF234D" w:rsidTr="00EF234D">
        <w:tc>
          <w:tcPr>
            <w:tcW w:w="4621" w:type="dxa"/>
          </w:tcPr>
          <w:p w:rsidR="00EF234D" w:rsidRDefault="006163C5" w:rsidP="00EF234D">
            <w:pPr>
              <w:rPr>
                <w:rFonts w:ascii="Times New Roman" w:hAnsi="Times New Roman" w:cs="Times New Roman"/>
                <w:sz w:val="24"/>
                <w:szCs w:val="24"/>
              </w:rPr>
            </w:pPr>
            <w:r>
              <w:rPr>
                <w:rFonts w:ascii="Times New Roman" w:hAnsi="Times New Roman" w:cs="Times New Roman"/>
                <w:sz w:val="24"/>
                <w:szCs w:val="24"/>
              </w:rPr>
              <w:t>Metode &amp; Teori</w:t>
            </w:r>
          </w:p>
        </w:tc>
        <w:tc>
          <w:tcPr>
            <w:tcW w:w="4621" w:type="dxa"/>
          </w:tcPr>
          <w:p w:rsidR="00EF234D" w:rsidRPr="004C26B7" w:rsidRDefault="00BE19B0" w:rsidP="00D33238">
            <w:pPr>
              <w:autoSpaceDE w:val="0"/>
              <w:autoSpaceDN w:val="0"/>
              <w:adjustRightInd w:val="0"/>
              <w:jc w:val="both"/>
              <w:rPr>
                <w:rFonts w:ascii="Times New Roman" w:hAnsi="Times New Roman" w:cs="Times New Roman"/>
                <w:color w:val="000000"/>
              </w:rPr>
            </w:pPr>
            <w:r w:rsidRPr="00BE19B0">
              <w:rPr>
                <w:rFonts w:ascii="Times New Roman" w:hAnsi="Times New Roman" w:cs="Times New Roman"/>
                <w:color w:val="000000"/>
              </w:rPr>
              <w:t>Studi kualitatif ini menggabungkan metode penelitian sejarah dan studi kasus. Penelitian</w:t>
            </w:r>
            <w:r w:rsidR="00D33238">
              <w:rPr>
                <w:rFonts w:ascii="Times New Roman" w:hAnsi="Times New Roman" w:cs="Times New Roman"/>
                <w:color w:val="000000"/>
              </w:rPr>
              <w:t xml:space="preserve"> </w:t>
            </w:r>
            <w:r w:rsidRPr="00BE19B0">
              <w:rPr>
                <w:rFonts w:ascii="Times New Roman" w:hAnsi="Times New Roman" w:cs="Times New Roman"/>
                <w:color w:val="000000"/>
              </w:rPr>
              <w:t xml:space="preserve">kualitatif mengandaikan konstruksi sosial dari realitas; interpretivist, </w:t>
            </w:r>
            <w:r>
              <w:rPr>
                <w:rFonts w:ascii="Times New Roman" w:hAnsi="Times New Roman" w:cs="Times New Roman"/>
                <w:color w:val="000000"/>
              </w:rPr>
              <w:t xml:space="preserve">kontekstual, dan deskriptif, ia </w:t>
            </w:r>
            <w:r w:rsidRPr="00BE19B0">
              <w:rPr>
                <w:rFonts w:ascii="Times New Roman" w:hAnsi="Times New Roman" w:cs="Times New Roman"/>
                <w:color w:val="000000"/>
              </w:rPr>
              <w:t>mencari pemahaman daripada generalisasi, berfokus pada proses serta hasil, menghormati</w:t>
            </w:r>
            <w:r w:rsidR="008D7D06">
              <w:rPr>
                <w:rFonts w:ascii="Times New Roman" w:hAnsi="Times New Roman" w:cs="Times New Roman"/>
                <w:color w:val="000000"/>
              </w:rPr>
              <w:t xml:space="preserve"> </w:t>
            </w:r>
            <w:r w:rsidRPr="00BE19B0">
              <w:rPr>
                <w:rFonts w:ascii="Times New Roman" w:hAnsi="Times New Roman" w:cs="Times New Roman"/>
                <w:color w:val="000000"/>
              </w:rPr>
              <w:t>perspektif peserta, dan bergantung pada analisis induktif</w:t>
            </w:r>
            <w:r>
              <w:rPr>
                <w:rFonts w:ascii="Times New Roman" w:hAnsi="Times New Roman" w:cs="Times New Roman"/>
                <w:color w:val="000000"/>
              </w:rPr>
              <w:t>.</w:t>
            </w:r>
            <w:r>
              <w:rPr>
                <w:rFonts w:ascii="ArialUnicodeMS" w:hAnsi="ArialUnicodeMS" w:cs="ArialUnicodeMS"/>
                <w:color w:val="000000"/>
                <w:sz w:val="11"/>
                <w:szCs w:val="11"/>
              </w:rPr>
              <w:t xml:space="preserve"> </w:t>
            </w:r>
            <w:r w:rsidR="004C26B7">
              <w:rPr>
                <w:rFonts w:ascii="Times New Roman" w:hAnsi="Times New Roman" w:cs="Times New Roman"/>
                <w:color w:val="000000"/>
              </w:rPr>
              <w:t>Kasus</w:t>
            </w:r>
            <w:r w:rsidR="008D7D06">
              <w:rPr>
                <w:rFonts w:ascii="Times New Roman" w:hAnsi="Times New Roman" w:cs="Times New Roman"/>
                <w:color w:val="000000"/>
              </w:rPr>
              <w:t xml:space="preserve"> </w:t>
            </w:r>
            <w:r w:rsidRPr="00BE19B0">
              <w:rPr>
                <w:rFonts w:ascii="Times New Roman" w:hAnsi="Times New Roman" w:cs="Times New Roman"/>
                <w:color w:val="000000"/>
              </w:rPr>
              <w:t>Codman yang dibahas dalam artikel ini sengaja dipilih karena kekayaan informasinya, yaitu apa yang</w:t>
            </w:r>
            <w:r w:rsidR="00D33238">
              <w:rPr>
                <w:rFonts w:ascii="Times New Roman" w:hAnsi="Times New Roman" w:cs="Times New Roman"/>
                <w:color w:val="000000"/>
              </w:rPr>
              <w:t xml:space="preserve"> </w:t>
            </w:r>
            <w:r w:rsidRPr="00BE19B0">
              <w:rPr>
                <w:rFonts w:ascii="Times New Roman" w:hAnsi="Times New Roman" w:cs="Times New Roman"/>
                <w:color w:val="000000"/>
              </w:rPr>
              <w:t>dapat dipelajari darinya</w:t>
            </w:r>
            <w:r w:rsidR="004C26B7">
              <w:rPr>
                <w:rFonts w:ascii="Times New Roman" w:hAnsi="Times New Roman" w:cs="Times New Roman"/>
                <w:color w:val="000000"/>
              </w:rPr>
              <w:t xml:space="preserve">. </w:t>
            </w:r>
            <w:r w:rsidRPr="00BE19B0">
              <w:rPr>
                <w:rFonts w:ascii="Times New Roman" w:hAnsi="Times New Roman" w:cs="Times New Roman"/>
                <w:color w:val="000000"/>
              </w:rPr>
              <w:t xml:space="preserve">Studi ini didasarkan </w:t>
            </w:r>
            <w:r w:rsidR="004C26B7">
              <w:rPr>
                <w:rFonts w:ascii="Times New Roman" w:hAnsi="Times New Roman" w:cs="Times New Roman"/>
                <w:color w:val="000000"/>
              </w:rPr>
              <w:t xml:space="preserve">pada bukti </w:t>
            </w:r>
            <w:r w:rsidR="004C26B7">
              <w:rPr>
                <w:rFonts w:ascii="Times New Roman" w:hAnsi="Times New Roman" w:cs="Times New Roman"/>
                <w:color w:val="000000"/>
              </w:rPr>
              <w:lastRenderedPageBreak/>
              <w:t xml:space="preserve">dokumenter dan </w:t>
            </w:r>
            <w:r w:rsidRPr="00BE19B0">
              <w:rPr>
                <w:rFonts w:ascii="Times New Roman" w:hAnsi="Times New Roman" w:cs="Times New Roman"/>
                <w:color w:val="000000"/>
              </w:rPr>
              <w:t>sejarah lisan. Stabil dan tetap, dokumen berisi nama, referensi, dan de</w:t>
            </w:r>
            <w:r w:rsidR="004C26B7">
              <w:rPr>
                <w:rFonts w:ascii="Times New Roman" w:hAnsi="Times New Roman" w:cs="Times New Roman"/>
                <w:color w:val="000000"/>
              </w:rPr>
              <w:t xml:space="preserve">tail banyak peristiwa di banyak </w:t>
            </w:r>
            <w:r w:rsidRPr="00BE19B0">
              <w:rPr>
                <w:rFonts w:ascii="Times New Roman" w:hAnsi="Times New Roman" w:cs="Times New Roman"/>
                <w:color w:val="000000"/>
              </w:rPr>
              <w:t>pengaturan selama periode waktu yang lama.</w:t>
            </w:r>
          </w:p>
        </w:tc>
      </w:tr>
      <w:tr w:rsidR="00EF234D" w:rsidTr="00EF234D">
        <w:tc>
          <w:tcPr>
            <w:tcW w:w="4621" w:type="dxa"/>
          </w:tcPr>
          <w:p w:rsidR="00EF234D" w:rsidRPr="007F7748" w:rsidRDefault="007F7748" w:rsidP="00EF234D">
            <w:pPr>
              <w:rPr>
                <w:rFonts w:ascii="Times New Roman" w:hAnsi="Times New Roman" w:cs="Times New Roman"/>
              </w:rPr>
            </w:pPr>
            <w:r w:rsidRPr="007F7748">
              <w:rPr>
                <w:rFonts w:ascii="Times New Roman" w:hAnsi="Times New Roman" w:cs="Times New Roman"/>
              </w:rPr>
              <w:lastRenderedPageBreak/>
              <w:t>Hasil &amp; Analisa</w:t>
            </w:r>
          </w:p>
        </w:tc>
        <w:tc>
          <w:tcPr>
            <w:tcW w:w="4621" w:type="dxa"/>
          </w:tcPr>
          <w:p w:rsidR="00EF234D" w:rsidRDefault="00622688" w:rsidP="00622688">
            <w:pPr>
              <w:pStyle w:val="ListParagraph"/>
              <w:numPr>
                <w:ilvl w:val="0"/>
                <w:numId w:val="3"/>
              </w:numPr>
              <w:autoSpaceDE w:val="0"/>
              <w:autoSpaceDN w:val="0"/>
              <w:adjustRightInd w:val="0"/>
              <w:jc w:val="both"/>
              <w:rPr>
                <w:rFonts w:ascii="Times New Roman" w:hAnsi="Times New Roman" w:cs="Times New Roman"/>
              </w:rPr>
            </w:pPr>
            <w:r w:rsidRPr="00622688">
              <w:rPr>
                <w:rFonts w:ascii="Times New Roman" w:hAnsi="Times New Roman" w:cs="Times New Roman"/>
              </w:rPr>
              <w:t>Kontroversi SPNEA pertama-tama menjelaskan tantangan menjengkelkan yang dihadapi oleh para profesional informasi seperti arsiparis dalam memediasi tuntutan untuk akses informasi dan tuntutan yang bertentangan untuk privasi pribadi. Mereka mungkin melihat pengalaman mereka sendiri atau perilaku normatif yang berlaku di lembaga mereka, mereka dapat berkonsultasi dengan profesional di lembaga sejawat, dan mereka mungkin melihat ke asosiasi profesional yang relevan. Kasus SPNEA menunjukkan bahwa ketiganya mungkin terbukti bermasalah, bahkan tidak relevan.</w:t>
            </w:r>
          </w:p>
          <w:p w:rsidR="00622688" w:rsidRDefault="00622688" w:rsidP="00622688">
            <w:pPr>
              <w:pStyle w:val="ListParagraph"/>
              <w:numPr>
                <w:ilvl w:val="0"/>
                <w:numId w:val="3"/>
              </w:numPr>
              <w:autoSpaceDE w:val="0"/>
              <w:autoSpaceDN w:val="0"/>
              <w:adjustRightInd w:val="0"/>
              <w:jc w:val="both"/>
              <w:rPr>
                <w:rFonts w:ascii="Times New Roman" w:hAnsi="Times New Roman" w:cs="Times New Roman"/>
              </w:rPr>
            </w:pPr>
            <w:r w:rsidRPr="00622688">
              <w:rPr>
                <w:rFonts w:ascii="Times New Roman" w:hAnsi="Times New Roman" w:cs="Times New Roman"/>
              </w:rPr>
              <w:t>Kedua, kasus ini menunjukkan bahwa teori tentang dunia kecil, perilaku normatif, dan akses sosial memperjelas perspektif yang bertentangan dalam dilema etika.</w:t>
            </w:r>
            <w:r w:rsidRPr="00622688">
              <w:rPr>
                <w:rFonts w:ascii="ArialUnicodeMS" w:hAnsi="ArialUnicodeMS" w:cs="ArialUnicodeMS"/>
                <w:sz w:val="11"/>
                <w:szCs w:val="11"/>
              </w:rPr>
              <w:t xml:space="preserve"> </w:t>
            </w:r>
            <w:r w:rsidRPr="00622688">
              <w:rPr>
                <w:rFonts w:ascii="Times New Roman" w:hAnsi="Times New Roman" w:cs="Times New Roman"/>
              </w:rPr>
              <w:t>Dalam kasus ini, informasi yang tampak emansipatif bagi komunitas queer tampak menjijikkan bagi Dewan Pengawas lembaga swasta elit. Yang terakhir jelas tidak melihat keadilan sosial sebagai bagian dari misi atau mandat antik mereka; konsep itu sepertinya cukup asing bagi mereka. Namun, para wali memegang kekuasaan untuk memaksakan pandangan dunia mereka pada lembaga yang mereka kelola, dan arsiparis SPNEA tidak memiliki bantuan profesional bahkan jika mereka ingin merangkul pandangan dunia keadilan sosial.</w:t>
            </w:r>
          </w:p>
          <w:p w:rsidR="00622688" w:rsidRPr="00FF53D3" w:rsidRDefault="00622688" w:rsidP="00622688">
            <w:pPr>
              <w:pStyle w:val="ListParagraph"/>
              <w:numPr>
                <w:ilvl w:val="0"/>
                <w:numId w:val="3"/>
              </w:numPr>
              <w:autoSpaceDE w:val="0"/>
              <w:autoSpaceDN w:val="0"/>
              <w:adjustRightInd w:val="0"/>
              <w:jc w:val="both"/>
              <w:rPr>
                <w:rFonts w:ascii="Times New Roman" w:hAnsi="Times New Roman" w:cs="Times New Roman"/>
              </w:rPr>
            </w:pPr>
            <w:r w:rsidRPr="00622688">
              <w:rPr>
                <w:rFonts w:ascii="Times New Roman" w:hAnsi="Times New Roman" w:cs="Times New Roman"/>
                <w:color w:val="000000"/>
              </w:rPr>
              <w:t>Ketiga, asosiasi profesional menawarkan sedikit panduan di luar kode etik mereka. Meskipun mungkin merupakan ciri khas dari status profesional, peraturan semacam itu biasanya tidak menyediakan peta jalan untuk menyelesaikan masalah kekuasaan dan hak istimewa. Lebih berbahaya, mereka mungkin</w:t>
            </w:r>
            <w:r>
              <w:rPr>
                <w:rFonts w:ascii="Times New Roman" w:hAnsi="Times New Roman" w:cs="Times New Roman"/>
                <w:color w:val="000000"/>
              </w:rPr>
              <w:t xml:space="preserve"> </w:t>
            </w:r>
            <w:r w:rsidRPr="00622688">
              <w:rPr>
                <w:rFonts w:ascii="Times New Roman" w:hAnsi="Times New Roman" w:cs="Times New Roman"/>
                <w:color w:val="000000"/>
              </w:rPr>
              <w:t xml:space="preserve">menyamarkan praktik-praktik yang menindas, sehingga memungkinkan pelepasan tanggung jawab sosial dan bahkan moralitas tertulis besar ( </w:t>
            </w:r>
            <w:r w:rsidRPr="00622688">
              <w:rPr>
                <w:rFonts w:ascii="Times New Roman" w:hAnsi="Times New Roman" w:cs="Times New Roman"/>
                <w:color w:val="000000" w:themeColor="text1"/>
              </w:rPr>
              <w:t>Wallace, 2010, 2017</w:t>
            </w:r>
            <w:r w:rsidRPr="00622688">
              <w:rPr>
                <w:rFonts w:ascii="Times New Roman" w:hAnsi="Times New Roman" w:cs="Times New Roman"/>
                <w:color w:val="0079AE"/>
              </w:rPr>
              <w:t xml:space="preserve"> </w:t>
            </w:r>
            <w:r w:rsidRPr="00622688">
              <w:rPr>
                <w:rFonts w:ascii="Times New Roman" w:hAnsi="Times New Roman" w:cs="Times New Roman"/>
                <w:color w:val="000000"/>
              </w:rPr>
              <w:t>). Mengkonseptualisasikan etika profesional tidak sama dengan mempraktikkannya, terlebih lagi, dan</w:t>
            </w:r>
            <w:r>
              <w:rPr>
                <w:rFonts w:ascii="Times New Roman" w:hAnsi="Times New Roman" w:cs="Times New Roman"/>
                <w:color w:val="000000"/>
              </w:rPr>
              <w:t xml:space="preserve"> </w:t>
            </w:r>
            <w:r w:rsidRPr="00622688">
              <w:rPr>
                <w:rFonts w:ascii="Times New Roman" w:hAnsi="Times New Roman" w:cs="Times New Roman"/>
                <w:color w:val="000000"/>
              </w:rPr>
              <w:lastRenderedPageBreak/>
              <w:t>dalam praktiknya, bahasa kode etik dapat mendukung</w:t>
            </w:r>
            <w:r>
              <w:rPr>
                <w:rFonts w:ascii="Times New Roman" w:hAnsi="Times New Roman" w:cs="Times New Roman"/>
                <w:color w:val="000000"/>
              </w:rPr>
              <w:t xml:space="preserve"> </w:t>
            </w:r>
            <w:r w:rsidRPr="00622688">
              <w:rPr>
                <w:rFonts w:ascii="Times New Roman" w:hAnsi="Times New Roman" w:cs="Times New Roman"/>
                <w:color w:val="000000"/>
              </w:rPr>
              <w:t xml:space="preserve">kedua belah pihak dalam suatu perselisihan, menjadikannya tidak berguna secara efektif ( </w:t>
            </w:r>
            <w:r w:rsidRPr="00622688">
              <w:rPr>
                <w:rFonts w:ascii="Times New Roman" w:hAnsi="Times New Roman" w:cs="Times New Roman"/>
                <w:color w:val="000000" w:themeColor="text1"/>
              </w:rPr>
              <w:t>Cox, 2008</w:t>
            </w:r>
            <w:r w:rsidRPr="00622688">
              <w:rPr>
                <w:rFonts w:ascii="Times New Roman" w:hAnsi="Times New Roman" w:cs="Times New Roman"/>
                <w:color w:val="0079AE"/>
              </w:rPr>
              <w:t xml:space="preserve"> </w:t>
            </w:r>
            <w:r w:rsidRPr="00622688">
              <w:rPr>
                <w:rFonts w:ascii="Times New Roman" w:hAnsi="Times New Roman" w:cs="Times New Roman"/>
                <w:color w:val="000000"/>
              </w:rPr>
              <w:t>).</w:t>
            </w:r>
            <w:r>
              <w:rPr>
                <w:rFonts w:ascii="Times New Roman" w:hAnsi="Times New Roman" w:cs="Times New Roman"/>
                <w:color w:val="000000"/>
              </w:rPr>
              <w:t xml:space="preserve"> </w:t>
            </w:r>
            <w:r w:rsidRPr="00622688">
              <w:rPr>
                <w:rFonts w:ascii="Times New Roman" w:hAnsi="Times New Roman" w:cs="Times New Roman"/>
                <w:color w:val="000000"/>
              </w:rPr>
              <w:t>Mereka yang terlibat dalam perdebatan tentang privasi dan akses mungkin tidak mengetahui kode-kode</w:t>
            </w:r>
            <w:r>
              <w:rPr>
                <w:rFonts w:ascii="Times New Roman" w:hAnsi="Times New Roman" w:cs="Times New Roman"/>
                <w:color w:val="000000"/>
              </w:rPr>
              <w:t xml:space="preserve"> </w:t>
            </w:r>
            <w:r w:rsidRPr="00622688">
              <w:rPr>
                <w:rFonts w:ascii="Times New Roman" w:hAnsi="Times New Roman" w:cs="Times New Roman"/>
                <w:color w:val="000000"/>
              </w:rPr>
              <w:t>yang menonjol, dalam hal ini; dalam kasus SPNEA, tidak ada bukti yang menunjukkan bahwa anggota staf</w:t>
            </w:r>
            <w:r>
              <w:rPr>
                <w:rFonts w:ascii="Times New Roman" w:hAnsi="Times New Roman" w:cs="Times New Roman"/>
                <w:color w:val="000000"/>
              </w:rPr>
              <w:t xml:space="preserve"> </w:t>
            </w:r>
            <w:r w:rsidRPr="00622688">
              <w:rPr>
                <w:rFonts w:ascii="Times New Roman" w:hAnsi="Times New Roman" w:cs="Times New Roman"/>
                <w:color w:val="000000"/>
              </w:rPr>
              <w:t>atau pihak berkepentingan lainnya seperti LAGAR berkonsultasi, apalagi dipekerjakan, kode yang relevan.</w:t>
            </w:r>
          </w:p>
          <w:p w:rsidR="00622688" w:rsidRPr="00FF53D3" w:rsidRDefault="00622688" w:rsidP="00FF53D3">
            <w:pPr>
              <w:pStyle w:val="ListParagraph"/>
              <w:numPr>
                <w:ilvl w:val="0"/>
                <w:numId w:val="3"/>
              </w:numPr>
              <w:autoSpaceDE w:val="0"/>
              <w:autoSpaceDN w:val="0"/>
              <w:adjustRightInd w:val="0"/>
              <w:jc w:val="both"/>
              <w:rPr>
                <w:rFonts w:ascii="Times New Roman" w:hAnsi="Times New Roman" w:cs="Times New Roman"/>
              </w:rPr>
            </w:pPr>
            <w:r w:rsidRPr="00FF53D3">
              <w:rPr>
                <w:rFonts w:ascii="Times New Roman" w:hAnsi="Times New Roman" w:cs="Times New Roman"/>
                <w:color w:val="000000"/>
              </w:rPr>
              <w:t>Keempat, terlepas dari kekuatan yang dianggap berasal dari arsip dan arsiparis oleh banyak</w:t>
            </w:r>
            <w:r w:rsidR="00FF53D3" w:rsidRPr="00FF53D3">
              <w:rPr>
                <w:rFonts w:ascii="Times New Roman" w:hAnsi="Times New Roman" w:cs="Times New Roman"/>
                <w:color w:val="000000"/>
              </w:rPr>
              <w:t xml:space="preserve"> </w:t>
            </w:r>
            <w:r w:rsidRPr="00FF53D3">
              <w:rPr>
                <w:rFonts w:ascii="Times New Roman" w:hAnsi="Times New Roman" w:cs="Times New Roman"/>
                <w:color w:val="000000"/>
              </w:rPr>
              <w:t>sarjana, situasi muncul di mana arsiparis kekurangan kekuasaan,</w:t>
            </w:r>
            <w:r w:rsidR="00FF53D3" w:rsidRPr="00FF53D3">
              <w:rPr>
                <w:rFonts w:ascii="Times New Roman" w:hAnsi="Times New Roman" w:cs="Times New Roman"/>
                <w:color w:val="000000"/>
              </w:rPr>
              <w:t xml:space="preserve"> lembaga, dan otonomi, terutama </w:t>
            </w:r>
            <w:r w:rsidRPr="00FF53D3">
              <w:rPr>
                <w:rFonts w:ascii="Times New Roman" w:hAnsi="Times New Roman" w:cs="Times New Roman"/>
                <w:color w:val="000000"/>
              </w:rPr>
              <w:t>karena struktur atau ketentuan kelembagaan atau politik. Pengarsip bekerja di dunia kecil; perilaku</w:t>
            </w:r>
            <w:r w:rsidR="00FF53D3" w:rsidRPr="00FF53D3">
              <w:rPr>
                <w:rFonts w:ascii="Times New Roman" w:hAnsi="Times New Roman" w:cs="Times New Roman"/>
                <w:color w:val="000000"/>
              </w:rPr>
              <w:t xml:space="preserve"> </w:t>
            </w:r>
            <w:r w:rsidRPr="00FF53D3">
              <w:rPr>
                <w:rFonts w:ascii="Times New Roman" w:hAnsi="Times New Roman" w:cs="Times New Roman"/>
                <w:color w:val="000000"/>
              </w:rPr>
              <w:t>normatif mereka mungkin tidak cocok dengan pemangku kepentingan lainnya dan otonomi serta</w:t>
            </w:r>
            <w:r w:rsidR="00FF53D3" w:rsidRPr="00FF53D3">
              <w:rPr>
                <w:rFonts w:ascii="Times New Roman" w:hAnsi="Times New Roman" w:cs="Times New Roman"/>
                <w:color w:val="000000"/>
              </w:rPr>
              <w:t xml:space="preserve"> </w:t>
            </w:r>
            <w:r w:rsidRPr="00FF53D3">
              <w:rPr>
                <w:rFonts w:ascii="Times New Roman" w:hAnsi="Times New Roman" w:cs="Times New Roman"/>
                <w:color w:val="000000"/>
              </w:rPr>
              <w:t>badan mereka mungkin dibatasi ketika berhubungan atau berkonflik dengan dunia kecil lainnya.</w:t>
            </w:r>
            <w:r w:rsidR="00FF53D3" w:rsidRPr="00FF53D3">
              <w:rPr>
                <w:rFonts w:ascii="Times New Roman" w:hAnsi="Times New Roman" w:cs="Times New Roman"/>
                <w:color w:val="000000"/>
              </w:rPr>
              <w:t xml:space="preserve"> </w:t>
            </w:r>
            <w:r w:rsidRPr="00FF53D3">
              <w:rPr>
                <w:rFonts w:ascii="Times New Roman" w:hAnsi="Times New Roman" w:cs="Times New Roman"/>
                <w:color w:val="000000"/>
              </w:rPr>
              <w:t>Khususnya, arsiparis mungkin tidak memiliki kewenangan untuk membuat keputusan akses dalam</w:t>
            </w:r>
            <w:r w:rsidR="00FF53D3" w:rsidRPr="00FF53D3">
              <w:rPr>
                <w:rFonts w:ascii="Times New Roman" w:hAnsi="Times New Roman" w:cs="Times New Roman"/>
                <w:color w:val="000000"/>
              </w:rPr>
              <w:t xml:space="preserve"> </w:t>
            </w:r>
            <w:r w:rsidRPr="00FF53D3">
              <w:rPr>
                <w:rFonts w:ascii="Times New Roman" w:hAnsi="Times New Roman" w:cs="Times New Roman"/>
                <w:color w:val="000000"/>
              </w:rPr>
              <w:t>kasus yang melibatkan informasi pribadi yang sensitif. Oleh karena itu, ukuran kerendahan hati arsip</w:t>
            </w:r>
            <w:r w:rsidR="00FF53D3" w:rsidRPr="00FF53D3">
              <w:rPr>
                <w:rFonts w:ascii="Times New Roman" w:hAnsi="Times New Roman" w:cs="Times New Roman"/>
                <w:color w:val="000000"/>
              </w:rPr>
              <w:t xml:space="preserve"> </w:t>
            </w:r>
            <w:r w:rsidRPr="00FF53D3">
              <w:rPr>
                <w:rFonts w:ascii="Times New Roman" w:hAnsi="Times New Roman" w:cs="Times New Roman"/>
                <w:color w:val="000000"/>
              </w:rPr>
              <w:t>mungkin diperlukan. Memang, Pike dan rekan-rekannya kemungkinan besar memiliki sedikit jika ada</w:t>
            </w:r>
            <w:r w:rsidR="00FF53D3">
              <w:rPr>
                <w:rFonts w:ascii="Times New Roman" w:hAnsi="Times New Roman" w:cs="Times New Roman"/>
                <w:color w:val="000000"/>
              </w:rPr>
              <w:t xml:space="preserve"> </w:t>
            </w:r>
            <w:r w:rsidRPr="00FF53D3">
              <w:rPr>
                <w:rFonts w:ascii="Times New Roman" w:hAnsi="Times New Roman" w:cs="Times New Roman"/>
                <w:color w:val="000000"/>
              </w:rPr>
              <w:t xml:space="preserve">otonomi untuk bertindak dalam masalah SPNEA ( </w:t>
            </w:r>
            <w:r w:rsidRPr="00FF53D3">
              <w:rPr>
                <w:rFonts w:ascii="Times New Roman" w:hAnsi="Times New Roman" w:cs="Times New Roman"/>
                <w:color w:val="000000" w:themeColor="text1"/>
              </w:rPr>
              <w:t>Bowling, 2017</w:t>
            </w:r>
            <w:r w:rsidRPr="00FF53D3">
              <w:rPr>
                <w:rFonts w:ascii="Times New Roman" w:hAnsi="Times New Roman" w:cs="Times New Roman"/>
                <w:color w:val="0079AE"/>
              </w:rPr>
              <w:t xml:space="preserve"> </w:t>
            </w:r>
            <w:r w:rsidRPr="00FF53D3">
              <w:rPr>
                <w:rFonts w:ascii="Times New Roman" w:hAnsi="Times New Roman" w:cs="Times New Roman"/>
                <w:color w:val="000000"/>
              </w:rPr>
              <w:t>). Terlebih lagi, kelompok kepentingan</w:t>
            </w:r>
            <w:r w:rsidR="00FF53D3" w:rsidRPr="00FF53D3">
              <w:rPr>
                <w:rFonts w:ascii="Times New Roman" w:hAnsi="Times New Roman" w:cs="Times New Roman"/>
                <w:color w:val="000000"/>
              </w:rPr>
              <w:t xml:space="preserve"> </w:t>
            </w:r>
            <w:r w:rsidRPr="00FF53D3">
              <w:rPr>
                <w:rFonts w:ascii="Times New Roman" w:hAnsi="Times New Roman" w:cs="Times New Roman"/>
                <w:color w:val="000000"/>
              </w:rPr>
              <w:t>seperti LAGAR dan dalam hal ini, SAA dan AAM, tidak memiliki kekuasaan kecuali persuasi.</w:t>
            </w:r>
          </w:p>
        </w:tc>
      </w:tr>
      <w:tr w:rsidR="00EF234D" w:rsidTr="00EF234D">
        <w:tc>
          <w:tcPr>
            <w:tcW w:w="4621" w:type="dxa"/>
          </w:tcPr>
          <w:p w:rsidR="00EF234D" w:rsidRPr="007F7748" w:rsidRDefault="0066223C" w:rsidP="00EF234D">
            <w:pPr>
              <w:rPr>
                <w:rFonts w:ascii="Times New Roman" w:hAnsi="Times New Roman" w:cs="Times New Roman"/>
              </w:rPr>
            </w:pPr>
            <w:r w:rsidRPr="007F7748">
              <w:rPr>
                <w:rFonts w:ascii="Times New Roman" w:hAnsi="Times New Roman" w:cs="Times New Roman"/>
              </w:rPr>
              <w:lastRenderedPageBreak/>
              <w:t xml:space="preserve">Kesimpulan </w:t>
            </w:r>
          </w:p>
        </w:tc>
        <w:tc>
          <w:tcPr>
            <w:tcW w:w="4621" w:type="dxa"/>
          </w:tcPr>
          <w:p w:rsidR="007F7748" w:rsidRPr="007F7748" w:rsidRDefault="007F7748" w:rsidP="007F7748">
            <w:pPr>
              <w:jc w:val="both"/>
              <w:rPr>
                <w:rFonts w:ascii="Times New Roman" w:hAnsi="Times New Roman" w:cs="Times New Roman"/>
              </w:rPr>
            </w:pPr>
            <w:r w:rsidRPr="007F7748">
              <w:rPr>
                <w:rFonts w:ascii="Times New Roman" w:hAnsi="Times New Roman" w:cs="Times New Roman"/>
              </w:rPr>
              <w:t>Studi ini menyarankan cara baru dan bermanfaat un</w:t>
            </w:r>
            <w:r>
              <w:rPr>
                <w:rFonts w:ascii="Times New Roman" w:hAnsi="Times New Roman" w:cs="Times New Roman"/>
              </w:rPr>
              <w:t xml:space="preserve">tuk mengeksplorasi etika akses, </w:t>
            </w:r>
            <w:r w:rsidRPr="007F7748">
              <w:rPr>
                <w:rFonts w:ascii="Times New Roman" w:hAnsi="Times New Roman" w:cs="Times New Roman"/>
              </w:rPr>
              <w:t xml:space="preserve">yakni dalam hal privasi. Ini juga menunjukkan </w:t>
            </w:r>
            <w:r>
              <w:rPr>
                <w:rFonts w:ascii="Times New Roman" w:hAnsi="Times New Roman" w:cs="Times New Roman"/>
              </w:rPr>
              <w:t>empat kesimpulan. Pertama,</w:t>
            </w:r>
            <w:r w:rsidRPr="007F7748">
              <w:rPr>
                <w:rFonts w:ascii="Times New Roman" w:hAnsi="Times New Roman" w:cs="Times New Roman"/>
              </w:rPr>
              <w:t>lensa teoritis diberikan oleh kata-k</w:t>
            </w:r>
            <w:r>
              <w:rPr>
                <w:rFonts w:ascii="Times New Roman" w:hAnsi="Times New Roman" w:cs="Times New Roman"/>
              </w:rPr>
              <w:t xml:space="preserve">ata kecil dan perilaku normatif </w:t>
            </w:r>
            <w:r w:rsidRPr="007F7748">
              <w:rPr>
                <w:rFonts w:ascii="Times New Roman" w:hAnsi="Times New Roman" w:cs="Times New Roman"/>
              </w:rPr>
              <w:t>membantu memperjelas</w:t>
            </w:r>
            <w:r>
              <w:rPr>
                <w:rFonts w:ascii="Times New Roman" w:hAnsi="Times New Roman" w:cs="Times New Roman"/>
              </w:rPr>
              <w:t xml:space="preserve"> kompleksitas masalah etika dan </w:t>
            </w:r>
            <w:r w:rsidRPr="007F7748">
              <w:rPr>
                <w:rFonts w:ascii="Times New Roman" w:hAnsi="Times New Roman" w:cs="Times New Roman"/>
              </w:rPr>
              <w:t>menjelaskan yang sah</w:t>
            </w:r>
            <w:r>
              <w:rPr>
                <w:rFonts w:ascii="Times New Roman" w:hAnsi="Times New Roman" w:cs="Times New Roman"/>
              </w:rPr>
              <w:t xml:space="preserve"> </w:t>
            </w:r>
            <w:r w:rsidRPr="007F7748">
              <w:rPr>
                <w:rFonts w:ascii="Times New Roman" w:hAnsi="Times New Roman" w:cs="Times New Roman"/>
              </w:rPr>
              <w:t>perspektif yang saling bertentangan dari berbagai dunia kecil. Kedua, tidak adil</w:t>
            </w:r>
            <w:r>
              <w:rPr>
                <w:rFonts w:ascii="Times New Roman" w:hAnsi="Times New Roman" w:cs="Times New Roman"/>
              </w:rPr>
              <w:t xml:space="preserve"> </w:t>
            </w:r>
            <w:r w:rsidRPr="007F7748">
              <w:rPr>
                <w:rFonts w:ascii="Times New Roman" w:hAnsi="Times New Roman" w:cs="Times New Roman"/>
              </w:rPr>
              <w:t>akses dan pembatasan privasi yang tidak semestinya dapat semakin memarjinalkan</w:t>
            </w:r>
          </w:p>
          <w:p w:rsidR="00EF234D" w:rsidRPr="007F7748" w:rsidRDefault="007F7748" w:rsidP="007F7748">
            <w:pPr>
              <w:jc w:val="both"/>
              <w:rPr>
                <w:rFonts w:ascii="Times New Roman" w:hAnsi="Times New Roman" w:cs="Times New Roman"/>
              </w:rPr>
            </w:pPr>
            <w:r w:rsidRPr="007F7748">
              <w:rPr>
                <w:rFonts w:ascii="Times New Roman" w:hAnsi="Times New Roman" w:cs="Times New Roman"/>
              </w:rPr>
              <w:t xml:space="preserve">sejarah populasi yang kurang terwakili </w:t>
            </w:r>
            <w:r>
              <w:rPr>
                <w:rFonts w:ascii="Times New Roman" w:hAnsi="Times New Roman" w:cs="Times New Roman"/>
              </w:rPr>
              <w:t xml:space="preserve">karena, misalnya, karena mereka </w:t>
            </w:r>
            <w:r w:rsidRPr="007F7748">
              <w:rPr>
                <w:rFonts w:ascii="Times New Roman" w:hAnsi="Times New Roman" w:cs="Times New Roman"/>
              </w:rPr>
              <w:t>preferensi seksual yang secara tida</w:t>
            </w:r>
            <w:r>
              <w:rPr>
                <w:rFonts w:ascii="Times New Roman" w:hAnsi="Times New Roman" w:cs="Times New Roman"/>
              </w:rPr>
              <w:t xml:space="preserve">k adil menstigmatisasi. Ketiga, </w:t>
            </w:r>
            <w:r w:rsidRPr="007F7748">
              <w:rPr>
                <w:rFonts w:ascii="Times New Roman" w:hAnsi="Times New Roman" w:cs="Times New Roman"/>
              </w:rPr>
              <w:t>sementara arsiparis boleh</w:t>
            </w:r>
            <w:r>
              <w:rPr>
                <w:rFonts w:ascii="Times New Roman" w:hAnsi="Times New Roman" w:cs="Times New Roman"/>
              </w:rPr>
              <w:t xml:space="preserve"> </w:t>
            </w:r>
            <w:r w:rsidRPr="007F7748">
              <w:rPr>
                <w:rFonts w:ascii="Times New Roman" w:hAnsi="Times New Roman" w:cs="Times New Roman"/>
              </w:rPr>
              <w:t>mencari secara aktif untuk mem</w:t>
            </w:r>
            <w:r>
              <w:rPr>
                <w:rFonts w:ascii="Times New Roman" w:hAnsi="Times New Roman" w:cs="Times New Roman"/>
              </w:rPr>
              <w:t xml:space="preserve">pengaruhi keadilan sosial dalam </w:t>
            </w:r>
            <w:r w:rsidRPr="007F7748">
              <w:rPr>
                <w:rFonts w:ascii="Times New Roman" w:hAnsi="Times New Roman" w:cs="Times New Roman"/>
              </w:rPr>
              <w:t xml:space="preserve">pekerjaan mereka, mereka mungkin menemukan </w:t>
            </w:r>
            <w:r w:rsidRPr="007F7748">
              <w:rPr>
                <w:rFonts w:ascii="Times New Roman" w:hAnsi="Times New Roman" w:cs="Times New Roman"/>
              </w:rPr>
              <w:lastRenderedPageBreak/>
              <w:t>mereka</w:t>
            </w:r>
            <w:r>
              <w:rPr>
                <w:rFonts w:ascii="Times New Roman" w:hAnsi="Times New Roman" w:cs="Times New Roman"/>
              </w:rPr>
              <w:t xml:space="preserve"> </w:t>
            </w:r>
            <w:r w:rsidRPr="007F7748">
              <w:rPr>
                <w:rFonts w:ascii="Times New Roman" w:hAnsi="Times New Roman" w:cs="Times New Roman"/>
              </w:rPr>
              <w:t>badan dan otonomi mereka diba</w:t>
            </w:r>
            <w:r>
              <w:rPr>
                <w:rFonts w:ascii="Times New Roman" w:hAnsi="Times New Roman" w:cs="Times New Roman"/>
              </w:rPr>
              <w:t xml:space="preserve">tasi oleh anggota kecil lainnya </w:t>
            </w:r>
            <w:r w:rsidRPr="007F7748">
              <w:rPr>
                <w:rFonts w:ascii="Times New Roman" w:hAnsi="Times New Roman" w:cs="Times New Roman"/>
              </w:rPr>
              <w:t>dunia yang mendefinisikan keadilan sosial secara berbeda atau yang</w:t>
            </w:r>
            <w:r>
              <w:rPr>
                <w:rFonts w:ascii="Times New Roman" w:hAnsi="Times New Roman" w:cs="Times New Roman"/>
              </w:rPr>
              <w:t xml:space="preserve"> bahkan mengabaikannya sebagai </w:t>
            </w:r>
            <w:r w:rsidRPr="007F7748">
              <w:rPr>
                <w:rFonts w:ascii="Times New Roman" w:hAnsi="Times New Roman" w:cs="Times New Roman"/>
              </w:rPr>
              <w:t>wilayah kerja arsip yang sa</w:t>
            </w:r>
            <w:r>
              <w:rPr>
                <w:rFonts w:ascii="Times New Roman" w:hAnsi="Times New Roman" w:cs="Times New Roman"/>
              </w:rPr>
              <w:t xml:space="preserve">h. Terakhir, kode etik menuntut </w:t>
            </w:r>
            <w:r w:rsidRPr="007F7748">
              <w:rPr>
                <w:rFonts w:ascii="Times New Roman" w:hAnsi="Times New Roman" w:cs="Times New Roman"/>
              </w:rPr>
              <w:t>pengawasan tidak hanya untuk bahan tradisional, t</w:t>
            </w:r>
            <w:r>
              <w:rPr>
                <w:rFonts w:ascii="Times New Roman" w:hAnsi="Times New Roman" w:cs="Times New Roman"/>
              </w:rPr>
              <w:t xml:space="preserve">etapi juga untuk jenis baru dan </w:t>
            </w:r>
            <w:r w:rsidRPr="007F7748">
              <w:rPr>
                <w:rFonts w:ascii="Times New Roman" w:hAnsi="Times New Roman" w:cs="Times New Roman"/>
              </w:rPr>
              <w:t>format bahan dan di lingkungan informasi baru.</w:t>
            </w:r>
          </w:p>
        </w:tc>
      </w:tr>
    </w:tbl>
    <w:p w:rsidR="00EF234D" w:rsidRPr="00EF234D" w:rsidRDefault="00EF234D" w:rsidP="00EF234D">
      <w:pPr>
        <w:rPr>
          <w:rFonts w:ascii="Times New Roman" w:hAnsi="Times New Roman" w:cs="Times New Roman"/>
          <w:sz w:val="24"/>
          <w:szCs w:val="24"/>
        </w:rPr>
      </w:pPr>
    </w:p>
    <w:sectPr w:rsidR="00EF234D" w:rsidRPr="00EF234D" w:rsidSect="005710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UnicodeM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55A15"/>
    <w:multiLevelType w:val="hybridMultilevel"/>
    <w:tmpl w:val="2FCCEC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CDA4B3A"/>
    <w:multiLevelType w:val="hybridMultilevel"/>
    <w:tmpl w:val="7D36F0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64F4F4A"/>
    <w:multiLevelType w:val="hybridMultilevel"/>
    <w:tmpl w:val="1E2E0C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45DB0"/>
    <w:rsid w:val="00357EFD"/>
    <w:rsid w:val="004C26B7"/>
    <w:rsid w:val="005710C5"/>
    <w:rsid w:val="006163C5"/>
    <w:rsid w:val="00622688"/>
    <w:rsid w:val="0066223C"/>
    <w:rsid w:val="007F7748"/>
    <w:rsid w:val="008D7D06"/>
    <w:rsid w:val="008E798B"/>
    <w:rsid w:val="009267CD"/>
    <w:rsid w:val="009B388A"/>
    <w:rsid w:val="00BE19B0"/>
    <w:rsid w:val="00C45DB0"/>
    <w:rsid w:val="00C57D22"/>
    <w:rsid w:val="00D33238"/>
    <w:rsid w:val="00D54835"/>
    <w:rsid w:val="00E3567B"/>
    <w:rsid w:val="00EF234D"/>
    <w:rsid w:val="00F26447"/>
    <w:rsid w:val="00FF53D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0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5D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226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1352</TotalTime>
  <Pages>4</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8</cp:revision>
  <dcterms:created xsi:type="dcterms:W3CDTF">2020-09-30T08:22:00Z</dcterms:created>
  <dcterms:modified xsi:type="dcterms:W3CDTF">2020-10-01T07:03:00Z</dcterms:modified>
</cp:coreProperties>
</file>