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SMT Synthetic Data Generator</w:t>
      </w:r>
    </w:p>
    <w:p>
      <w:r>
        <w:rPr>
          <w:i/>
          <w:color w:val="555555"/>
          <w:sz w:val="20"/>
        </w:rPr>
        <w:t>A high-level overview and comparison to the synthetic data in Shenoy &amp; Ameri (2026), “Uncertainty-Aware Neurosymbolic Root-Cause Analysis for Surface-Mount Assembly,” IEEE Trans. Semiconductor Manufacturing, DOI 10.1109/TSM.2026.3673999.</w:t>
      </w:r>
    </w:p>
    <w:p>
      <w:pPr>
        <w:pStyle w:val="Heading1"/>
      </w:pPr>
      <w:r>
        <w:t>1. Purpose</w:t>
      </w:r>
    </w:p>
    <w:p>
      <w:r>
        <w:t>This generator produces a synthetic surface-mount-assembly (SMT) dataset that stands in for the data used in the paper, so the full neurosymbolic root-cause-analysis pipeline can be developed and evaluated against known ground truth before any real-world data is involved. The paper neither releases its dataset nor its generator code, so this is a faithful reconstruction: its structure mirrors the paper exactly, and its quantitative behavior is calibrated to the few anchors the paper does report (the class balance in Table I and the graded-risk form in Eq. 8).</w:t>
      </w:r>
    </w:p>
    <w:p>
      <w:pPr>
        <w:pStyle w:val="Heading1"/>
      </w:pPr>
      <w:r>
        <w:t>2. What it produces</w:t>
      </w:r>
    </w:p>
    <w:p>
      <w:r>
        <w:t>200,000 per-board records, written from a single specification file (domain/smt_paper.yaml). The code contains only mechanism; everything domain-specific lives in the spec, so re-targeting to another device class is a file swap, not a code change. Each record carries:</w:t>
      </w:r>
    </w:p>
    <w:p>
      <w:pPr>
        <w:pStyle w:val="ListBullet"/>
      </w:pPr>
      <w:r>
        <w:t>Six monitored process parameters across two stages — paste printing (ambient humidity, ambient temperature, paste viscosity, stencil thickness) and reflow (time above liquidus, peak reflow temperature).</w:t>
      </w:r>
    </w:p>
    <w:p>
      <w:pPr>
        <w:pStyle w:val="ListBullet"/>
      </w:pPr>
      <w:r>
        <w:t>A defect-class label: no defect, open circuit, or solder bridging.</w:t>
      </w:r>
    </w:p>
    <w:p>
      <w:pPr>
        <w:pStyle w:val="ListBullet"/>
      </w:pPr>
      <w:r>
        <w:t>A mechanism label for each stage.</w:t>
      </w:r>
    </w:p>
    <w:p>
      <w:pPr>
        <w:pStyle w:val="ListBullet"/>
      </w:pPr>
      <w:r>
        <w:t>A graded risk score for each parameter (the paper’s Eq. 8).</w:t>
      </w:r>
    </w:p>
    <w:p>
      <w:pPr>
        <w:pStyle w:val="ListBullet"/>
      </w:pPr>
      <w:r>
        <w:t>The exact label posterior p(y|x) — the probability of each class given the parameters — which is what makes the difficulty measurable.</w:t>
      </w:r>
    </w:p>
    <w:p>
      <w:pPr>
        <w:pStyle w:val="ListBullet"/>
      </w:pPr>
      <w:r>
        <w:t>Full provenance: generator version, seed, batch, timestamp, board id.</w:t>
      </w:r>
    </w:p>
    <w:p>
      <w:pPr>
        <w:pStyle w:val="Heading1"/>
      </w:pPr>
      <w:r>
        <w:t>3. How it works</w:t>
      </w:r>
    </w:p>
    <w:p>
      <w:r>
        <w:t>Each record is built in six steps:</w:t>
      </w:r>
    </w:p>
    <w:p>
      <w:pPr>
        <w:pStyle w:val="ListNumber"/>
      </w:pPr>
      <w:r>
        <w:rPr>
          <w:b/>
        </w:rPr>
        <w:t xml:space="preserve">Correlated sampling: </w:t>
      </w:r>
      <w:r>
        <w:t>a Gaussian copula draws the six parameters together with a specified correlation matrix (nearest positive-definite corrected), so realistic cross-parameter dependence is preserved.</w:t>
      </w:r>
    </w:p>
    <w:p>
      <w:pPr>
        <w:pStyle w:val="ListNumber"/>
      </w:pPr>
      <w:r>
        <w:rPr>
          <w:b/>
        </w:rPr>
        <w:t xml:space="preserve">Drift: </w:t>
      </w:r>
      <w:r>
        <w:t>equipment aging (stencil wear with periodic replacement) and a daily temperature cycle add non-stationarity; records are emitted in batch/shift groups with different seeds and start hours.</w:t>
      </w:r>
    </w:p>
    <w:p>
      <w:pPr>
        <w:pStyle w:val="ListNumber"/>
      </w:pPr>
      <w:r>
        <w:rPr>
          <w:b/>
        </w:rPr>
        <w:t xml:space="preserve">Normalization: </w:t>
      </w:r>
      <w:r>
        <w:t>each parameter is expressed as a deviation from nominal, scaled so that a deviation of 1.0 sits exactly at its specification limit.</w:t>
      </w:r>
    </w:p>
    <w:p>
      <w:pPr>
        <w:pStyle w:val="ListNumber"/>
      </w:pPr>
      <w:r>
        <w:rPr>
          <w:b/>
        </w:rPr>
        <w:t xml:space="preserve">Causal labeling: </w:t>
      </w:r>
      <w:r>
        <w:t>an Ishikawa cause-effect map turns those deviations into a defect probability p(y|x); the label is sampled from that distribution, so two boards with identical readings can still receive different labels — realistic, irreducible noise.</w:t>
      </w:r>
    </w:p>
    <w:p>
      <w:pPr>
        <w:pStyle w:val="ListNumber"/>
      </w:pPr>
      <w:r>
        <w:rPr>
          <w:b/>
        </w:rPr>
        <w:t xml:space="preserve">Mechanisms and risk: </w:t>
      </w:r>
      <w:r>
        <w:t>the most-implicated mechanism is assigned per stage, and each parameter receives a graded risk score via the paper’s Eq. 8.</w:t>
      </w:r>
    </w:p>
    <w:p>
      <w:pPr>
        <w:pStyle w:val="ListNumber"/>
      </w:pPr>
      <w:r>
        <w:rPr>
          <w:b/>
        </w:rPr>
        <w:t xml:space="preserve">Calibration: </w:t>
      </w:r>
      <w:r>
        <w:t>the labeling is tuned two ways: class frequencies are matched to the paper’s reported balance, and the overall difficulty is set so the best-possible accuracy lands in the paper’s regime (~95%).</w:t>
      </w:r>
    </w:p>
    <w:p>
      <w:pPr>
        <w:pStyle w:val="Heading1"/>
      </w:pPr>
      <w:r>
        <w:t>4. Why the results can be trusted</w:t>
      </w:r>
    </w:p>
    <w:p>
      <w:pPr>
        <w:pStyle w:val="ListBullet"/>
      </w:pPr>
      <w:r>
        <w:t>Known posterior → exact difficulty. Because the generator knows p(y|x), the theoretical best-possible accuracy (the Bayes floor) is computed in closed form, not estimated — then confirmed by training real classifiers.</w:t>
      </w:r>
    </w:p>
    <w:p>
      <w:pPr>
        <w:pStyle w:val="ListBullet"/>
      </w:pPr>
      <w:r>
        <w:t>Deterministic and auditable. The same seed produces byte-for-byte identical output, and every record traces back to its source.</w:t>
      </w:r>
    </w:p>
    <w:p>
      <w:pPr>
        <w:pStyle w:val="ListBullet"/>
      </w:pPr>
      <w:r>
        <w:t>Single source of truth. The spec file is the contract the generator, ontology, and evaluation all share, preventing silent drift.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yes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How hard the classification problem is. A strong learner reaches ~94.8% accuracy, just under the Bayes-optimal ceiling (~95.3% test / 95.5% population); the paper’s reported 95.00% sits between them.</w:t>
      </w:r>
    </w:p>
    <w:p>
      <w:pPr>
        <w:pStyle w:val="Heading1"/>
      </w:pPr>
      <w:r>
        <w:t>5. How it compares to the synthetic data in the paper</w:t>
      </w:r>
    </w:p>
    <w:p>
      <w:r>
        <w:t>The generator is structurally identical to the paper and quantitatively calibrated to its reported anchors. The table below summarizes the correspondence.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Paper (Shenoy &amp; Ameri 2026)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This generator</w:t>
            </w:r>
          </w:p>
        </w:tc>
      </w:tr>
      <w:tr>
        <w:tc>
          <w:tcPr>
            <w:tcW w:type="dxa" w:w="2880"/>
          </w:tcPr>
          <w:p>
            <w:r>
              <w:t>Domain &amp; stages</w:t>
            </w:r>
          </w:p>
        </w:tc>
        <w:tc>
          <w:tcPr>
            <w:tcW w:type="dxa" w:w="2880"/>
          </w:tcPr>
          <w:p>
            <w:r>
              <w:t>SMT: paste printing, then reflow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t>Process parameters</w:t>
            </w:r>
          </w:p>
        </w:tc>
        <w:tc>
          <w:tcPr>
            <w:tcW w:type="dxa" w:w="2880"/>
          </w:tcPr>
          <w:p>
            <w:r>
              <w:t>Six (humidity, ambient temp, paste viscosity, stencil thickness; time above liquidus, peak reflow temp)</w:t>
            </w:r>
          </w:p>
        </w:tc>
        <w:tc>
          <w:tcPr>
            <w:tcW w:type="dxa" w:w="2880"/>
          </w:tcPr>
          <w:p>
            <w:r>
              <w:t>Same six</w:t>
            </w:r>
          </w:p>
        </w:tc>
      </w:tr>
      <w:tr>
        <w:tc>
          <w:tcPr>
            <w:tcW w:type="dxa" w:w="2880"/>
          </w:tcPr>
          <w:p>
            <w:r>
              <w:t>Defect classes</w:t>
            </w:r>
          </w:p>
        </w:tc>
        <w:tc>
          <w:tcPr>
            <w:tcW w:type="dxa" w:w="2880"/>
          </w:tcPr>
          <w:p>
            <w:r>
              <w:t>No defect, open circuit, solder bridging</w:t>
            </w:r>
          </w:p>
        </w:tc>
        <w:tc>
          <w:tcPr>
            <w:tcW w:type="dxa" w:w="2880"/>
          </w:tcPr>
          <w:p>
            <w:r>
              <w:t>Same three</w:t>
            </w:r>
          </w:p>
        </w:tc>
      </w:tr>
      <w:tr>
        <w:tc>
          <w:tcPr>
            <w:tcW w:type="dxa" w:w="2880"/>
          </w:tcPr>
          <w:p>
            <w:r>
              <w:t>Sampling</w:t>
            </w:r>
          </w:p>
        </w:tc>
        <w:tc>
          <w:tcPr>
            <w:tcW w:type="dxa" w:w="2880"/>
          </w:tcPr>
          <w:p>
            <w:r>
              <w:t>Gaussian copula + nearest-PD correction</w:t>
            </w:r>
          </w:p>
        </w:tc>
        <w:tc>
          <w:tcPr>
            <w:tcW w:type="dxa" w:w="2880"/>
          </w:tcPr>
          <w:p>
            <w:r>
              <w:t>Same (Gaussian marginals)</w:t>
            </w:r>
          </w:p>
        </w:tc>
      </w:tr>
      <w:tr>
        <w:tc>
          <w:tcPr>
            <w:tcW w:type="dxa" w:w="2880"/>
          </w:tcPr>
          <w:p>
            <w:r>
              <w:t>Non-stationarity</w:t>
            </w:r>
          </w:p>
        </w:tc>
        <w:tc>
          <w:tcPr>
            <w:tcW w:type="dxa" w:w="2880"/>
          </w:tcPr>
          <w:p>
            <w:r>
              <w:t>Stencil wear + diurnal temperature; batch/shift groups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t>Causal map</w:t>
            </w:r>
          </w:p>
        </w:tc>
        <w:tc>
          <w:tcPr>
            <w:tcW w:type="dxa" w:w="2880"/>
          </w:tcPr>
          <w:p>
            <w:r>
              <w:t>Ishikawa fishbone (Fig. 2)</w:t>
            </w:r>
          </w:p>
        </w:tc>
        <w:tc>
          <w:tcPr>
            <w:tcW w:type="dxa" w:w="2880"/>
          </w:tcPr>
          <w:p>
            <w:r>
              <w:t>Matched edge-for-edge; open-circuit half mirrored from the bridging tree</w:t>
            </w:r>
          </w:p>
        </w:tc>
      </w:tr>
      <w:tr>
        <w:tc>
          <w:tcPr>
            <w:tcW w:type="dxa" w:w="2880"/>
          </w:tcPr>
          <w:p>
            <w:r>
              <w:t>Class balance (Table I)</w:t>
            </w:r>
          </w:p>
        </w:tc>
        <w:tc>
          <w:tcPr>
            <w:tcW w:type="dxa" w:w="2880"/>
          </w:tcPr>
          <w:p>
            <w:r>
              <w:t>175,420 / 12,011 / 12,569  (87.71% / 6.01% / 6.28%)</w:t>
            </w:r>
          </w:p>
        </w:tc>
        <w:tc>
          <w:tcPr>
            <w:tcW w:type="dxa" w:w="2880"/>
          </w:tcPr>
          <w:p>
            <w:r>
              <w:t>Calibrated to those priors (87.7% / 6.0% / 6.3% realized)</w:t>
            </w:r>
          </w:p>
        </w:tc>
      </w:tr>
      <w:tr>
        <w:tc>
          <w:tcPr>
            <w:tcW w:type="dxa" w:w="2880"/>
          </w:tcPr>
          <w:p>
            <w:r>
              <w:t>Graded risk</w:t>
            </w:r>
          </w:p>
        </w:tc>
        <w:tc>
          <w:tcPr>
            <w:tcW w:type="dxa" w:w="2880"/>
          </w:tcPr>
          <w:p>
            <w:r>
              <w:t>Eq. 8–10 (0.05 → 0.70 at spec → 0.99 out of spec)</w:t>
            </w:r>
          </w:p>
        </w:tc>
        <w:tc>
          <w:tcPr>
            <w:tcW w:type="dxa" w:w="2880"/>
          </w:tcPr>
          <w:p>
            <w:r>
              <w:t>Exact Eq. 8 implementation</w:t>
            </w:r>
          </w:p>
        </w:tc>
      </w:tr>
      <w:tr>
        <w:tc>
          <w:tcPr>
            <w:tcW w:type="dxa" w:w="2880"/>
          </w:tcPr>
          <w:p>
            <w:r>
              <w:t>Dataset size / split</w:t>
            </w:r>
          </w:p>
        </w:tc>
        <w:tc>
          <w:tcPr>
            <w:tcW w:type="dxa" w:w="2880"/>
          </w:tcPr>
          <w:p>
            <w:r>
              <w:t>200,000;  140k / 30k / 30k (batch-grouped)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t>Defect-head accuracy</w:t>
            </w:r>
          </w:p>
        </w:tc>
        <w:tc>
          <w:tcPr>
            <w:tcW w:type="dxa" w:w="2880"/>
          </w:tcPr>
          <w:p>
            <w:r>
              <w:t>95.00% (reported)</w:t>
            </w:r>
          </w:p>
        </w:tc>
        <w:tc>
          <w:tcPr>
            <w:tcW w:type="dxa" w:w="2880"/>
          </w:tcPr>
          <w:p>
            <w:r>
              <w:t>Oracle ceiling 95.5%; strong learner 94.8% (target achievable)</w:t>
            </w:r>
          </w:p>
        </w:tc>
      </w:tr>
      <w:tr>
        <w:tc>
          <w:tcPr>
            <w:tcW w:type="dxa" w:w="2880"/>
          </w:tcPr>
          <w:p>
            <w:r>
              <w:t>Released artifacts</w:t>
            </w:r>
          </w:p>
        </w:tc>
        <w:tc>
          <w:tcPr>
            <w:tcW w:type="dxa" w:w="2880"/>
          </w:tcPr>
          <w:p>
            <w:r>
              <w:t>None (no code, no constants)</w:t>
            </w:r>
          </w:p>
        </w:tc>
        <w:tc>
          <w:tcPr>
            <w:tcW w:type="dxa" w:w="2880"/>
          </w:tcPr>
          <w:p>
            <w:r>
              <w:t>Full generator, spec, and analysis</w:t>
            </w:r>
          </w:p>
        </w:tc>
      </w:tr>
    </w:tbl>
    <w:p>
      <w:pPr>
        <w:pStyle w:val="Heading1"/>
      </w:pPr>
      <w:r>
        <w:t>6. What cannot be matched exactly (reproducibility gaps)</w:t>
      </w:r>
    </w:p>
    <w:p>
      <w:r>
        <w:t>The paper specifies the form of the data-generating process but not all of its numbers. The following are reconstructed to be process-plausible and calibrated to the paper’s reported anchors, and are documented so they can be revised if more detail becomes available:</w:t>
      </w:r>
    </w:p>
    <w:p>
      <w:pPr>
        <w:pStyle w:val="ListBullet"/>
      </w:pPr>
      <w:r>
        <w:t>The correlation matrix, parameter spec bounds, and process spreads.</w:t>
      </w:r>
    </w:p>
    <w:p>
      <w:pPr>
        <w:pStyle w:val="ListBullet"/>
      </w:pPr>
      <w:r>
        <w:t>The drift coefficients and the causal-edge weights.</w:t>
      </w:r>
    </w:p>
    <w:p>
      <w:pPr>
        <w:pStyle w:val="ListBullet"/>
      </w:pPr>
      <w:r>
        <w:t>The risk-function constants (the two breakpoints and the out-of-spec rise rate); the paper gives the levels 0.05 / 0.70 / 0.99 but not these.</w:t>
      </w:r>
    </w:p>
    <w:p>
      <w:pPr>
        <w:pStyle w:val="ListBullet"/>
      </w:pPr>
      <w:r>
        <w:t>The exact defect-labeling rule (not described in the paper); implemented as a calibrated logit model over the causal map.</w:t>
      </w:r>
    </w:p>
    <w:p>
      <w:pPr>
        <w:pStyle w:val="ListBullet"/>
      </w:pPr>
      <w:r>
        <w:t>The open-circuit half of the causal map: the paper’s Fig. 2 draws only the solder-bridging subtree, so the open-circuit edges are mirrored from it (inferred from the paper’s “opposite non-compliance directions” note).</w:t>
      </w:r>
    </w:p>
    <w:p>
      <w:pPr>
        <w:pStyle w:val="Heading1"/>
      </w:pPr>
      <w:r>
        <w:t>7. Bottom line</w:t>
      </w:r>
    </w:p>
    <w:p>
      <w:r>
        <w:t>The synthetic data is structurally identical to the paper, quantitatively calibrated to its reported class balance and difficulty, and — unlike the paper — fully released, deterministic, and auditable. Because the label posterior is known, the Bayes floor gives an exact, principled performance target for the model stage: a defect classifier should approach ~95% accuracy, matching the paper’s reported result.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