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sz w:val="40"/>
          <w:szCs w:val="40"/>
        </w:rPr>
        <w:t xml:space="preserve">Employee Attrition Prediction Using Machine Learning:
A Case Study on Palo Alto Networks HR Data</w:t>
      </w:r>
    </w:p>
    <w:p>
      <w:pPr>
        <w:spacing w:after="60" w:before="80"/>
        <w:jc w:val="center"/>
      </w:pPr>
      <w:r>
        <w:rPr>
          <w:rFonts w:ascii="Times New Roman" w:cs="Times New Roman" w:eastAsia="Times New Roman" w:hAnsi="Times New Roman"/>
          <w:b/>
          <w:bCs/>
          <w:sz w:val="22"/>
          <w:szCs w:val="22"/>
        </w:rPr>
        <w:t xml:space="preserve">Sapna Amit Rahangdale</w:t>
      </w:r>
    </w:p>
    <w:p>
      <w:pPr>
        <w:spacing w:after="20" w:before="40"/>
        <w:jc w:val="center"/>
      </w:pPr>
      <w:r>
        <w:rPr>
          <w:rFonts w:ascii="Times New Roman" w:cs="Times New Roman" w:eastAsia="Times New Roman" w:hAnsi="Times New Roman"/>
          <w:i/>
          <w:iCs/>
          <w:sz w:val="18"/>
          <w:szCs w:val="18"/>
        </w:rPr>
        <w:t xml:space="preserve">Intern, Department of Computer Science and Engineering</w:t>
      </w:r>
    </w:p>
    <w:p>
      <w:pPr>
        <w:spacing w:after="20" w:before="0"/>
        <w:jc w:val="center"/>
      </w:pPr>
      <w:r>
        <w:rPr>
          <w:rFonts w:ascii="Times New Roman" w:cs="Times New Roman" w:eastAsia="Times New Roman" w:hAnsi="Times New Roman"/>
          <w:i/>
          <w:iCs/>
          <w:sz w:val="18"/>
          <w:szCs w:val="18"/>
        </w:rPr>
        <w:t xml:space="preserve">Palo Alto Networks HR Analytics Project, Nagpur, India</w:t>
      </w:r>
    </w:p>
    <w:p>
      <w:pPr>
        <w:spacing w:after="120" w:before="0"/>
        <w:jc w:val="center"/>
      </w:pPr>
      <w:r>
        <w:rPr>
          <w:rFonts w:ascii="Times New Roman" w:cs="Times New Roman" w:eastAsia="Times New Roman" w:hAnsi="Times New Roman"/>
          <w:i/>
          <w:iCs/>
          <w:sz w:val="18"/>
          <w:szCs w:val="18"/>
        </w:rPr>
        <w:t xml:space="preserve">rahangdalesapna951@gmail.com</w:t>
      </w:r>
    </w:p>
    <w:p>
      <w:pPr>
        <w:spacing w:after="60" w:before="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Employee attrition is a critical challenge for modern organisations, leading to high recruitment costs, knowledge loss, and reduced team productivity. This paper presents a machine learning-based system for predicting employee attrition risk, developed as an independent internship project using the Palo Alto Networks HR Employee dataset of 1,470 records and 31 features. Three classification models — Logistic Regression, Random Forest, and XGBoost — were developed and evaluated following comprehensive exploratory data analysis (EDA) and preprocessing that included SMOTE oversampling to address class imbalance. The best model, Logistic Regression, achieved an ROC-AUC of 80.28% and an F1-Score of 43.84%. An interactive, real-time Streamlit dashboard was built and deployed to enable HR teams to monitor attrition risk, review high-risk employee profiles, and simulate what-if retention scenarios. Key attrition drivers identified include overtime work (30.5% attrition rate), low monthly income, single marital status, and low multi-dimensional satisfaction scores. This study demonstrates that machine learning can meaningfully support proactive, data-driven talent retention strategies in corporate environments.</w:t>
      </w:r>
    </w:p>
    <w:p>
      <w:pPr>
        <w:spacing w:after="100" w:before="4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Attrition Prediction, Employee Retention, Human Resource Analytics, Logistic Regression, Machine Learning, Random Forest, SMOTE, Streamlit Dashboard, XGBoost.</w:t>
      </w:r>
    </w:p>
    <w:p>
      <w:pPr>
        <w:pBdr>
          <w:bottom w:val="single" w:color="000000" w:sz="6" w:space="1"/>
        </w:pBdr>
        <w:spacing w:after="80" w:before="80"/>
      </w:pPr>
      <w:r>
        <w:rPr>
          <w:rFonts w:ascii="Times New Roman" w:cs="Times New Roman" w:eastAsia="Times New Roman" w:hAnsi="Times New Roman"/>
        </w:rPr>
        <w:t xml:space="preserve"/>
      </w:r>
    </w:p>
    <w:p>
      <w:pPr>
        <w:sectPr>
          <w:headerReference w:type="default" r:id="rId7"/>
          <w:type w:val="continuous"/>
          <w:pgSz w:w="11906" w:h="16838" w:orient="portrait"/>
          <w:pgMar w:top="720" w:right="720" w:bottom="720" w:left="720" w:header="708" w:footer="708" w:gutter="0"/>
          <w:pgNumType/>
          <w:docGrid w:linePitch="360"/>
        </w:sectPr>
      </w:pPr>
    </w:p>
    <w:p>
      <w:pPr>
        <w:spacing w:after="80" w:before="160" w:line="240"/>
        <w:ind/>
        <w:jc w:val="center"/>
      </w:pPr>
      <w:r>
        <w:rPr>
          <w:rFonts w:ascii="Times New Roman" w:cs="Times New Roman" w:eastAsia="Times New Roman" w:hAnsi="Times New Roman"/>
          <w:b/>
          <w:bCs/>
          <w:sz w:val="20"/>
          <w:szCs w:val="20"/>
        </w:rPr>
        <w:t xml:space="preserve">I. INTRODUCTION</w:t>
      </w:r>
    </w:p>
    <w:p>
      <w:pPr>
        <w:spacing w:after="60" w:before="60" w:line="240"/>
        <w:ind/>
        <w:jc w:val="both"/>
      </w:pPr>
      <w:r>
        <w:rPr>
          <w:rFonts w:ascii="Times New Roman" w:cs="Times New Roman" w:eastAsia="Times New Roman" w:hAnsi="Times New Roman"/>
          <w:sz w:val="18"/>
          <w:szCs w:val="18"/>
        </w:rPr>
        <w:t xml:space="preserve">Employee attrition — the voluntary or involuntary departure of employees from an organisation — represents one of the most operationally and financially costly challenges faced by human resource (HR) departments worldwide. The Society for Human Resource Management (SHRM) estimates that replacing a single employee can cost between 50% and 200% of their annual salary, depending on the seniority and complexity of the role. For organisations in fast-paced, knowledge-intensive sectors such as cybersecurity and technology, retaining skilled talent is a strategic priority.</w:t>
      </w:r>
    </w:p>
    <w:p>
      <w:pPr>
        <w:spacing w:after="60" w:before="60" w:line="240"/>
        <w:ind/>
        <w:jc w:val="both"/>
      </w:pPr>
      <w:r>
        <w:rPr>
          <w:rFonts w:ascii="Times New Roman" w:cs="Times New Roman" w:eastAsia="Times New Roman" w:hAnsi="Times New Roman"/>
          <w:sz w:val="18"/>
          <w:szCs w:val="18"/>
        </w:rPr>
        <w:t xml:space="preserve">Traditional attrition management is largely reactive: HR departments are typically informed of an employee's intention to leave only after a resignation has been submitted, leaving little time for meaningful intervention. The emergence of machine learning and predictive analytics offers a compelling alternative — enabling HR teams to identify employees at high risk of leaving weeks or months in advance, and to take targeted retention actions before the decision becomes irreversible.</w:t>
      </w:r>
    </w:p>
    <w:p>
      <w:pPr>
        <w:spacing w:after="60" w:before="60" w:line="240"/>
        <w:ind/>
        <w:jc w:val="both"/>
      </w:pPr>
      <w:r>
        <w:rPr>
          <w:rFonts w:ascii="Times New Roman" w:cs="Times New Roman" w:eastAsia="Times New Roman" w:hAnsi="Times New Roman"/>
          <w:sz w:val="18"/>
          <w:szCs w:val="18"/>
        </w:rPr>
        <w:t xml:space="preserve">This paper presents the findings of an individual internship project that developed a complete, end-to-end employee attrition prediction system for Palo Alto Networks HR data. The project encompassed: (1) comprehensive exploratory data analysis to surface the key drivers of attrition; (2) structured data preprocessing including encoding, scaling, and SMOTE oversampling; (3) training and evaluation of three classification models — Logistic Regression, Random Forest, and XGBoost; and (4) deployment of an interactive Streamlit dashboard enabling real-time risk monitoring and what-if scenario simulation by HR professionals.</w:t>
      </w:r>
    </w:p>
    <w:p>
      <w:pPr>
        <w:spacing w:after="60" w:before="60" w:line="240"/>
        <w:ind/>
        <w:jc w:val="both"/>
      </w:pPr>
      <w:r>
        <w:rPr>
          <w:rFonts w:ascii="Times New Roman" w:cs="Times New Roman" w:eastAsia="Times New Roman" w:hAnsi="Times New Roman"/>
          <w:sz w:val="18"/>
          <w:szCs w:val="18"/>
        </w:rPr>
        <w:t xml:space="preserve">The remainder of this paper is organised as follows. Section II reviews the related literature. Section III describes the dataset and methodology. Section IV presents the findings of the exploratory data analysis. Section V reports model results and evaluation. Section VI describes the Streamlit dashboard. Section VII provides discussion, and Section VIII concludes the paper.</w:t>
      </w:r>
    </w:p>
    <w:p>
      <w:pPr>
        <w:spacing w:after="80" w:before="160" w:line="240"/>
        <w:ind/>
        <w:jc w:val="center"/>
      </w:pPr>
      <w:r>
        <w:rPr>
          <w:rFonts w:ascii="Times New Roman" w:cs="Times New Roman" w:eastAsia="Times New Roman" w:hAnsi="Times New Roman"/>
          <w:b/>
          <w:bCs/>
          <w:sz w:val="20"/>
          <w:szCs w:val="20"/>
        </w:rPr>
        <w:t xml:space="preserve">II. LITERATURE REVIEW</w:t>
      </w:r>
    </w:p>
    <w:p>
      <w:pPr>
        <w:spacing w:after="60" w:before="60" w:line="240"/>
        <w:ind/>
        <w:jc w:val="both"/>
      </w:pPr>
      <w:r>
        <w:rPr>
          <w:rFonts w:ascii="Times New Roman" w:cs="Times New Roman" w:eastAsia="Times New Roman" w:hAnsi="Times New Roman"/>
          <w:sz w:val="18"/>
          <w:szCs w:val="18"/>
        </w:rPr>
        <w:t xml:space="preserve">The application of machine learning to HR analytics has gained substantial momentum over the past decade. Early work by Punnoose and Ajit [1] demonstrated that ensemble methods such as Random Forest could classify employee turnover outcomes with high accuracy on structured HR datasets, establishing a foundation for subsequent research in this domain.</w:t>
      </w:r>
    </w:p>
    <w:p>
      <w:pPr>
        <w:spacing w:after="60" w:before="60" w:line="240"/>
        <w:ind/>
        <w:jc w:val="both"/>
      </w:pPr>
      <w:r>
        <w:rPr>
          <w:rFonts w:ascii="Times New Roman" w:cs="Times New Roman" w:eastAsia="Times New Roman" w:hAnsi="Times New Roman"/>
          <w:sz w:val="18"/>
          <w:szCs w:val="18"/>
        </w:rPr>
        <w:t xml:space="preserve">IBM's openly published HR Analytics dataset has served as a widely adopted benchmark for attrition modelling research. Fallucchi et al. [2] systematically benchmarked multiple classifiers on this dataset and found that gradient boosting approaches consistently achieved higher ROC-AUC values than logistic regression, though with reduced interpretability. Jain and Nayyar [3] argued persuasively that for HR decision support, model interpretability is as important as predictive performance — a consideration that guided model selection in this study.</w:t>
      </w:r>
    </w:p>
    <w:p>
      <w:pPr>
        <w:spacing w:after="60" w:before="60" w:line="240"/>
        <w:ind/>
        <w:jc w:val="both"/>
      </w:pPr>
      <w:r>
        <w:rPr>
          <w:rFonts w:ascii="Times New Roman" w:cs="Times New Roman" w:eastAsia="Times New Roman" w:hAnsi="Times New Roman"/>
          <w:sz w:val="18"/>
          <w:szCs w:val="18"/>
        </w:rPr>
        <w:t xml:space="preserve">The class imbalance problem inherent to attrition datasets — where employees who stay substantially outnumber those who leave — has been widely studied. Chawla et al. [4] introduced SMOTE (Synthetic Minority Oversampling Technique), which generates synthetic samples of the minority class and has since become the standard approach for resampling imbalanced HR datasets. More recent work by Zhao et al. [5] demonstrated that connecting predictive models to interactive HR dashboards significantly increased adoption of data-driven retention strategies among HR practitioners, motivating the dashboard development component of this study.</w:t>
      </w:r>
    </w:p>
    <w:p>
      <w:pPr>
        <w:spacing w:after="80" w:before="160" w:line="240"/>
        <w:ind/>
        <w:jc w:val="center"/>
      </w:pPr>
      <w:r>
        <w:rPr>
          <w:rFonts w:ascii="Times New Roman" w:cs="Times New Roman" w:eastAsia="Times New Roman" w:hAnsi="Times New Roman"/>
          <w:b/>
          <w:bCs/>
          <w:sz w:val="20"/>
          <w:szCs w:val="20"/>
        </w:rPr>
        <w:t xml:space="preserve">III. DATASET AND METHODOLOGY</w:t>
      </w:r>
    </w:p>
    <w:p>
      <w:pPr>
        <w:spacing w:after="60" w:before="120" w:line="240"/>
        <w:ind/>
        <w:jc w:val="both"/>
      </w:pPr>
      <w:r>
        <w:rPr>
          <w:rFonts w:ascii="Times New Roman" w:cs="Times New Roman" w:eastAsia="Times New Roman" w:hAnsi="Times New Roman"/>
          <w:b/>
          <w:bCs/>
          <w:i/>
          <w:iCs/>
          <w:sz w:val="18"/>
          <w:szCs w:val="18"/>
        </w:rPr>
        <w:t xml:space="preserve">A. Dataset Description</w:t>
      </w:r>
    </w:p>
    <w:p>
      <w:pPr>
        <w:spacing w:after="60" w:before="60" w:line="240"/>
        <w:ind/>
        <w:jc w:val="both"/>
      </w:pPr>
      <w:r>
        <w:rPr>
          <w:rFonts w:ascii="Times New Roman" w:cs="Times New Roman" w:eastAsia="Times New Roman" w:hAnsi="Times New Roman"/>
          <w:sz w:val="18"/>
          <w:szCs w:val="18"/>
        </w:rPr>
        <w:t xml:space="preserve">This study uses the Palo Alto Networks HR Employee Attrition dataset, comprising 1,470 employee records and 31 features. The dataset covers demographic attributes (Age, Gender, MaritalStatus), compensation features (MonthlyIncome, StockOptionLevel, PercentSalaryHike), job characteristics (JobRole, Department, JobLevel, OverTime), experience metrics (TotalWorkingYears, YearsAtCompany, YearsInCurrentRole, YearsWithCurrentManager), and satisfaction indicators (JobSatisfaction, EnvironmentSatisfaction, WorkLifeBalance, RelationshipSatisfaction). The binary target variable Attrition encodes whether an employee left (1) or stayed (0). No missing values were found in the dataset, confirming it was clean and ready for analysis without requiring any imputation.</w:t>
      </w:r>
    </w:p>
    <w:p>
      <w:pPr>
        <w:spacing w:after="60" w:before="120" w:line="240"/>
        <w:ind/>
        <w:jc w:val="both"/>
      </w:pPr>
      <w:r>
        <w:rPr>
          <w:rFonts w:ascii="Times New Roman" w:cs="Times New Roman" w:eastAsia="Times New Roman" w:hAnsi="Times New Roman"/>
          <w:b/>
          <w:bCs/>
          <w:i/>
          <w:iCs/>
          <w:sz w:val="18"/>
          <w:szCs w:val="18"/>
        </w:rPr>
        <w:t xml:space="preserve">B. Preprocessing Pipeline</w:t>
      </w:r>
    </w:p>
    <w:p>
      <w:pPr>
        <w:spacing w:after="60" w:before="60" w:line="240"/>
        <w:ind/>
        <w:jc w:val="both"/>
      </w:pPr>
      <w:r>
        <w:rPr>
          <w:rFonts w:ascii="Times New Roman" w:cs="Times New Roman" w:eastAsia="Times New Roman" w:hAnsi="Times New Roman"/>
          <w:sz w:val="18"/>
          <w:szCs w:val="18"/>
        </w:rPr>
        <w:t xml:space="preserve">The preprocessing pipeline involved five systematic steps. First, Label Encoding was applied to binary categorical variables — Gender (Male/Female) and OverTime (Yes/No). Second, One-Hot Encoding was used for multi-class categorical variables: BusinessTravel, Department, EducationField, JobRole, and MaritalStatus, converting them into binary indicator columns suitable for machine learning algorithms. Third, to address the significant class imbalance in the training set (83.9% stayed versus 16.1% left), SMOTE was applied exclusively on the training data to generate synthetic minority-class samples, resulting in a balanced training distribution. Fourth, all numerical features were standardised using StandardScaler to normalise their ranges and ensure equal contribution to distance-sensitive models. Fifth, the dataset was split into 80% training (1,176 samples) and 20% testing (294 samples) using stratified sampling to preserve the original class ratio in both sets.</w:t>
      </w:r>
    </w:p>
    <w:p>
      <w:pPr>
        <w:spacing w:after="60" w:before="120" w:line="240"/>
        <w:ind/>
        <w:jc w:val="both"/>
      </w:pPr>
      <w:r>
        <w:rPr>
          <w:rFonts w:ascii="Times New Roman" w:cs="Times New Roman" w:eastAsia="Times New Roman" w:hAnsi="Times New Roman"/>
          <w:b/>
          <w:bCs/>
          <w:i/>
          <w:iCs/>
          <w:sz w:val="18"/>
          <w:szCs w:val="18"/>
        </w:rPr>
        <w:t xml:space="preserve">C. Machine Learning Models</w:t>
      </w:r>
    </w:p>
    <w:p>
      <w:pPr>
        <w:spacing w:after="60" w:before="60" w:line="240"/>
        <w:ind/>
        <w:jc w:val="both"/>
      </w:pPr>
      <w:r>
        <w:rPr>
          <w:rFonts w:ascii="Times New Roman" w:cs="Times New Roman" w:eastAsia="Times New Roman" w:hAnsi="Times New Roman"/>
          <w:b/>
          <w:bCs/>
          <w:sz w:val="18"/>
          <w:szCs w:val="18"/>
        </w:rPr>
        <w:t xml:space="preserve">Logistic Regression: </w:t>
      </w:r>
      <w:r>
        <w:rPr>
          <w:rFonts w:ascii="Times New Roman" w:cs="Times New Roman" w:eastAsia="Times New Roman" w:hAnsi="Times New Roman"/>
          <w:sz w:val="18"/>
          <w:szCs w:val="18"/>
        </w:rPr>
        <w:t xml:space="preserve">A linear probabilistic classifier that models the log-odds of attrition as a weighted linear combination of features. Selected as the baseline model due to its high interpretability and efficiency on tabular data.</w:t>
      </w:r>
    </w:p>
    <w:p>
      <w:pPr>
        <w:spacing w:after="60" w:before="60" w:line="240"/>
        <w:ind/>
        <w:jc w:val="both"/>
      </w:pPr>
      <w:r>
        <w:rPr>
          <w:rFonts w:ascii="Times New Roman" w:cs="Times New Roman" w:eastAsia="Times New Roman" w:hAnsi="Times New Roman"/>
          <w:b/>
          <w:bCs/>
          <w:sz w:val="18"/>
          <w:szCs w:val="18"/>
        </w:rPr>
        <w:t xml:space="preserve">Random Forest: </w:t>
      </w:r>
      <w:r>
        <w:rPr>
          <w:rFonts w:ascii="Times New Roman" w:cs="Times New Roman" w:eastAsia="Times New Roman" w:hAnsi="Times New Roman"/>
          <w:sz w:val="18"/>
          <w:szCs w:val="18"/>
        </w:rPr>
        <w:t xml:space="preserve">An ensemble of decision trees trained using bootstrap aggregation (bagging). Handles non-linear feature relationships and is robust to overfitting on moderate-sized datasets.</w:t>
      </w:r>
    </w:p>
    <w:p>
      <w:pPr>
        <w:spacing w:after="60" w:before="60" w:line="240"/>
        <w:ind/>
        <w:jc w:val="both"/>
      </w:pPr>
      <w:r>
        <w:rPr>
          <w:rFonts w:ascii="Times New Roman" w:cs="Times New Roman" w:eastAsia="Times New Roman" w:hAnsi="Times New Roman"/>
          <w:b/>
          <w:bCs/>
          <w:sz w:val="18"/>
          <w:szCs w:val="18"/>
        </w:rPr>
        <w:t xml:space="preserve">XGBoost: </w:t>
      </w:r>
      <w:r>
        <w:rPr>
          <w:rFonts w:ascii="Times New Roman" w:cs="Times New Roman" w:eastAsia="Times New Roman" w:hAnsi="Times New Roman"/>
          <w:sz w:val="18"/>
          <w:szCs w:val="18"/>
        </w:rPr>
        <w:t xml:space="preserve">A gradient-boosted decision tree algorithm that builds trees sequentially, each correcting the residual errors of the previous one. Known for high performance on structured tabular datasets.</w:t>
      </w:r>
    </w:p>
    <w:p>
      <w:pPr>
        <w:spacing w:after="60" w:before="120" w:line="240"/>
        <w:ind/>
        <w:jc w:val="both"/>
      </w:pPr>
      <w:r>
        <w:rPr>
          <w:rFonts w:ascii="Times New Roman" w:cs="Times New Roman" w:eastAsia="Times New Roman" w:hAnsi="Times New Roman"/>
          <w:b/>
          <w:bCs/>
          <w:i/>
          <w:iCs/>
          <w:sz w:val="18"/>
          <w:szCs w:val="18"/>
        </w:rPr>
        <w:t xml:space="preserve">D. Evaluation Metrics</w:t>
      </w:r>
    </w:p>
    <w:p>
      <w:pPr>
        <w:spacing w:after="60" w:before="60" w:line="240"/>
        <w:ind/>
        <w:jc w:val="both"/>
      </w:pPr>
      <w:r>
        <w:rPr>
          <w:rFonts w:ascii="Times New Roman" w:cs="Times New Roman" w:eastAsia="Times New Roman" w:hAnsi="Times New Roman"/>
          <w:sz w:val="18"/>
          <w:szCs w:val="18"/>
        </w:rPr>
        <w:t xml:space="preserve">All three models were evaluated using ROC-AUC Score, F1-Score, Precision, Recall, and overall Accuracy. Given the class imbalance context, ROC-AUC and F1-Score were treated as the primary metrics, as overall accuracy alone would be misleading — a naive model that always predicts "Stayed" would achieve 83.9% accuracy without detecting any actual attrition cases.</w:t>
      </w:r>
    </w:p>
    <w:p>
      <w:pPr>
        <w:spacing w:after="80" w:before="160" w:line="240"/>
        <w:ind/>
        <w:jc w:val="center"/>
      </w:pPr>
      <w:r>
        <w:rPr>
          <w:rFonts w:ascii="Times New Roman" w:cs="Times New Roman" w:eastAsia="Times New Roman" w:hAnsi="Times New Roman"/>
          <w:b/>
          <w:bCs/>
          <w:sz w:val="20"/>
          <w:szCs w:val="20"/>
        </w:rPr>
        <w:t xml:space="preserve">IV. EXPLORATORY DATA ANALYSIS</w:t>
      </w:r>
    </w:p>
    <w:p>
      <w:pPr>
        <w:spacing w:after="60" w:before="120" w:line="240"/>
        <w:ind/>
        <w:jc w:val="both"/>
      </w:pPr>
      <w:r>
        <w:rPr>
          <w:rFonts w:ascii="Times New Roman" w:cs="Times New Roman" w:eastAsia="Times New Roman" w:hAnsi="Times New Roman"/>
          <w:b/>
          <w:bCs/>
          <w:i/>
          <w:iCs/>
          <w:sz w:val="18"/>
          <w:szCs w:val="18"/>
        </w:rPr>
        <w:t xml:space="preserve">A. Attrition Distribution</w:t>
      </w:r>
    </w:p>
    <w:p>
      <w:pPr>
        <w:spacing w:after="60" w:before="60" w:line="240"/>
        <w:ind/>
        <w:jc w:val="both"/>
      </w:pPr>
      <w:r>
        <w:rPr>
          <w:rFonts w:ascii="Times New Roman" w:cs="Times New Roman" w:eastAsia="Times New Roman" w:hAnsi="Times New Roman"/>
          <w:sz w:val="18"/>
          <w:szCs w:val="18"/>
        </w:rPr>
        <w:t xml:space="preserve">The dataset exhibits significant class imbalance. Of 1,470 employees, 237 (16.1%) left the organisation while 1,233 (83.9%) remained. This imbalance would cause a naive classifier to favour the majority class, producing high accuracy but poor recall for the minority class. SMOTE was applied during preprocessing to correct this before model training.</w:t>
      </w:r>
    </w:p>
    <w:p>
      <w:pPr>
        <w:spacing w:after="60" w:before="120" w:line="240"/>
        <w:ind/>
        <w:jc w:val="both"/>
      </w:pPr>
      <w:r>
        <w:rPr>
          <w:rFonts w:ascii="Times New Roman" w:cs="Times New Roman" w:eastAsia="Times New Roman" w:hAnsi="Times New Roman"/>
          <w:b/>
          <w:bCs/>
          <w:i/>
          <w:iCs/>
          <w:sz w:val="18"/>
          <w:szCs w:val="18"/>
        </w:rPr>
        <w:t xml:space="preserve">B. Attrition by Department and Job Role</w:t>
      </w:r>
    </w:p>
    <w:p>
      <w:pPr>
        <w:spacing w:after="60" w:before="60" w:line="240"/>
        <w:ind/>
        <w:jc w:val="both"/>
      </w:pPr>
      <w:r>
        <w:rPr>
          <w:rFonts w:ascii="Times New Roman" w:cs="Times New Roman" w:eastAsia="Times New Roman" w:hAnsi="Times New Roman"/>
          <w:sz w:val="18"/>
          <w:szCs w:val="18"/>
        </w:rPr>
        <w:t xml:space="preserve">Analysis of attrition rates by organisational unit revealed significant variation across departments and roles. Table I summarises the key findings. The Sales department recorded the highest departmental attrition at 20.6%, followed by Human Resources at 19.0%, and Research &amp; Development at 13.8% — both Sales and HR significantly exceeding the company average of 16.1%.</w:t>
      </w:r>
    </w:p>
    <w:p>
      <w:pPr>
        <w:spacing w:after="60" w:before="60" w:line="240"/>
        <w:ind/>
        <w:jc w:val="both"/>
      </w:pPr>
      <w:r>
        <w:rPr>
          <w:rFonts w:ascii="Times New Roman" w:cs="Times New Roman" w:eastAsia="Times New Roman" w:hAnsi="Times New Roman"/>
          <w:sz w:val="18"/>
          <w:szCs w:val="18"/>
        </w:rPr>
        <w:t xml:space="preserve">At the job role level, the disparity is even more pronounced. Sales Representatives exhibited an attrition rate of 39.8%, meaning nearly 4 in every 10 Sales Representatives left the company — 2.5 times the company average. This role also had the lowest average monthly income (Rs 2,626), strongly suggesting that low compensation is a primary driver. Conversely, Research Directors recorded the lowest attrition rate of 2.5%, consistent with their position as the highest-paid senior role group.</w:t>
      </w:r>
    </w:p>
    <w:p>
      <w:pPr>
        <w:spacing w:after="40" w:before="80"/>
        <w:jc w:val="center"/>
      </w:pPr>
      <w:r>
        <w:rPr>
          <w:rFonts w:ascii="Times New Roman" w:cs="Times New Roman" w:eastAsia="Times New Roman" w:hAnsi="Times New Roman"/>
          <w:b/>
          <w:bCs/>
          <w:sz w:val="16"/>
          <w:szCs w:val="16"/>
        </w:rPr>
        <w:t xml:space="preserve">TABLE I.  ATTRITION RATES BY DEPARTMENT AND ROLE</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2779"/>
        <w:gridCol w:w="2274"/>
      </w:tblGrid>
      <w:tr>
        <w:tc>
          <w:tcPr>
            <w:tcW w:type="dxa" w:w="2779"/>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Department / Job Role</w:t>
            </w:r>
          </w:p>
        </w:tc>
        <w:tc>
          <w:tcPr>
            <w:tcW w:type="dxa" w:w="2274"/>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Attrition Rate</w:t>
            </w:r>
          </w:p>
        </w:tc>
      </w:tr>
      <w:tr>
        <w:tc>
          <w:tcPr>
            <w:tcW w:type="dxa" w:w="277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Sales Department</w:t>
            </w:r>
          </w:p>
        </w:tc>
        <w:tc>
          <w:tcPr>
            <w:tcW w:type="dxa" w:w="227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20.6%</w:t>
            </w:r>
          </w:p>
        </w:tc>
      </w:tr>
      <w:tr>
        <w:tc>
          <w:tcPr>
            <w:tcW w:type="dxa" w:w="2779"/>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Human Resources</w:t>
            </w:r>
          </w:p>
        </w:tc>
        <w:tc>
          <w:tcPr>
            <w:tcW w:type="dxa" w:w="2274"/>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19.0%</w:t>
            </w:r>
          </w:p>
        </w:tc>
      </w:tr>
      <w:tr>
        <w:tc>
          <w:tcPr>
            <w:tcW w:type="dxa" w:w="277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Research &amp; Development</w:t>
            </w:r>
          </w:p>
        </w:tc>
        <w:tc>
          <w:tcPr>
            <w:tcW w:type="dxa" w:w="227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13.8%</w:t>
            </w:r>
          </w:p>
        </w:tc>
      </w:tr>
      <w:tr>
        <w:tc>
          <w:tcPr>
            <w:tcW w:type="dxa" w:w="2779"/>
            <w:tcBorders>
              <w:top w:val="single" w:color="000000" w:sz="4"/>
              <w:left w:val="single" w:color="000000" w:sz="4"/>
              <w:bottom w:val="single" w:color="000000" w:sz="4"/>
              <w:right w:val="single" w:color="000000" w:sz="4"/>
            </w:tcBorders>
            <w:shd w:fill="FFE0E0"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Sales Representative</w:t>
            </w:r>
          </w:p>
        </w:tc>
        <w:tc>
          <w:tcPr>
            <w:tcW w:type="dxa" w:w="2274"/>
            <w:tcBorders>
              <w:top w:val="single" w:color="000000" w:sz="4"/>
              <w:left w:val="single" w:color="000000" w:sz="4"/>
              <w:bottom w:val="single" w:color="000000" w:sz="4"/>
              <w:right w:val="single" w:color="000000" w:sz="4"/>
            </w:tcBorders>
            <w:shd w:fill="FFE0E0"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39.8% (highest)</w:t>
            </w:r>
          </w:p>
        </w:tc>
      </w:tr>
      <w:tr>
        <w:tc>
          <w:tcPr>
            <w:tcW w:type="dxa" w:w="277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Laboratory Technician</w:t>
            </w:r>
          </w:p>
        </w:tc>
        <w:tc>
          <w:tcPr>
            <w:tcW w:type="dxa" w:w="227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23.9%</w:t>
            </w:r>
          </w:p>
        </w:tc>
      </w:tr>
      <w:tr>
        <w:tc>
          <w:tcPr>
            <w:tcW w:type="dxa" w:w="2779"/>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Human Resources Spec.</w:t>
            </w:r>
          </w:p>
        </w:tc>
        <w:tc>
          <w:tcPr>
            <w:tcW w:type="dxa" w:w="2274"/>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23.1%</w:t>
            </w:r>
          </w:p>
        </w:tc>
      </w:tr>
      <w:tr>
        <w:tc>
          <w:tcPr>
            <w:tcW w:type="dxa" w:w="277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Research Director</w:t>
            </w:r>
          </w:p>
        </w:tc>
        <w:tc>
          <w:tcPr>
            <w:tcW w:type="dxa" w:w="227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2.5% (lowest)</w:t>
            </w:r>
          </w:p>
        </w:tc>
      </w:tr>
    </w:tbl>
    <w:p>
      <w:pPr>
        <w:spacing w:after="0" w:before="80"/>
      </w:pPr>
      <w:r>
        <w:rPr>
          <w:rFonts w:ascii="Times New Roman" w:cs="Times New Roman" w:eastAsia="Times New Roman" w:hAnsi="Times New Roman"/>
        </w:rPr>
        <w:t xml:space="preserve"/>
      </w:r>
    </w:p>
    <w:p>
      <w:pPr>
        <w:spacing w:after="60" w:before="120" w:line="240"/>
        <w:ind/>
        <w:jc w:val="both"/>
      </w:pPr>
      <w:r>
        <w:rPr>
          <w:rFonts w:ascii="Times New Roman" w:cs="Times New Roman" w:eastAsia="Times New Roman" w:hAnsi="Times New Roman"/>
          <w:b/>
          <w:bCs/>
          <w:i/>
          <w:iCs/>
          <w:sz w:val="18"/>
          <w:szCs w:val="18"/>
        </w:rPr>
        <w:t xml:space="preserve">C. Impact of Overtime and Marital Status</w:t>
      </w:r>
    </w:p>
    <w:p>
      <w:pPr>
        <w:spacing w:after="60" w:before="60" w:line="240"/>
        <w:ind/>
        <w:jc w:val="both"/>
      </w:pPr>
      <w:r>
        <w:rPr>
          <w:rFonts w:ascii="Times New Roman" w:cs="Times New Roman" w:eastAsia="Times New Roman" w:hAnsi="Times New Roman"/>
          <w:sz w:val="18"/>
          <w:szCs w:val="18"/>
        </w:rPr>
        <w:t xml:space="preserve">Overtime emerged as the single strongest predictor of attrition in this dataset. Employees who worked overtime recorded an attrition rate of 30.5%, compared to just 10.4% for those who did not — a ratio of nearly 3:1. This finding strongly suggests that excessive workload and work-life imbalance are the primary operational drivers of employee departure at Palo Alto Networks.</w:t>
      </w:r>
    </w:p>
    <w:p>
      <w:pPr>
        <w:spacing w:after="60" w:before="60" w:line="240"/>
        <w:ind/>
        <w:jc w:val="both"/>
      </w:pPr>
      <w:r>
        <w:rPr>
          <w:rFonts w:ascii="Times New Roman" w:cs="Times New Roman" w:eastAsia="Times New Roman" w:hAnsi="Times New Roman"/>
          <w:sz w:val="18"/>
          <w:szCs w:val="18"/>
        </w:rPr>
        <w:t xml:space="preserve">Marital status showed a statistically meaningful relationship with attrition. Single employees left at a rate of 25.5% — more than double the rate for divorced (10.1%) and substantially higher than married employees (12.5%). This pattern is consistent with the hypothesis that employees with fewer personal and financial commitments face lower switching costs when considering a job change.</w:t>
      </w:r>
    </w:p>
    <w:p>
      <w:pPr>
        <w:spacing w:after="60" w:before="120" w:line="240"/>
        <w:ind/>
        <w:jc w:val="both"/>
      </w:pPr>
      <w:r>
        <w:rPr>
          <w:rFonts w:ascii="Times New Roman" w:cs="Times New Roman" w:eastAsia="Times New Roman" w:hAnsi="Times New Roman"/>
          <w:b/>
          <w:bCs/>
          <w:i/>
          <w:iCs/>
          <w:sz w:val="18"/>
          <w:szCs w:val="18"/>
        </w:rPr>
        <w:t xml:space="preserve">D. Monthly Income Analysis</w:t>
      </w:r>
    </w:p>
    <w:p>
      <w:pPr>
        <w:spacing w:after="60" w:before="60" w:line="240"/>
        <w:ind/>
        <w:jc w:val="both"/>
      </w:pPr>
      <w:r>
        <w:rPr>
          <w:rFonts w:ascii="Times New Roman" w:cs="Times New Roman" w:eastAsia="Times New Roman" w:hAnsi="Times New Roman"/>
          <w:sz w:val="18"/>
          <w:szCs w:val="18"/>
        </w:rPr>
        <w:t xml:space="preserve">A significant income gap was identified between employees who left and those who stayed. Employees who left earned an average of Rs 4,787 per month, compared to Rs 6,833 for those who stayed — a monthly difference of Rs 2,046. When analysed by role, the inverse relationship between salary and attrition is striking: the lowest-paid role (Sales Representative, Rs 2,626/month) recorded the highest attrition (39.8%), while the highest-paid role (Manager, Rs 17,182/month) recorded the lowest attrition (4.9%). These findings confirm that compensation is one of the most important and actionable levers for improving employee retention.</w:t>
      </w:r>
    </w:p>
    <w:p>
      <w:pPr>
        <w:spacing w:after="60" w:before="120" w:line="240"/>
        <w:ind/>
        <w:jc w:val="both"/>
      </w:pPr>
      <w:r>
        <w:rPr>
          <w:rFonts w:ascii="Times New Roman" w:cs="Times New Roman" w:eastAsia="Times New Roman" w:hAnsi="Times New Roman"/>
          <w:b/>
          <w:bCs/>
          <w:i/>
          <w:iCs/>
          <w:sz w:val="18"/>
          <w:szCs w:val="18"/>
        </w:rPr>
        <w:t xml:space="preserve">E. Satisfaction Score Analysis</w:t>
      </w:r>
    </w:p>
    <w:p>
      <w:pPr>
        <w:spacing w:after="60" w:before="60" w:line="240"/>
        <w:ind/>
        <w:jc w:val="both"/>
      </w:pPr>
      <w:r>
        <w:rPr>
          <w:rFonts w:ascii="Times New Roman" w:cs="Times New Roman" w:eastAsia="Times New Roman" w:hAnsi="Times New Roman"/>
          <w:sz w:val="18"/>
          <w:szCs w:val="18"/>
        </w:rPr>
        <w:t xml:space="preserve">Employee satisfaction was measured across four dimensions, each rated on a 1 (Low) to 4 (High) scale: Job Satisfaction, Environment Satisfaction, Work-Life Balance, and Relationship Satisfaction. In all four dimensions, employees who left consistently scored lower than those who stayed, as shown in Table II. Although the absolute differences appear small, they are consistent across all dimensions and are statistically meaningful when considered across a population of 1,470 employees.</w:t>
      </w:r>
    </w:p>
    <w:p>
      <w:pPr>
        <w:spacing w:after="40" w:before="80"/>
        <w:jc w:val="center"/>
      </w:pPr>
      <w:r>
        <w:rPr>
          <w:rFonts w:ascii="Times New Roman" w:cs="Times New Roman" w:eastAsia="Times New Roman" w:hAnsi="Times New Roman"/>
          <w:b/>
          <w:bCs/>
          <w:sz w:val="16"/>
          <w:szCs w:val="16"/>
        </w:rPr>
        <w:t xml:space="preserve">TABLE II.  SATISFACTION SCORES: STAYED vs. LEFT</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2273"/>
        <w:gridCol w:w="1414"/>
        <w:gridCol w:w="1366"/>
      </w:tblGrid>
      <w:tr>
        <w:tc>
          <w:tcPr>
            <w:tcW w:type="dxa" w:w="2273"/>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Dimension</w:t>
            </w:r>
          </w:p>
        </w:tc>
        <w:tc>
          <w:tcPr>
            <w:tcW w:type="dxa" w:w="1414"/>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Stayed</w:t>
            </w:r>
          </w:p>
        </w:tc>
        <w:tc>
          <w:tcPr>
            <w:tcW w:type="dxa" w:w="1366"/>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Left</w:t>
            </w:r>
          </w:p>
        </w:tc>
      </w:tr>
      <w:tr>
        <w:tc>
          <w:tcPr>
            <w:tcW w:type="dxa" w:w="227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Job Satisfaction</w:t>
            </w:r>
          </w:p>
        </w:tc>
        <w:tc>
          <w:tcPr>
            <w:tcW w:type="dxa" w:w="141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2.78</w:t>
            </w:r>
          </w:p>
        </w:tc>
        <w:tc>
          <w:tcPr>
            <w:tcW w:type="dxa" w:w="13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2.47</w:t>
            </w:r>
          </w:p>
        </w:tc>
      </w:tr>
      <w:tr>
        <w:tc>
          <w:tcPr>
            <w:tcW w:type="dxa" w:w="2273"/>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Env. Satisfaction</w:t>
            </w:r>
          </w:p>
        </w:tc>
        <w:tc>
          <w:tcPr>
            <w:tcW w:type="dxa" w:w="1414"/>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2.77</w:t>
            </w:r>
          </w:p>
        </w:tc>
        <w:tc>
          <w:tcPr>
            <w:tcW w:type="dxa" w:w="136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2.46</w:t>
            </w:r>
          </w:p>
        </w:tc>
      </w:tr>
      <w:tr>
        <w:tc>
          <w:tcPr>
            <w:tcW w:type="dxa" w:w="227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Work-Life Balance</w:t>
            </w:r>
          </w:p>
        </w:tc>
        <w:tc>
          <w:tcPr>
            <w:tcW w:type="dxa" w:w="141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2.78</w:t>
            </w:r>
          </w:p>
        </w:tc>
        <w:tc>
          <w:tcPr>
            <w:tcW w:type="dxa" w:w="13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2.66</w:t>
            </w:r>
          </w:p>
        </w:tc>
      </w:tr>
      <w:tr>
        <w:tc>
          <w:tcPr>
            <w:tcW w:type="dxa" w:w="2273"/>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Relationship Sat.</w:t>
            </w:r>
          </w:p>
        </w:tc>
        <w:tc>
          <w:tcPr>
            <w:tcW w:type="dxa" w:w="1414"/>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2.73</w:t>
            </w:r>
          </w:p>
        </w:tc>
        <w:tc>
          <w:tcPr>
            <w:tcW w:type="dxa" w:w="136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2.60</w:t>
            </w:r>
          </w:p>
        </w:tc>
      </w:tr>
    </w:tbl>
    <w:p>
      <w:pPr>
        <w:spacing w:after="0" w:before="80"/>
      </w:pPr>
      <w:r>
        <w:rPr>
          <w:rFonts w:ascii="Times New Roman" w:cs="Times New Roman" w:eastAsia="Times New Roman" w:hAnsi="Times New Roman"/>
        </w:rPr>
        <w:t xml:space="preserve"/>
      </w:r>
    </w:p>
    <w:p>
      <w:pPr>
        <w:spacing w:after="60" w:before="120" w:line="240"/>
        <w:ind/>
        <w:jc w:val="both"/>
      </w:pPr>
      <w:r>
        <w:rPr>
          <w:rFonts w:ascii="Times New Roman" w:cs="Times New Roman" w:eastAsia="Times New Roman" w:hAnsi="Times New Roman"/>
          <w:b/>
          <w:bCs/>
          <w:i/>
          <w:iCs/>
          <w:sz w:val="18"/>
          <w:szCs w:val="18"/>
        </w:rPr>
        <w:t xml:space="preserve">F. Correlation Analysis</w:t>
      </w:r>
    </w:p>
    <w:p>
      <w:pPr>
        <w:spacing w:after="60" w:before="60" w:line="240"/>
        <w:ind/>
        <w:jc w:val="both"/>
      </w:pPr>
      <w:r>
        <w:rPr>
          <w:rFonts w:ascii="Times New Roman" w:cs="Times New Roman" w:eastAsia="Times New Roman" w:hAnsi="Times New Roman"/>
          <w:sz w:val="18"/>
          <w:szCs w:val="18"/>
        </w:rPr>
        <w:t xml:space="preserve">A correlation heatmap was generated to identify the numeric features most strongly associated with attrition. The features with the strongest negative correlation — indicating that higher values are associated with lower attrition — were: MonthlyIncome, TotalWorkingYears, YearsAtCompany, and JobLevel. These findings confirm the EDA narrative: employees with higher pay, more experience, longer tenure, and senior job levels are significantly less likely to leave. These features were accordingly prioritised as key predictors during model development.</w:t>
      </w:r>
    </w:p>
    <w:p>
      <w:pPr>
        <w:spacing w:after="60" w:before="120" w:line="240"/>
        <w:ind/>
        <w:jc w:val="both"/>
      </w:pPr>
      <w:r>
        <w:rPr>
          <w:rFonts w:ascii="Times New Roman" w:cs="Times New Roman" w:eastAsia="Times New Roman" w:hAnsi="Times New Roman"/>
          <w:b/>
          <w:bCs/>
          <w:i/>
          <w:iCs/>
          <w:sz w:val="18"/>
          <w:szCs w:val="18"/>
        </w:rPr>
        <w:t xml:space="preserve">G. Summary of Key EDA Findings</w:t>
      </w:r>
    </w:p>
    <w:p>
      <w:pPr>
        <w:spacing w:after="60" w:before="60" w:line="240"/>
        <w:ind/>
        <w:jc w:val="both"/>
      </w:pPr>
      <w:r>
        <w:rPr>
          <w:rFonts w:ascii="Times New Roman" w:cs="Times New Roman" w:eastAsia="Times New Roman" w:hAnsi="Times New Roman"/>
          <w:sz w:val="18"/>
          <w:szCs w:val="18"/>
        </w:rPr>
        <w:t xml:space="preserve">Six principal findings emerged from the EDA: (1) the overall attrition rate is 16.1%, with significant class imbalance requiring SMOTE correction; (2) Sales Representatives face the highest attrition at 39.8%, and the Sales department overall at 20.6%; (3) overtime is the single strongest predictor — employees on overtime leave at nearly 3 times the rate of others; (4) a Rs 2,046/month salary gap exists between employees who left and those who stayed; (5) single employees leave at 25.5%, more than double the rate of divorced employees; and (6) employees who left scored consistently lower across all four satisfaction dimensions measured.</w:t>
      </w:r>
    </w:p>
    <w:p>
      <w:pPr>
        <w:spacing w:after="80" w:before="160" w:line="240"/>
        <w:ind/>
        <w:jc w:val="center"/>
      </w:pPr>
      <w:r>
        <w:rPr>
          <w:rFonts w:ascii="Times New Roman" w:cs="Times New Roman" w:eastAsia="Times New Roman" w:hAnsi="Times New Roman"/>
          <w:b/>
          <w:bCs/>
          <w:sz w:val="20"/>
          <w:szCs w:val="20"/>
        </w:rPr>
        <w:t xml:space="preserve">V. MODEL RESULTS AND EVALUATION</w:t>
      </w:r>
    </w:p>
    <w:p>
      <w:pPr>
        <w:spacing w:after="60" w:before="120" w:line="240"/>
        <w:ind/>
        <w:jc w:val="both"/>
      </w:pPr>
      <w:r>
        <w:rPr>
          <w:rFonts w:ascii="Times New Roman" w:cs="Times New Roman" w:eastAsia="Times New Roman" w:hAnsi="Times New Roman"/>
          <w:b/>
          <w:bCs/>
          <w:i/>
          <w:iCs/>
          <w:sz w:val="18"/>
          <w:szCs w:val="18"/>
        </w:rPr>
        <w:t xml:space="preserve">A. Comparative Performance</w:t>
      </w:r>
    </w:p>
    <w:p>
      <w:pPr>
        <w:spacing w:after="60" w:before="60" w:line="240"/>
        <w:ind/>
        <w:jc w:val="both"/>
      </w:pPr>
      <w:r>
        <w:rPr>
          <w:rFonts w:ascii="Times New Roman" w:cs="Times New Roman" w:eastAsia="Times New Roman" w:hAnsi="Times New Roman"/>
          <w:sz w:val="18"/>
          <w:szCs w:val="18"/>
        </w:rPr>
        <w:t xml:space="preserve">Following preprocessing, SMOTE oversampling, and standard scaling, all three models were trained on the balanced training set and evaluated on the held-out 20% test set. Table III presents the comparative results. Logistic Regression achieved the highest ROC-AUC of 80.28% and the best F1-Score of 43.84%, making it the selected best model for deployment. XGBoost performed competitively (AUC = 77.61%, F1 = 42.86%), while Random Forest — despite its ensemble complexity — achieved the lowest AUC (74.19%) and F1-Score (29.41%) on this dataset.</w:t>
      </w:r>
    </w:p>
    <w:p>
      <w:pPr>
        <w:spacing w:after="40" w:before="80"/>
        <w:jc w:val="center"/>
      </w:pPr>
      <w:r>
        <w:rPr>
          <w:rFonts w:ascii="Times New Roman" w:cs="Times New Roman" w:eastAsia="Times New Roman" w:hAnsi="Times New Roman"/>
          <w:b/>
          <w:bCs/>
          <w:sz w:val="16"/>
          <w:szCs w:val="16"/>
        </w:rPr>
        <w:t xml:space="preserve">TABLE III.  MODEL PERFORMANCE ON TEST SET</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1616"/>
        <w:gridCol w:w="1162"/>
        <w:gridCol w:w="1162"/>
        <w:gridCol w:w="1113"/>
      </w:tblGrid>
      <w:tr>
        <w:tc>
          <w:tcPr>
            <w:tcW w:type="dxa" w:w="1616"/>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Model</w:t>
            </w:r>
          </w:p>
        </w:tc>
        <w:tc>
          <w:tcPr>
            <w:tcW w:type="dxa" w:w="1162"/>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ROC-AUC</w:t>
            </w:r>
          </w:p>
        </w:tc>
        <w:tc>
          <w:tcPr>
            <w:tcW w:type="dxa" w:w="1162"/>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F1-Score</w:t>
            </w:r>
          </w:p>
        </w:tc>
        <w:tc>
          <w:tcPr>
            <w:tcW w:type="dxa" w:w="1113"/>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Accuracy</w:t>
            </w:r>
          </w:p>
        </w:tc>
      </w:tr>
      <w:tr>
        <w:tc>
          <w:tcPr>
            <w:tcW w:type="dxa" w:w="161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Logistic Reg.</w:t>
            </w:r>
          </w:p>
        </w:tc>
        <w:tc>
          <w:tcPr>
            <w:tcW w:type="dxa" w:w="116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80.28%</w:t>
            </w:r>
          </w:p>
        </w:tc>
        <w:tc>
          <w:tcPr>
            <w:tcW w:type="dxa" w:w="116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43.84%</w:t>
            </w:r>
          </w:p>
        </w:tc>
        <w:tc>
          <w:tcPr>
            <w:tcW w:type="dxa" w:w="11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87.41%</w:t>
            </w:r>
          </w:p>
        </w:tc>
      </w:tr>
      <w:tr>
        <w:tc>
          <w:tcPr>
            <w:tcW w:type="dxa" w:w="161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Random Forest</w:t>
            </w:r>
          </w:p>
        </w:tc>
        <w:tc>
          <w:tcPr>
            <w:tcW w:type="dxa" w:w="116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74.19%</w:t>
            </w:r>
          </w:p>
        </w:tc>
        <w:tc>
          <w:tcPr>
            <w:tcW w:type="dxa" w:w="116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29.41%</w:t>
            </w:r>
          </w:p>
        </w:tc>
        <w:tc>
          <w:tcPr>
            <w:tcW w:type="dxa" w:w="1113"/>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84.69%</w:t>
            </w:r>
          </w:p>
        </w:tc>
      </w:tr>
      <w:tr>
        <w:tc>
          <w:tcPr>
            <w:tcW w:type="dxa" w:w="161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XGBoost</w:t>
            </w:r>
          </w:p>
        </w:tc>
        <w:tc>
          <w:tcPr>
            <w:tcW w:type="dxa" w:w="116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77.61%</w:t>
            </w:r>
          </w:p>
        </w:tc>
        <w:tc>
          <w:tcPr>
            <w:tcW w:type="dxa" w:w="116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42.86%</w:t>
            </w:r>
          </w:p>
        </w:tc>
        <w:tc>
          <w:tcPr>
            <w:tcW w:type="dxa" w:w="11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87.07%</w:t>
            </w:r>
          </w:p>
        </w:tc>
      </w:tr>
    </w:tbl>
    <w:p>
      <w:pPr>
        <w:spacing w:after="0" w:before="80"/>
      </w:pPr>
      <w:r>
        <w:rPr>
          <w:rFonts w:ascii="Times New Roman" w:cs="Times New Roman" w:eastAsia="Times New Roman" w:hAnsi="Times New Roman"/>
        </w:rPr>
        <w:t xml:space="preserve"/>
      </w:r>
    </w:p>
    <w:p>
      <w:pPr>
        <w:spacing w:after="60" w:before="120" w:line="240"/>
        <w:ind/>
        <w:jc w:val="both"/>
      </w:pPr>
      <w:r>
        <w:rPr>
          <w:rFonts w:ascii="Times New Roman" w:cs="Times New Roman" w:eastAsia="Times New Roman" w:hAnsi="Times New Roman"/>
          <w:b/>
          <w:bCs/>
          <w:i/>
          <w:iCs/>
          <w:sz w:val="18"/>
          <w:szCs w:val="18"/>
        </w:rPr>
        <w:t xml:space="preserve">B. ROC Curve Analysis</w:t>
      </w:r>
    </w:p>
    <w:p>
      <w:pPr>
        <w:spacing w:after="60" w:before="60" w:line="240"/>
        <w:ind/>
        <w:jc w:val="both"/>
      </w:pPr>
      <w:r>
        <w:rPr>
          <w:rFonts w:ascii="Times New Roman" w:cs="Times New Roman" w:eastAsia="Times New Roman" w:hAnsi="Times New Roman"/>
          <w:sz w:val="18"/>
          <w:szCs w:val="18"/>
        </w:rPr>
        <w:t xml:space="preserve">The ROC curves confirm Logistic Regression's superior discrimination ability. With an AUC of 80.3%, the logistic model achieves high true positive rates across a wide range of decision thresholds while maintaining relatively low false positive rates. The XGBoost model (AUC = 77.6%) performed reasonably, while Random Forest (AUC = 74.2%) showed weaker discrimination, likely due to the relatively small size of the minority class even after SMOTE oversampling.</w:t>
      </w:r>
    </w:p>
    <w:p>
      <w:pPr>
        <w:spacing w:after="60" w:before="120" w:line="240"/>
        <w:ind/>
        <w:jc w:val="both"/>
      </w:pPr>
      <w:r>
        <w:rPr>
          <w:rFonts w:ascii="Times New Roman" w:cs="Times New Roman" w:eastAsia="Times New Roman" w:hAnsi="Times New Roman"/>
          <w:b/>
          <w:bCs/>
          <w:i/>
          <w:iCs/>
          <w:sz w:val="18"/>
          <w:szCs w:val="18"/>
        </w:rPr>
        <w:t xml:space="preserve">C. Confusion Matrix Analysis</w:t>
      </w:r>
    </w:p>
    <w:p>
      <w:pPr>
        <w:spacing w:after="60" w:before="60" w:line="240"/>
        <w:ind/>
        <w:jc w:val="both"/>
      </w:pPr>
      <w:r>
        <w:rPr>
          <w:rFonts w:ascii="Times New Roman" w:cs="Times New Roman" w:eastAsia="Times New Roman" w:hAnsi="Times New Roman"/>
          <w:sz w:val="18"/>
          <w:szCs w:val="18"/>
        </w:rPr>
        <w:t xml:space="preserve">At the default 0.5 decision threshold, Logistic Regression correctly identified 16 out of 47 actual attrition cases in the test set (recall = 34.0%), with 10 false positives. XGBoost identified 15 correctly with 8 false positives, and Random Forest identified only 10 correctly. All models perform significantly better on the majority class (Stayed), which reflects the inherent difficulty of identifying the minority class even after SMOTE. Improving minority class recall — potentially through threshold optimisation or cost-sensitive learning — represents the primary direction for future model improvement.</w:t>
      </w:r>
    </w:p>
    <w:p>
      <w:pPr>
        <w:spacing w:after="60" w:before="120" w:line="240"/>
        <w:ind/>
        <w:jc w:val="both"/>
      </w:pPr>
      <w:r>
        <w:rPr>
          <w:rFonts w:ascii="Times New Roman" w:cs="Times New Roman" w:eastAsia="Times New Roman" w:hAnsi="Times New Roman"/>
          <w:b/>
          <w:bCs/>
          <w:i/>
          <w:iCs/>
          <w:sz w:val="18"/>
          <w:szCs w:val="18"/>
        </w:rPr>
        <w:t xml:space="preserve">D. Risk Scoring Output</w:t>
      </w:r>
    </w:p>
    <w:p>
      <w:pPr>
        <w:spacing w:after="60" w:before="60" w:line="240"/>
        <w:ind/>
        <w:jc w:val="both"/>
      </w:pPr>
      <w:r>
        <w:rPr>
          <w:rFonts w:ascii="Times New Roman" w:cs="Times New Roman" w:eastAsia="Times New Roman" w:hAnsi="Times New Roman"/>
          <w:sz w:val="18"/>
          <w:szCs w:val="18"/>
        </w:rPr>
        <w:t xml:space="preserve">When the Logistic Regression model was applied to score all 1,470 employees, the risk distribution was as follows: 244 employees (16.6%) were classified as Low Risk (attrition probability &lt; 30%), 30 employees (2.0%) as Medium Risk (30–60%), and 20 employees (1.4%) as High Risk (probability &gt; 60%). This granular risk stratification enables HR teams to prioritise retention interventions efficiently rather than treating all employees uniformly.</w:t>
      </w:r>
    </w:p>
    <w:p>
      <w:pPr>
        <w:spacing w:after="80" w:before="160" w:line="240"/>
        <w:ind/>
        <w:jc w:val="center"/>
      </w:pPr>
      <w:r>
        <w:rPr>
          <w:rFonts w:ascii="Times New Roman" w:cs="Times New Roman" w:eastAsia="Times New Roman" w:hAnsi="Times New Roman"/>
          <w:b/>
          <w:bCs/>
          <w:sz w:val="20"/>
          <w:szCs w:val="20"/>
        </w:rPr>
        <w:t xml:space="preserve">VI. STREAMLIT DASHBOARD</w:t>
      </w:r>
    </w:p>
    <w:p>
      <w:pPr>
        <w:spacing w:after="60" w:before="60" w:line="240"/>
        <w:ind/>
        <w:jc w:val="both"/>
      </w:pPr>
      <w:r>
        <w:rPr>
          <w:rFonts w:ascii="Times New Roman" w:cs="Times New Roman" w:eastAsia="Times New Roman" w:hAnsi="Times New Roman"/>
          <w:sz w:val="18"/>
          <w:szCs w:val="18"/>
        </w:rPr>
        <w:t xml:space="preserve">To make the predictive model operationally useful for HR professionals, an interactive dashboard was developed and deployed using Streamlit, a Python-based web application framework. The dashboard loads the trained Logistic Regression model and StandardScaler using Joblib, reads the Palo Alto Networks CSV data, and generates attrition probability scores in real time. It is structured into three functional pages accessible via a sidebar navigation panel.</w:t>
      </w:r>
    </w:p>
    <w:p>
      <w:pPr>
        <w:spacing w:after="60" w:before="120" w:line="240"/>
        <w:ind/>
        <w:jc w:val="both"/>
      </w:pPr>
      <w:r>
        <w:rPr>
          <w:rFonts w:ascii="Times New Roman" w:cs="Times New Roman" w:eastAsia="Times New Roman" w:hAnsi="Times New Roman"/>
          <w:b/>
          <w:bCs/>
          <w:i/>
          <w:iCs/>
          <w:sz w:val="18"/>
          <w:szCs w:val="18"/>
        </w:rPr>
        <w:t xml:space="preserve">A. Risk Overview Page</w:t>
      </w:r>
    </w:p>
    <w:p>
      <w:pPr>
        <w:spacing w:after="60" w:before="60" w:line="240"/>
        <w:ind/>
        <w:jc w:val="both"/>
      </w:pPr>
      <w:r>
        <w:rPr>
          <w:rFonts w:ascii="Times New Roman" w:cs="Times New Roman" w:eastAsia="Times New Roman" w:hAnsi="Times New Roman"/>
          <w:sz w:val="18"/>
          <w:szCs w:val="18"/>
        </w:rPr>
        <w:t xml:space="preserve">This page provides a real-time, organisation-level view of attrition risk. Five key metrics are displayed: total employees, count and percentage of High Risk employees, Medium Risk employees, Low Risk employees, and the overall average attrition probability score. Dynamic visualisations include a pie chart of risk category distribution and bar charts of average attrition probability by department and job role. All charts update automatically when the department filter in the sidebar is applied.</w:t>
      </w:r>
    </w:p>
    <w:p>
      <w:pPr>
        <w:spacing w:after="60" w:before="120" w:line="240"/>
        <w:ind/>
        <w:jc w:val="both"/>
      </w:pPr>
      <w:r>
        <w:rPr>
          <w:rFonts w:ascii="Times New Roman" w:cs="Times New Roman" w:eastAsia="Times New Roman" w:hAnsi="Times New Roman"/>
          <w:b/>
          <w:bCs/>
          <w:i/>
          <w:iCs/>
          <w:sz w:val="18"/>
          <w:szCs w:val="18"/>
        </w:rPr>
        <w:t xml:space="preserve">B. Employee Profiles Page</w:t>
      </w:r>
    </w:p>
    <w:p>
      <w:pPr>
        <w:spacing w:after="60" w:before="60" w:line="240"/>
        <w:ind/>
        <w:jc w:val="both"/>
      </w:pPr>
      <w:r>
        <w:rPr>
          <w:rFonts w:ascii="Times New Roman" w:cs="Times New Roman" w:eastAsia="Times New Roman" w:hAnsi="Times New Roman"/>
          <w:sz w:val="18"/>
          <w:szCs w:val="18"/>
        </w:rPr>
        <w:t xml:space="preserve">This page allows HR teams to inspect individual employee risk profiles. A sortable data table lists all employees above a configurable risk threshold, with columns for Department, Job Role, Monthly Income, Overtime status, Attrition Probability, and Risk Category. HR professionals can also look up any individual employee by index number and view their full risk profile, including key contributing factors such as overtime status, income level, marital status, and job satisfaction score, flagged automatically by the dashboard.</w:t>
      </w:r>
    </w:p>
    <w:p>
      <w:pPr>
        <w:spacing w:after="60" w:before="120" w:line="240"/>
        <w:ind/>
        <w:jc w:val="both"/>
      </w:pPr>
      <w:r>
        <w:rPr>
          <w:rFonts w:ascii="Times New Roman" w:cs="Times New Roman" w:eastAsia="Times New Roman" w:hAnsi="Times New Roman"/>
          <w:b/>
          <w:bCs/>
          <w:i/>
          <w:iCs/>
          <w:sz w:val="18"/>
          <w:szCs w:val="18"/>
        </w:rPr>
        <w:t xml:space="preserve">C. What-If Explorer</w:t>
      </w:r>
    </w:p>
    <w:p>
      <w:pPr>
        <w:spacing w:after="60" w:before="60" w:line="240"/>
        <w:ind/>
        <w:jc w:val="both"/>
      </w:pPr>
      <w:r>
        <w:rPr>
          <w:rFonts w:ascii="Times New Roman" w:cs="Times New Roman" w:eastAsia="Times New Roman" w:hAnsi="Times New Roman"/>
          <w:sz w:val="18"/>
          <w:szCs w:val="18"/>
        </w:rPr>
        <w:t xml:space="preserve">The What-If Explorer enables HR teams to simulate the effect of potential retention interventions. The user adjusts employee parameters — monthly income, job satisfaction, overtime status, work-life balance, stock option level, distance from home, age, and years at company — via interactive sliders and dropdowns. The dashboard computes a revised attrition probability score in real time and displays updated risk category and specific HR action recommendations. This feature allows managers to evaluate, for example, whether offering a salary increase or removing an employee from overtime would meaningfully reduce their predicted attrition risk.</w:t>
      </w:r>
    </w:p>
    <w:p>
      <w:pPr>
        <w:spacing w:after="80" w:before="160" w:line="240"/>
        <w:ind/>
        <w:jc w:val="center"/>
      </w:pPr>
      <w:r>
        <w:rPr>
          <w:rFonts w:ascii="Times New Roman" w:cs="Times New Roman" w:eastAsia="Times New Roman" w:hAnsi="Times New Roman"/>
          <w:b/>
          <w:bCs/>
          <w:sz w:val="20"/>
          <w:szCs w:val="20"/>
        </w:rPr>
        <w:t xml:space="preserve">VII. DISCUSSION</w:t>
      </w:r>
    </w:p>
    <w:p>
      <w:pPr>
        <w:spacing w:after="60" w:before="60" w:line="240"/>
        <w:ind/>
        <w:jc w:val="both"/>
      </w:pPr>
      <w:r>
        <w:rPr>
          <w:rFonts w:ascii="Times New Roman" w:cs="Times New Roman" w:eastAsia="Times New Roman" w:hAnsi="Times New Roman"/>
          <w:sz w:val="18"/>
          <w:szCs w:val="18"/>
        </w:rPr>
        <w:t xml:space="preserve">The results of this study provide strong empirical support for the hypothesis that employee attrition at Palo Alto Networks is driven by a small number of manageable, high-impact factors. Overtime is unambiguously the strongest single predictor, with employees on overtime leaving at nearly three times the rate of those who are not. This finding suggests that workload management and scheduling policy are the most immediate levers available to HR leadership to reduce attrition.</w:t>
      </w:r>
    </w:p>
    <w:p>
      <w:pPr>
        <w:spacing w:after="60" w:before="60" w:line="240"/>
        <w:ind/>
        <w:jc w:val="both"/>
      </w:pPr>
      <w:r>
        <w:rPr>
          <w:rFonts w:ascii="Times New Roman" w:cs="Times New Roman" w:eastAsia="Times New Roman" w:hAnsi="Times New Roman"/>
          <w:sz w:val="18"/>
          <w:szCs w:val="18"/>
        </w:rPr>
        <w:t xml:space="preserve">The salary gap of Rs 2,046 per month between employees who left and those who stayed, combined with the dramatic attrition rate of 39.8% among Sales Representatives — the lowest-paid role group — strongly implicates inadequate compensation as a structural driver of attrition. Targeted salary reviews for high-attrition, low-income roles could deliver rapid and measurable improvements in retention rates.</w:t>
      </w:r>
    </w:p>
    <w:p>
      <w:pPr>
        <w:spacing w:after="60" w:before="60" w:line="240"/>
        <w:ind/>
        <w:jc w:val="both"/>
      </w:pPr>
      <w:r>
        <w:rPr>
          <w:rFonts w:ascii="Times New Roman" w:cs="Times New Roman" w:eastAsia="Times New Roman" w:hAnsi="Times New Roman"/>
          <w:sz w:val="18"/>
          <w:szCs w:val="18"/>
        </w:rPr>
        <w:t xml:space="preserve">The consistently lower satisfaction scores across all four measured dimensions for employees who eventually left underscores the importance of monitoring employee wellbeing continuously and multi-dimensionally, rather than through occasional annual surveys. The dashboard developed in this project offers a practical mechanism for HR teams to do this at scale.</w:t>
      </w:r>
    </w:p>
    <w:p>
      <w:pPr>
        <w:spacing w:after="60" w:before="60" w:line="240"/>
        <w:ind/>
        <w:jc w:val="both"/>
      </w:pPr>
      <w:r>
        <w:rPr>
          <w:rFonts w:ascii="Times New Roman" w:cs="Times New Roman" w:eastAsia="Times New Roman" w:hAnsi="Times New Roman"/>
          <w:sz w:val="18"/>
          <w:szCs w:val="18"/>
        </w:rPr>
        <w:t xml:space="preserve">The superior ROC-AUC of Logistic Regression over the more complex ensemble methods warrants reflection. In HR decision-making contexts, the interpretability of the model — the ability to explain to an employee or manager why a particular risk score was generated — is often as important as raw predictive performance. Logistic Regression provides clear, coefficient-based explanations that more opaque ensemble methods cannot offer at the same level of granularity. The relatively modest F1-Score (43.84%) across all models reflects the inherent difficulty of the minority class detection problem and is the primary area targeted for improvement in future iterations.</w:t>
      </w:r>
    </w:p>
    <w:p>
      <w:pPr>
        <w:spacing w:after="80" w:before="160" w:line="240"/>
        <w:ind/>
        <w:jc w:val="center"/>
      </w:pPr>
      <w:r>
        <w:rPr>
          <w:rFonts w:ascii="Times New Roman" w:cs="Times New Roman" w:eastAsia="Times New Roman" w:hAnsi="Times New Roman"/>
          <w:b/>
          <w:bCs/>
          <w:sz w:val="20"/>
          <w:szCs w:val="20"/>
        </w:rPr>
        <w:t xml:space="preserve">VIII. CONCLUSION</w:t>
      </w:r>
    </w:p>
    <w:p>
      <w:pPr>
        <w:spacing w:after="60" w:before="60" w:line="240"/>
        <w:ind/>
        <w:jc w:val="both"/>
      </w:pPr>
      <w:r>
        <w:rPr>
          <w:rFonts w:ascii="Times New Roman" w:cs="Times New Roman" w:eastAsia="Times New Roman" w:hAnsi="Times New Roman"/>
          <w:sz w:val="18"/>
          <w:szCs w:val="18"/>
        </w:rPr>
        <w:t xml:space="preserve">This paper presented a complete, end-to-end machine learning system for employee attrition prediction, developed as an independent internship project using the Palo Alto Networks HR Employee dataset. The project encompassed exploratory data analysis, preprocessing with SMOTE oversampling, training and evaluation of three classification models, and deployment of an interactive Streamlit dashboard.</w:t>
      </w:r>
    </w:p>
    <w:p>
      <w:pPr>
        <w:spacing w:after="60" w:before="60" w:line="240"/>
        <w:ind/>
        <w:jc w:val="both"/>
      </w:pPr>
      <w:r>
        <w:rPr>
          <w:rFonts w:ascii="Times New Roman" w:cs="Times New Roman" w:eastAsia="Times New Roman" w:hAnsi="Times New Roman"/>
          <w:sz w:val="18"/>
          <w:szCs w:val="18"/>
        </w:rPr>
        <w:t xml:space="preserve">Logistic Regression was identified as the best-performing model with an ROC-AUC of 80.28% and an F1-Score of 43.84%, and was deployed within a three-page dashboard supporting real-time risk monitoring, individual employee profiling, and what-if simulation. Six critical attrition drivers were identified through EDA: class imbalance, high-risk roles and departments, overtime as the dominant predictor, a significant salary gap, marital status effects, and consistent multi-dimensional dissatisfaction among employees who left.</w:t>
      </w:r>
    </w:p>
    <w:p>
      <w:pPr>
        <w:spacing w:after="60" w:before="60" w:line="240"/>
        <w:ind/>
        <w:jc w:val="both"/>
      </w:pPr>
      <w:r>
        <w:rPr>
          <w:rFonts w:ascii="Times New Roman" w:cs="Times New Roman" w:eastAsia="Times New Roman" w:hAnsi="Times New Roman"/>
          <w:sz w:val="18"/>
          <w:szCs w:val="18"/>
        </w:rPr>
        <w:t xml:space="preserve">Future directions for this work include: exploring deep learning approaches (e.g., TabNet) for improved minority class recall; integrating live HRIS data feeds for continuous model retraining; incorporating additional contextual features such as team composition and manager effectiveness; and applying threshold optimisation techniques to improve the precision-recall trade-off in production deployment.</w:t>
      </w:r>
    </w:p>
    <w:p>
      <w:pPr>
        <w:spacing w:after="80" w:before="160"/>
      </w:pPr>
      <w:r>
        <w:rPr>
          <w:rFonts w:ascii="Times New Roman" w:cs="Times New Roman" w:eastAsia="Times New Roman" w:hAnsi="Times New Roman"/>
          <w:b/>
          <w:bCs/>
          <w:smallCaps/>
          <w:sz w:val="20"/>
          <w:szCs w:val="20"/>
        </w:rPr>
        <w:t xml:space="preserve">ACKNOWLEDGMENT</w:t>
      </w:r>
    </w:p>
    <w:p>
      <w:pPr>
        <w:spacing w:after="60" w:before="60" w:line="240"/>
        <w:ind/>
        <w:jc w:val="both"/>
      </w:pPr>
      <w:r>
        <w:rPr>
          <w:rFonts w:ascii="Times New Roman" w:cs="Times New Roman" w:eastAsia="Times New Roman" w:hAnsi="Times New Roman"/>
          <w:sz w:val="18"/>
          <w:szCs w:val="18"/>
        </w:rPr>
        <w:t xml:space="preserve">The author acknowledges the guidance and support received from faculty supervisors and industry mentors during the course of this internship project. All analysis, model development, preprocessing, and dashboard deployment were conducted independently by the author.</w:t>
      </w:r>
    </w:p>
    <w:p>
      <w:pPr>
        <w:spacing w:after="80" w:before="160"/>
      </w:pPr>
      <w:r>
        <w:rPr>
          <w:rFonts w:ascii="Times New Roman" w:cs="Times New Roman" w:eastAsia="Times New Roman" w:hAnsi="Times New Roman"/>
          <w:b/>
          <w:bCs/>
          <w:smallCaps/>
          <w:sz w:val="20"/>
          <w:szCs w:val="20"/>
        </w:rPr>
        <w:t xml:space="preserve">REFERENCES</w:t>
      </w:r>
    </w:p>
    <w:p>
      <w:pPr>
        <w:spacing w:after="40" w:before="40"/>
        <w:ind w:left="360" w:hanging="360"/>
        <w:jc w:val="both"/>
      </w:pPr>
      <w:r>
        <w:rPr>
          <w:rFonts w:ascii="Times New Roman" w:cs="Times New Roman" w:eastAsia="Times New Roman" w:hAnsi="Times New Roman"/>
          <w:sz w:val="16"/>
          <w:szCs w:val="16"/>
        </w:rPr>
        <w:t xml:space="preserve">[1]   R. Punnoose and P. Ajit, "Prediction of Employee Turnover in Organizations using Machine Learning Algorithms," International Journal of Advanced Research in Artificial Intelligence, vol. 5, no. 9, pp. 22–26, 2016.</w:t>
      </w:r>
    </w:p>
    <w:p>
      <w:pPr>
        <w:spacing w:after="40" w:before="40"/>
        <w:ind w:left="360" w:hanging="360"/>
        <w:jc w:val="both"/>
      </w:pPr>
      <w:r>
        <w:rPr>
          <w:rFonts w:ascii="Times New Roman" w:cs="Times New Roman" w:eastAsia="Times New Roman" w:hAnsi="Times New Roman"/>
          <w:sz w:val="16"/>
          <w:szCs w:val="16"/>
        </w:rPr>
        <w:t xml:space="preserve">[2]   F. Fallucchi, M. Coladangelo, R. Giuliano, and E. W. De Luca, "Predicting Employee Attrition Using Machine Learning Techniques," Computers, vol. 9, no. 4, p. 86, Oct. 2020.</w:t>
      </w:r>
    </w:p>
    <w:p>
      <w:pPr>
        <w:spacing w:after="40" w:before="40"/>
        <w:ind w:left="360" w:hanging="360"/>
        <w:jc w:val="both"/>
      </w:pPr>
      <w:r>
        <w:rPr>
          <w:rFonts w:ascii="Times New Roman" w:cs="Times New Roman" w:eastAsia="Times New Roman" w:hAnsi="Times New Roman"/>
          <w:sz w:val="16"/>
          <w:szCs w:val="16"/>
        </w:rPr>
        <w:t xml:space="preserve">[3]   R. Jain and A. Nayyar, "Predicting Employee Attrition using XGBoost Machine Learning Approach," in Proc. Int. Conf. on System Modeling and Advancement in Research Trends (SMART), Moradabad, India, 2018, pp. 113–120.</w:t>
      </w:r>
    </w:p>
    <w:p>
      <w:pPr>
        <w:spacing w:after="40" w:before="40"/>
        <w:ind w:left="360" w:hanging="360"/>
        <w:jc w:val="both"/>
      </w:pPr>
      <w:r>
        <w:rPr>
          <w:rFonts w:ascii="Times New Roman" w:cs="Times New Roman" w:eastAsia="Times New Roman" w:hAnsi="Times New Roman"/>
          <w:sz w:val="16"/>
          <w:szCs w:val="16"/>
        </w:rPr>
        <w:t xml:space="preserve">[4]   N. V. Chawla, K. W. Bowyer, L. O. Hall, and W. P. Kegelmeyer, "SMOTE: Synthetic Minority Over-sampling Technique," Journal of Artificial Intelligence Research, vol. 16, pp. 321–357, 2002.</w:t>
      </w:r>
    </w:p>
    <w:p>
      <w:pPr>
        <w:spacing w:after="40" w:before="40"/>
        <w:ind w:left="360" w:hanging="360"/>
        <w:jc w:val="both"/>
      </w:pPr>
      <w:r>
        <w:rPr>
          <w:rFonts w:ascii="Times New Roman" w:cs="Times New Roman" w:eastAsia="Times New Roman" w:hAnsi="Times New Roman"/>
          <w:sz w:val="16"/>
          <w:szCs w:val="16"/>
        </w:rPr>
        <w:t xml:space="preserve">[5]   Y. Zhao, M. Hryniewicki, F. Cheng, B. Fu, and X. Zhu, "Employee Attrition Prediction with Machine Learning: A Reliability and Interpretability Analysis," in Proc. IEEE Conf. on Data Science and Advanced Analytics (DSAA), Washington D.C., 2018, pp. 1–10.</w:t>
      </w:r>
    </w:p>
    <w:p>
      <w:pPr>
        <w:spacing w:after="40" w:before="40"/>
        <w:ind w:left="360" w:hanging="360"/>
        <w:jc w:val="both"/>
      </w:pPr>
      <w:r>
        <w:rPr>
          <w:rFonts w:ascii="Times New Roman" w:cs="Times New Roman" w:eastAsia="Times New Roman" w:hAnsi="Times New Roman"/>
          <w:sz w:val="16"/>
          <w:szCs w:val="16"/>
        </w:rPr>
        <w:t xml:space="preserve">[6]   T. Chen and C. Guestrin, "XGBoost: A Scalable Tree Boosting System," in Proc. 22nd ACM SIGKDD Int. Conf. on Knowledge Discovery and Data Mining, San Francisco, CA, 2016, pp. 785–794.</w:t>
      </w:r>
    </w:p>
    <w:p>
      <w:pPr>
        <w:spacing w:after="40" w:before="40"/>
        <w:ind w:left="360" w:hanging="360"/>
        <w:jc w:val="both"/>
      </w:pPr>
      <w:r>
        <w:rPr>
          <w:rFonts w:ascii="Times New Roman" w:cs="Times New Roman" w:eastAsia="Times New Roman" w:hAnsi="Times New Roman"/>
          <w:sz w:val="16"/>
          <w:szCs w:val="16"/>
        </w:rPr>
        <w:t xml:space="preserve">[7]   L. Breiman, "Random Forests," Machine Learning, vol. 45, no. 1, pp. 5–32, Oct. 2001.</w:t>
      </w:r>
    </w:p>
    <w:p>
      <w:pPr>
        <w:spacing w:after="40" w:before="40"/>
        <w:ind w:left="360" w:hanging="360"/>
        <w:jc w:val="both"/>
      </w:pPr>
      <w:r>
        <w:rPr>
          <w:rFonts w:ascii="Times New Roman" w:cs="Times New Roman" w:eastAsia="Times New Roman" w:hAnsi="Times New Roman"/>
          <w:sz w:val="16"/>
          <w:szCs w:val="16"/>
        </w:rPr>
        <w:t xml:space="preserve">[8]   A. Thakar, M. Mehta, and R. Singh, "Human Resource Analytics: A Review of Attrition Prediction Models," Journal of Computational Intelligence, vol. 17, pp. 1234–1240, 2020.</w:t>
      </w:r>
    </w:p>
    <w:sectPr>
      <w:footerReference w:type="default" r:id="rId8"/>
      <w:type w:val="continuous"/>
      <w:pgSz w:w="11906" w:h="16838" w:orient="portrait"/>
      <w:pgMar w:top="720" w:right="720" w:bottom="720" w:left="72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IJIRT 140001   INTERNATIONAL JOURNAL OF INNOVATIVE RESEARCH IN TECHNOLOGY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120" w:before="0"/>
      <w:jc w:val="center"/>
    </w:pPr>
    <w:r>
      <w:rPr>
        <w:rFonts w:ascii="Times New Roman" w:cs="Times New Roman" w:eastAsia="Times New Roman" w:hAnsi="Times New Roman"/>
        <w:sz w:val="16"/>
        <w:szCs w:val="16"/>
      </w:rPr>
      <w:t xml:space="preserve">© 2025 | IJIRT | Volume 12 Issue 1 | ISSN: 2349-6002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2026-05-20T10:09:59.473Z</dcterms:created>
  <dcterms:modified xsi:type="dcterms:W3CDTF">2026-05-20T10:09:59.486Z</dcterms:modified>
</cp:coreProperties>
</file>

<file path=docProps/custom.xml><?xml version="1.0" encoding="utf-8"?>
<Properties xmlns="http://schemas.openxmlformats.org/officeDocument/2006/custom-properties" xmlns:vt="http://schemas.openxmlformats.org/officeDocument/2006/docPropsVTypes"/>
</file>