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00"/>
        <w:jc w:val="center"/>
      </w:pPr>
      <w:r>
        <w:rPr>
          <w:rFonts w:ascii="Times New Roman" w:cs="Times New Roman" w:eastAsia="Times New Roman" w:hAnsi="Times New Roman"/>
          <w:b/>
          <w:bCs/>
          <w:sz w:val="40"/>
          <w:szCs w:val="40"/>
        </w:rPr>
        <w:t xml:space="preserve">Supply Chain Lead Time Optimisation Using Machine Learning
and Factory Reassignment Simulation: A Case Study on Nassau Candy Distributor</w:t>
      </w:r>
    </w:p>
    <w:p>
      <w:pPr>
        <w:spacing w:after="60" w:before="80"/>
        <w:jc w:val="center"/>
      </w:pPr>
      <w:r>
        <w:rPr>
          <w:rFonts w:ascii="Times New Roman" w:cs="Times New Roman" w:eastAsia="Times New Roman" w:hAnsi="Times New Roman"/>
          <w:b/>
          <w:bCs/>
          <w:sz w:val="22"/>
          <w:szCs w:val="22"/>
        </w:rPr>
        <w:t xml:space="preserve">Sapna Amit Rahangdale</w:t>
      </w:r>
    </w:p>
    <w:p>
      <w:pPr>
        <w:spacing w:after="20" w:before="40"/>
        <w:jc w:val="center"/>
      </w:pPr>
      <w:r>
        <w:rPr>
          <w:rFonts w:ascii="Times New Roman" w:cs="Times New Roman" w:eastAsia="Times New Roman" w:hAnsi="Times New Roman"/>
          <w:i/>
          <w:iCs/>
          <w:sz w:val="18"/>
          <w:szCs w:val="18"/>
        </w:rPr>
        <w:t xml:space="preserve">Intern, Department of Computer Science and Engineering</w:t>
      </w:r>
    </w:p>
    <w:p>
      <w:pPr>
        <w:spacing w:after="20" w:before="0"/>
        <w:jc w:val="center"/>
      </w:pPr>
      <w:r>
        <w:rPr>
          <w:rFonts w:ascii="Times New Roman" w:cs="Times New Roman" w:eastAsia="Times New Roman" w:hAnsi="Times New Roman"/>
          <w:i/>
          <w:iCs/>
          <w:sz w:val="18"/>
          <w:szCs w:val="18"/>
        </w:rPr>
        <w:t xml:space="preserve">Nassau Candy Supply Chain Analytics Project, Nagpur, India</w:t>
      </w:r>
    </w:p>
    <w:p>
      <w:pPr>
        <w:spacing w:after="120" w:before="0"/>
        <w:jc w:val="center"/>
      </w:pPr>
      <w:r>
        <w:rPr>
          <w:rFonts w:ascii="Times New Roman" w:cs="Times New Roman" w:eastAsia="Times New Roman" w:hAnsi="Times New Roman"/>
          <w:i/>
          <w:iCs/>
          <w:sz w:val="18"/>
          <w:szCs w:val="18"/>
        </w:rPr>
        <w:t xml:space="preserve">rahangdalesapna951@gmail.com</w:t>
      </w:r>
    </w:p>
    <w:p>
      <w:pPr>
        <w:spacing w:after="60" w:before="80"/>
        <w:jc w:val="both"/>
      </w:pPr>
      <w:r>
        <w:rPr>
          <w:rFonts w:ascii="Times New Roman" w:cs="Times New Roman" w:eastAsia="Times New Roman" w:hAnsi="Times New Roman"/>
          <w:b/>
          <w:bCs/>
          <w:i/>
          <w:iCs/>
          <w:sz w:val="18"/>
          <w:szCs w:val="18"/>
        </w:rPr>
        <w:t xml:space="preserve">Abstract—</w:t>
      </w:r>
      <w:r>
        <w:rPr>
          <w:rFonts w:ascii="Times New Roman" w:cs="Times New Roman" w:eastAsia="Times New Roman" w:hAnsi="Times New Roman"/>
          <w:sz w:val="18"/>
          <w:szCs w:val="18"/>
        </w:rPr>
        <w:t xml:space="preserve">Supply chain efficiency is a critical competitive factor for candy distributors operating across multiple regions and factory sources. This paper presents a data-driven supply chain optimisation system developed as an independent internship project using the Nassau Candy Distributor dataset of 10,194 orders spanning January 2024 to June 2026. The project encompassed comprehensive exploratory data analysis, geospatial feature engineering using Haversine distance calculations, machine learning lead time prediction, K-Means route clustering, and a large-scale factory reassignment simulation evaluating 4,200+ scenarios. Three regression models — Linear Regression, Random Forest, and Gradient Boosting — were trained to predict order lead times, with Random Forest achieving the best performance (R²=0.057, MAE=211.16 days). Simulation results identified actionable factory reassignment recommendations for 11 of 15 products, achieving an average lead time reduction of 9.6% and an average saving of 150 days per order. Seven reassignments were classified as Safe based on a 60% profit margin threshold, with Laffy Taffy yielding the highest lead time reduction of 17.6%. An interactive Streamlit dashboard was deployed to enable supply chain analysts to explore recommendations, simulate scenarios, and monitor KPIs in real time. This work demonstrates how machine learning and simulation can together deliver measurable, risk-assessed logistics optimisation recommendations for multi-factory candy distribution networks.</w:t>
      </w:r>
    </w:p>
    <w:p>
      <w:pPr>
        <w:spacing w:after="100" w:before="40"/>
        <w:jc w:val="both"/>
      </w:pPr>
      <w:r>
        <w:rPr>
          <w:rFonts w:ascii="Times New Roman" w:cs="Times New Roman" w:eastAsia="Times New Roman" w:hAnsi="Times New Roman"/>
          <w:b/>
          <w:bCs/>
          <w:i/>
          <w:iCs/>
          <w:sz w:val="18"/>
          <w:szCs w:val="18"/>
        </w:rPr>
        <w:t xml:space="preserve">Index Terms—</w:t>
      </w:r>
      <w:r>
        <w:rPr>
          <w:rFonts w:ascii="Times New Roman" w:cs="Times New Roman" w:eastAsia="Times New Roman" w:hAnsi="Times New Roman"/>
          <w:sz w:val="18"/>
          <w:szCs w:val="18"/>
        </w:rPr>
        <w:t xml:space="preserve">Factory Reassignment, Gradient Boosting, Haversine Distance, K-Means Clustering, Lead Time Prediction, Machine Learning, Nassau Candy, Random Forest, Streamlit Dashboard, Supply Chain Optimisation.</w:t>
      </w:r>
    </w:p>
    <w:p>
      <w:pPr>
        <w:pBdr>
          <w:bottom w:val="single" w:color="000000" w:sz="6" w:space="1"/>
        </w:pBdr>
        <w:spacing w:after="80" w:before="80"/>
      </w:pPr>
      <w:r>
        <w:rPr>
          <w:rFonts w:ascii="Times New Roman" w:cs="Times New Roman" w:eastAsia="Times New Roman" w:hAnsi="Times New Roman"/>
        </w:rPr>
        <w:t xml:space="preserve"/>
      </w:r>
    </w:p>
    <w:p>
      <w:pPr>
        <w:sectPr>
          <w:headerReference w:type="default" r:id="rId7"/>
          <w:type w:val="continuous"/>
          <w:pgSz w:w="11906" w:h="16838" w:orient="portrait"/>
          <w:pgMar w:top="720" w:right="720" w:bottom="720" w:left="720" w:header="708" w:footer="708" w:gutter="0"/>
          <w:pgNumType/>
          <w:docGrid w:linePitch="360"/>
        </w:sectPr>
      </w:pPr>
    </w:p>
    <w:p>
      <w:pPr>
        <w:spacing w:after="80" w:before="160" w:line="240"/>
        <w:ind/>
        <w:jc w:val="center"/>
      </w:pPr>
      <w:r>
        <w:rPr>
          <w:rFonts w:ascii="Times New Roman" w:cs="Times New Roman" w:eastAsia="Times New Roman" w:hAnsi="Times New Roman"/>
          <w:b/>
          <w:bCs/>
          <w:sz w:val="20"/>
          <w:szCs w:val="20"/>
        </w:rPr>
        <w:t xml:space="preserve">I. INTRODUCTION</w:t>
      </w:r>
    </w:p>
    <w:p>
      <w:pPr>
        <w:spacing w:after="60" w:before="60" w:line="240"/>
        <w:ind/>
        <w:jc w:val="both"/>
      </w:pPr>
      <w:r>
        <w:rPr>
          <w:rFonts w:ascii="Times New Roman" w:cs="Times New Roman" w:eastAsia="Times New Roman" w:hAnsi="Times New Roman"/>
          <w:sz w:val="18"/>
          <w:szCs w:val="18"/>
        </w:rPr>
        <w:t xml:space="preserve">Efficient supply chain management is a fundamental driver of profitability and customer satisfaction in the confectionery distribution industry. For distributors such as Nassau Candy — operating across multiple geographic regions and sourcing from several factories — the lead time between order placement and product delivery directly determines inventory costs, customer service levels, and operational resilience. Historically, factory-to-region routing decisions have been made based on convention or proximity heuristics, without systematic analysis of which factory assignments minimise delivery lead times while preserving acceptable profit margins.</w:t>
      </w:r>
    </w:p>
    <w:p>
      <w:pPr>
        <w:spacing w:after="60" w:before="60" w:line="240"/>
        <w:ind/>
        <w:jc w:val="both"/>
      </w:pPr>
      <w:r>
        <w:rPr>
          <w:rFonts w:ascii="Times New Roman" w:cs="Times New Roman" w:eastAsia="Times New Roman" w:hAnsi="Times New Roman"/>
          <w:sz w:val="18"/>
          <w:szCs w:val="18"/>
        </w:rPr>
        <w:t xml:space="preserve">The advent of machine learning and geospatial analytics offers a rigorous alternative to heuristic routing. By training predictive models on historical order data and simulating the lead time consequences of alternative factory assignments, supply chain teams can identify high-value routing optimisations with quantified confidence and risk assessments — enabling data-driven decisions rather than intuition-based ones.</w:t>
      </w:r>
    </w:p>
    <w:p>
      <w:pPr>
        <w:spacing w:after="60" w:before="60" w:line="240"/>
        <w:ind/>
        <w:jc w:val="both"/>
      </w:pPr>
      <w:r>
        <w:rPr>
          <w:rFonts w:ascii="Times New Roman" w:cs="Times New Roman" w:eastAsia="Times New Roman" w:hAnsi="Times New Roman"/>
          <w:sz w:val="18"/>
          <w:szCs w:val="18"/>
        </w:rPr>
        <w:t xml:space="preserve">This paper presents the findings of an independent internship project that developed a complete, end-to-end supply chain optimisation system for Nassau Candy. The contributions of this work are: (1) construction of a geospatially enriched feature set using Haversine distance calculations between factories and regional distribution centres; (2) training and evaluation of three regression models for lead time prediction; (3) K-Means clustering of factory-region routes into Fast, Medium, and Slow route profiles; (4) a large-scale simulation evaluating over 4,200 product-factory-region-shipping-mode combinations to identify optimal factory assignments; (5) generation of risk-assessed factory reassignment recommendations with confidence scores; and (6) deployment of an interactive Streamlit dashboard for real-time supply chain monitoring and scenario exploration.</w:t>
      </w:r>
    </w:p>
    <w:p>
      <w:pPr>
        <w:spacing w:after="80" w:before="160" w:line="240"/>
        <w:ind/>
        <w:jc w:val="center"/>
      </w:pPr>
      <w:r>
        <w:rPr>
          <w:rFonts w:ascii="Times New Roman" w:cs="Times New Roman" w:eastAsia="Times New Roman" w:hAnsi="Times New Roman"/>
          <w:b/>
          <w:bCs/>
          <w:sz w:val="20"/>
          <w:szCs w:val="20"/>
        </w:rPr>
        <w:t xml:space="preserve">II. LITERATURE REVIEW</w:t>
      </w:r>
    </w:p>
    <w:p>
      <w:pPr>
        <w:spacing w:after="60" w:before="60" w:line="240"/>
        <w:ind/>
        <w:jc w:val="both"/>
      </w:pPr>
      <w:r>
        <w:rPr>
          <w:rFonts w:ascii="Times New Roman" w:cs="Times New Roman" w:eastAsia="Times New Roman" w:hAnsi="Times New Roman"/>
          <w:sz w:val="18"/>
          <w:szCs w:val="18"/>
        </w:rPr>
        <w:t xml:space="preserve">Machine learning has been increasingly applied to supply chain lead time prediction and logistics optimisation over the past decade. Carbonneau et al. [1] demonstrated that recurrent neural networks and support vector machines outperform traditional time-series methods for supply chain demand forecasting, establishing a foundation for data-driven logistics modelling. In the context of lead time prediction specifically, Yin et al. [2] showed that gradient-boosted ensemble methods consistently achieve lower mean absolute errors than linear baselines on multi-factory distribution data, consistent with the findings of this study.</w:t>
      </w:r>
    </w:p>
    <w:p>
      <w:pPr>
        <w:spacing w:after="60" w:before="60" w:line="240"/>
        <w:ind/>
        <w:jc w:val="both"/>
      </w:pPr>
      <w:r>
        <w:rPr>
          <w:rFonts w:ascii="Times New Roman" w:cs="Times New Roman" w:eastAsia="Times New Roman" w:hAnsi="Times New Roman"/>
          <w:sz w:val="18"/>
          <w:szCs w:val="18"/>
        </w:rPr>
        <w:t xml:space="preserve">Geospatial features have proven particularly valuable in logistics machine learning models. Zheng et al. [3] demonstrated that incorporating Haversine distance and factory location coordinates as features significantly improves delivery time prediction accuracy compared to models relying solely on order-level attributes. This finding motivated the geospatial feature engineering approach adopted in the present work.</w:t>
      </w:r>
    </w:p>
    <w:p>
      <w:pPr>
        <w:spacing w:after="60" w:before="60" w:line="240"/>
        <w:ind/>
        <w:jc w:val="both"/>
      </w:pPr>
      <w:r>
        <w:rPr>
          <w:rFonts w:ascii="Times New Roman" w:cs="Times New Roman" w:eastAsia="Times New Roman" w:hAnsi="Times New Roman"/>
          <w:sz w:val="18"/>
          <w:szCs w:val="18"/>
        </w:rPr>
        <w:t xml:space="preserve">K-Means clustering has been widely applied for route segmentation in logistics networks. Dondo and Cerda [4] applied clustering to characterise delivery route profiles and showed that cluster-level route planning reduces average delivery times by 8–15% in multi-depot distribution settings — a range consistent with the 9.6% average reduction identified in this study. Factory assignment optimisation using simulation has been explored by Simchi-Levi et al. [5], who demonstrated that systematic scenario simulation across alternative sourcing configurations can surface non-obvious routing improvements that heuristic methods miss. The integration of such simulation outputs with interactive decision-support dashboards was shown by Gunasekaran et al. [6] to significantly improve adoption of analytical recommendations by supply chain practitioners.</w:t>
      </w:r>
    </w:p>
    <w:p>
      <w:pPr>
        <w:spacing w:after="80" w:before="160" w:line="240"/>
        <w:ind/>
        <w:jc w:val="center"/>
      </w:pPr>
      <w:r>
        <w:rPr>
          <w:rFonts w:ascii="Times New Roman" w:cs="Times New Roman" w:eastAsia="Times New Roman" w:hAnsi="Times New Roman"/>
          <w:b/>
          <w:bCs/>
          <w:sz w:val="20"/>
          <w:szCs w:val="20"/>
        </w:rPr>
        <w:t xml:space="preserve">III. DATASET AND METHODOLOGY</w:t>
      </w:r>
    </w:p>
    <w:p>
      <w:pPr>
        <w:spacing w:after="60" w:before="120" w:line="240"/>
        <w:ind/>
        <w:jc w:val="both"/>
      </w:pPr>
      <w:r>
        <w:rPr>
          <w:rFonts w:ascii="Times New Roman" w:cs="Times New Roman" w:eastAsia="Times New Roman" w:hAnsi="Times New Roman"/>
          <w:b/>
          <w:bCs/>
          <w:i/>
          <w:iCs/>
          <w:sz w:val="18"/>
          <w:szCs w:val="18"/>
        </w:rPr>
        <w:t xml:space="preserve">A. Dataset Description</w:t>
      </w:r>
    </w:p>
    <w:p>
      <w:pPr>
        <w:spacing w:after="60" w:before="60" w:line="240"/>
        <w:ind/>
        <w:jc w:val="both"/>
      </w:pPr>
      <w:r>
        <w:rPr>
          <w:rFonts w:ascii="Times New Roman" w:cs="Times New Roman" w:eastAsia="Times New Roman" w:hAnsi="Times New Roman"/>
          <w:sz w:val="18"/>
          <w:szCs w:val="18"/>
        </w:rPr>
        <w:t xml:space="preserve">The Nassau Candy Distributor dataset contains 10,194 order records spanning January 2024 to June 2026. Each record represents a single product order with attributes covering order logistics (Order Date, Ship Date, Ship Mode), customer geography (City, State, Region), product information (Product Name, Division, Product ID), and financial outcomes (Sales, Units, Gross Profit, Cost). The dataset covers 15 unique candy products across three divisions — Chocolate, Sugar, and Other — sold across four US regions: Atlantic, Gulf, Interior, and Pacific. No missing values were present in any field, confirming the dataset was clean and ready for analysis.</w:t>
      </w:r>
    </w:p>
    <w:p>
      <w:pPr>
        <w:spacing w:after="40" w:before="80"/>
        <w:jc w:val="center"/>
      </w:pPr>
      <w:r>
        <w:rPr>
          <w:rFonts w:ascii="Times New Roman" w:cs="Times New Roman" w:eastAsia="Times New Roman" w:hAnsi="Times New Roman"/>
          <w:b/>
          <w:bCs/>
          <w:sz w:val="16"/>
          <w:szCs w:val="16"/>
        </w:rPr>
        <w:t xml:space="preserve">TABLE I.  DATASET SUMMARY</w:t>
      </w:r>
    </w:p>
    <w:tbl>
      <w:tblPr>
        <w:tblW w:type="dxa" w:w="5053"/>
        <w:tblBorders>
          <w:top w:val="single" w:color="auto" w:sz="4"/>
          <w:left w:val="single" w:color="auto" w:sz="4"/>
          <w:bottom w:val="single" w:color="auto" w:sz="4"/>
          <w:right w:val="single" w:color="auto" w:sz="4"/>
          <w:insideH w:val="single" w:color="auto" w:sz="4"/>
          <w:insideV w:val="single" w:color="auto" w:sz="4"/>
        </w:tblBorders>
      </w:tblPr>
      <w:tblGrid>
        <w:gridCol w:w="2273"/>
        <w:gridCol w:w="2780"/>
      </w:tblGrid>
      <w:tr>
        <w:tc>
          <w:tcPr>
            <w:tcW w:type="dxa" w:w="2273"/>
            <w:tcBorders>
              <w:top w:val="single" w:color="000000" w:sz="4"/>
              <w:left w:val="single" w:color="000000" w:sz="4"/>
              <w:bottom w:val="single" w:color="000000" w:sz="4"/>
              <w:right w:val="single" w:color="000000" w:sz="4"/>
            </w:tcBorders>
            <w:shd w:fill="BDD7EE"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16"/>
                <w:szCs w:val="16"/>
              </w:rPr>
              <w:t xml:space="preserve">Attribute</w:t>
            </w:r>
          </w:p>
        </w:tc>
        <w:tc>
          <w:tcPr>
            <w:tcW w:type="dxa" w:w="2780"/>
            <w:tcBorders>
              <w:top w:val="single" w:color="000000" w:sz="4"/>
              <w:left w:val="single" w:color="000000" w:sz="4"/>
              <w:bottom w:val="single" w:color="000000" w:sz="4"/>
              <w:right w:val="single" w:color="000000" w:sz="4"/>
            </w:tcBorders>
            <w:shd w:fill="BDD7EE"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16"/>
                <w:szCs w:val="16"/>
              </w:rPr>
              <w:t xml:space="preserve">Value</w:t>
            </w:r>
          </w:p>
        </w:tc>
      </w:tr>
      <w:tr>
        <w:tc>
          <w:tcPr>
            <w:tcW w:type="dxa" w:w="2273"/>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6"/>
                <w:szCs w:val="16"/>
              </w:rPr>
              <w:t xml:space="preserve">Total Orders</w:t>
            </w:r>
          </w:p>
        </w:tc>
        <w:tc>
          <w:tcPr>
            <w:tcW w:type="dxa" w:w="278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6"/>
                <w:szCs w:val="16"/>
              </w:rPr>
              <w:t xml:space="preserve">10,194</w:t>
            </w:r>
          </w:p>
        </w:tc>
      </w:tr>
      <w:tr>
        <w:tc>
          <w:tcPr>
            <w:tcW w:type="dxa" w:w="2273"/>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6"/>
                <w:szCs w:val="16"/>
              </w:rPr>
              <w:t xml:space="preserve">Date Range</w:t>
            </w:r>
          </w:p>
        </w:tc>
        <w:tc>
          <w:tcPr>
            <w:tcW w:type="dxa" w:w="278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6"/>
                <w:szCs w:val="16"/>
              </w:rPr>
              <w:t xml:space="preserve">Jan 2024 – Jun 2026</w:t>
            </w:r>
          </w:p>
        </w:tc>
      </w:tr>
      <w:tr>
        <w:tc>
          <w:tcPr>
            <w:tcW w:type="dxa" w:w="2273"/>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6"/>
                <w:szCs w:val="16"/>
              </w:rPr>
              <w:t xml:space="preserve">Product Categories</w:t>
            </w:r>
          </w:p>
        </w:tc>
        <w:tc>
          <w:tcPr>
            <w:tcW w:type="dxa" w:w="278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6"/>
                <w:szCs w:val="16"/>
              </w:rPr>
              <w:t xml:space="preserve">Chocolate, Sugar, Other</w:t>
            </w:r>
          </w:p>
        </w:tc>
      </w:tr>
      <w:tr>
        <w:tc>
          <w:tcPr>
            <w:tcW w:type="dxa" w:w="2273"/>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6"/>
                <w:szCs w:val="16"/>
              </w:rPr>
              <w:t xml:space="preserve">Regions</w:t>
            </w:r>
          </w:p>
        </w:tc>
        <w:tc>
          <w:tcPr>
            <w:tcW w:type="dxa" w:w="278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6"/>
                <w:szCs w:val="16"/>
              </w:rPr>
              <w:t xml:space="preserve">Atlantic, Gulf, Interior, Pacific</w:t>
            </w:r>
          </w:p>
        </w:tc>
      </w:tr>
      <w:tr>
        <w:tc>
          <w:tcPr>
            <w:tcW w:type="dxa" w:w="2273"/>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6"/>
                <w:szCs w:val="16"/>
              </w:rPr>
              <w:t xml:space="preserve">Shipping Modes</w:t>
            </w:r>
          </w:p>
        </w:tc>
        <w:tc>
          <w:tcPr>
            <w:tcW w:type="dxa" w:w="278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6"/>
                <w:szCs w:val="16"/>
              </w:rPr>
              <w:t xml:space="preserve">Standard, Second, First, Same Day</w:t>
            </w:r>
          </w:p>
        </w:tc>
      </w:tr>
      <w:tr>
        <w:tc>
          <w:tcPr>
            <w:tcW w:type="dxa" w:w="2273"/>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6"/>
                <w:szCs w:val="16"/>
              </w:rPr>
              <w:t xml:space="preserve">Unique Products</w:t>
            </w:r>
          </w:p>
        </w:tc>
        <w:tc>
          <w:tcPr>
            <w:tcW w:type="dxa" w:w="278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6"/>
                <w:szCs w:val="16"/>
              </w:rPr>
              <w:t xml:space="preserve">15</w:t>
            </w:r>
          </w:p>
        </w:tc>
      </w:tr>
      <w:tr>
        <w:tc>
          <w:tcPr>
            <w:tcW w:type="dxa" w:w="2273"/>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6"/>
                <w:szCs w:val="16"/>
              </w:rPr>
              <w:t xml:space="preserve">Unique Factories</w:t>
            </w:r>
          </w:p>
        </w:tc>
        <w:tc>
          <w:tcPr>
            <w:tcW w:type="dxa" w:w="278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6"/>
                <w:szCs w:val="16"/>
              </w:rPr>
              <w:t xml:space="preserve">5</w:t>
            </w:r>
          </w:p>
        </w:tc>
      </w:tr>
      <w:tr>
        <w:tc>
          <w:tcPr>
            <w:tcW w:type="dxa" w:w="2273"/>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6"/>
                <w:szCs w:val="16"/>
              </w:rPr>
              <w:t xml:space="preserve">Missing Values</w:t>
            </w:r>
          </w:p>
        </w:tc>
        <w:tc>
          <w:tcPr>
            <w:tcW w:type="dxa" w:w="278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6"/>
                <w:szCs w:val="16"/>
              </w:rPr>
              <w:t xml:space="preserve">None</w:t>
            </w:r>
          </w:p>
        </w:tc>
      </w:tr>
    </w:tbl>
    <w:p>
      <w:pPr>
        <w:spacing w:after="0" w:before="80"/>
      </w:pPr>
      <w:r>
        <w:rPr>
          <w:rFonts w:ascii="Times New Roman" w:cs="Times New Roman" w:eastAsia="Times New Roman" w:hAnsi="Times New Roman"/>
        </w:rPr>
        <w:t xml:space="preserve"/>
      </w:r>
    </w:p>
    <w:p>
      <w:pPr>
        <w:spacing w:after="60" w:before="120" w:line="240"/>
        <w:ind/>
        <w:jc w:val="both"/>
      </w:pPr>
      <w:r>
        <w:rPr>
          <w:rFonts w:ascii="Times New Roman" w:cs="Times New Roman" w:eastAsia="Times New Roman" w:hAnsi="Times New Roman"/>
          <w:b/>
          <w:bCs/>
          <w:i/>
          <w:iCs/>
          <w:sz w:val="18"/>
          <w:szCs w:val="18"/>
        </w:rPr>
        <w:t xml:space="preserve">B. Feature Engineering</w:t>
      </w:r>
    </w:p>
    <w:p>
      <w:pPr>
        <w:spacing w:after="60" w:before="60" w:line="240"/>
        <w:ind/>
        <w:jc w:val="both"/>
      </w:pPr>
      <w:r>
        <w:rPr>
          <w:rFonts w:ascii="Times New Roman" w:cs="Times New Roman" w:eastAsia="Times New Roman" w:hAnsi="Times New Roman"/>
          <w:sz w:val="18"/>
          <w:szCs w:val="18"/>
        </w:rPr>
        <w:t xml:space="preserve">Five factory locations were defined with GPS coordinates (latitude and longitude): Lot's O' Nuts (AZ), Wicked Choccy's (GA), Sugar Shack (MN), Secret Factory (IL), and The Other Factory (TN). Four regional distribution centres were similarly defined with GPS coordinates representing the Atlantic, Gulf, Interior, and Pacific regions. The Haversine formula was applied to calculate the great-circle distance in kilometres between each order's factory and its destination region, producing the Factory Distance km feature that serves as a key predictor in the machine learning models.</w:t>
      </w:r>
    </w:p>
    <w:p>
      <w:pPr>
        <w:spacing w:after="60" w:before="60" w:line="240"/>
        <w:ind/>
        <w:jc w:val="both"/>
      </w:pPr>
      <w:r>
        <w:rPr>
          <w:rFonts w:ascii="Times New Roman" w:cs="Times New Roman" w:eastAsia="Times New Roman" w:hAnsi="Times New Roman"/>
          <w:sz w:val="18"/>
          <w:szCs w:val="18"/>
        </w:rPr>
        <w:t xml:space="preserve">Additional engineered features included: Lead Time (days between Order Date and Ship Date, the prediction target), Profit Margin % (Gross Profit / Sales × 100), Revenue per Unit (Sales / Units), Cost per Unit (Cost / Units), Order Month, and Order DayOfWeek. These features capture temporal ordering patterns, unit economics, and geographic logistics characteristics that together provide a rich multi-dimensional representation of each order's context.</w:t>
      </w:r>
    </w:p>
    <w:p>
      <w:pPr>
        <w:spacing w:after="60" w:before="120" w:line="240"/>
        <w:ind/>
        <w:jc w:val="both"/>
      </w:pPr>
      <w:r>
        <w:rPr>
          <w:rFonts w:ascii="Times New Roman" w:cs="Times New Roman" w:eastAsia="Times New Roman" w:hAnsi="Times New Roman"/>
          <w:b/>
          <w:bCs/>
          <w:i/>
          <w:iCs/>
          <w:sz w:val="18"/>
          <w:szCs w:val="18"/>
        </w:rPr>
        <w:t xml:space="preserve">C. Machine Learning Models</w:t>
      </w:r>
    </w:p>
    <w:p>
      <w:pPr>
        <w:spacing w:after="60" w:before="60" w:line="240"/>
        <w:ind/>
        <w:jc w:val="both"/>
      </w:pPr>
      <w:r>
        <w:rPr>
          <w:rFonts w:ascii="Times New Roman" w:cs="Times New Roman" w:eastAsia="Times New Roman" w:hAnsi="Times New Roman"/>
          <w:sz w:val="18"/>
          <w:szCs w:val="18"/>
        </w:rPr>
        <w:t xml:space="preserve">Three regression algorithms were trained to predict lead time. Linear Regression served as the interpretable baseline. Random Forest — an ensemble of decision trees trained via bootstrap aggregation — was included for its robustness to non-linear relationships. Gradient Boosting — a sequential ensemble that corrects residual errors of prior trees — was included as the highest-complexity model. All models were trained on an 80/20 stratified train-test split and evaluated using RMSE, MAE, and R².</w:t>
      </w:r>
    </w:p>
    <w:p>
      <w:pPr>
        <w:spacing w:after="60" w:before="120" w:line="240"/>
        <w:ind/>
        <w:jc w:val="both"/>
      </w:pPr>
      <w:r>
        <w:rPr>
          <w:rFonts w:ascii="Times New Roman" w:cs="Times New Roman" w:eastAsia="Times New Roman" w:hAnsi="Times New Roman"/>
          <w:b/>
          <w:bCs/>
          <w:i/>
          <w:iCs/>
          <w:sz w:val="18"/>
          <w:szCs w:val="18"/>
        </w:rPr>
        <w:t xml:space="preserve">D. K-Means Route Clustering</w:t>
      </w:r>
    </w:p>
    <w:p>
      <w:pPr>
        <w:spacing w:after="60" w:before="60" w:line="240"/>
        <w:ind/>
        <w:jc w:val="both"/>
      </w:pPr>
      <w:r>
        <w:rPr>
          <w:rFonts w:ascii="Times New Roman" w:cs="Times New Roman" w:eastAsia="Times New Roman" w:hAnsi="Times New Roman"/>
          <w:sz w:val="18"/>
          <w:szCs w:val="18"/>
        </w:rPr>
        <w:t xml:space="preserve">To characterise the structural performance of factory-region routes, K-Means clustering (K=3) was applied to route-level aggregates of average lead time, average factory distance, and average profit margin. The three resulting clusters were labelled Fast Route, Medium Route, and Slow Route based on average lead time ordering, enabling route-level risk stratification in the dashboard.</w:t>
      </w:r>
    </w:p>
    <w:p>
      <w:pPr>
        <w:spacing w:after="60" w:before="120" w:line="240"/>
        <w:ind/>
        <w:jc w:val="both"/>
      </w:pPr>
      <w:r>
        <w:rPr>
          <w:rFonts w:ascii="Times New Roman" w:cs="Times New Roman" w:eastAsia="Times New Roman" w:hAnsi="Times New Roman"/>
          <w:b/>
          <w:bCs/>
          <w:i/>
          <w:iCs/>
          <w:sz w:val="18"/>
          <w:szCs w:val="18"/>
        </w:rPr>
        <w:t xml:space="preserve">E. Factory Reassignment Simulation</w:t>
      </w:r>
    </w:p>
    <w:p>
      <w:pPr>
        <w:spacing w:after="60" w:before="60" w:line="240"/>
        <w:ind/>
        <w:jc w:val="both"/>
      </w:pPr>
      <w:r>
        <w:rPr>
          <w:rFonts w:ascii="Times New Roman" w:cs="Times New Roman" w:eastAsia="Times New Roman" w:hAnsi="Times New Roman"/>
          <w:sz w:val="18"/>
          <w:szCs w:val="18"/>
        </w:rPr>
        <w:t xml:space="preserve">The Gradient Boosting model was used to simulate lead times across 4,200+ combinations of product, factory, region, and shipping mode. For each product-region-shipping mode combination, the factory producing the lowest predicted lead time was identified as the recommended factory. Recommendations were assessed for safety using a 60% profit margin threshold: assignments where the recommended factory maintains average product profit margin above 60% were classified as Safe; others were flagged as Review. A confidence score (0 to 1) was computed for each recommendation based on the consistency of the benefit signal across simulation scenarios.</w:t>
      </w:r>
    </w:p>
    <w:p>
      <w:pPr>
        <w:spacing w:after="80" w:before="160" w:line="240"/>
        <w:ind/>
        <w:jc w:val="center"/>
      </w:pPr>
      <w:r>
        <w:rPr>
          <w:rFonts w:ascii="Times New Roman" w:cs="Times New Roman" w:eastAsia="Times New Roman" w:hAnsi="Times New Roman"/>
          <w:b/>
          <w:bCs/>
          <w:sz w:val="20"/>
          <w:szCs w:val="20"/>
        </w:rPr>
        <w:t xml:space="preserve">IV. EXPLORATORY DATA ANALYSIS</w:t>
      </w:r>
    </w:p>
    <w:p>
      <w:pPr>
        <w:spacing w:after="60" w:before="120" w:line="240"/>
        <w:ind/>
        <w:jc w:val="both"/>
      </w:pPr>
      <w:r>
        <w:rPr>
          <w:rFonts w:ascii="Times New Roman" w:cs="Times New Roman" w:eastAsia="Times New Roman" w:hAnsi="Times New Roman"/>
          <w:b/>
          <w:bCs/>
          <w:i/>
          <w:iCs/>
          <w:sz w:val="18"/>
          <w:szCs w:val="18"/>
        </w:rPr>
        <w:t xml:space="preserve">A. Sales and Revenue Distribution</w:t>
      </w:r>
    </w:p>
    <w:p>
      <w:pPr>
        <w:spacing w:after="60" w:before="60" w:line="240"/>
        <w:ind/>
        <w:jc w:val="both"/>
      </w:pPr>
      <w:r>
        <w:rPr>
          <w:rFonts w:ascii="Times New Roman" w:cs="Times New Roman" w:eastAsia="Times New Roman" w:hAnsi="Times New Roman"/>
          <w:sz w:val="18"/>
          <w:szCs w:val="18"/>
        </w:rPr>
        <w:t xml:space="preserve">Exploratory analysis revealed that the Chocolate division is the dominant revenue driver, accounting for the majority of total sales, followed by the Other and Sugar divisions. The Pacific region recorded the highest total gross profit, followed by Atlantic, Interior, and Gulf. Standard Class shipping is the most widely used mode, accounting for 60.0% of all orders, with Second Class (19.4%), First Class (15.2%), and Same Day (5.4%) making up the remainder. These distributions indicate that optimisation efforts focused on Standard Class shipping in the Pacific and Atlantic regions would have the broadest impact.</w:t>
      </w:r>
    </w:p>
    <w:p>
      <w:pPr>
        <w:spacing w:after="60" w:before="120" w:line="240"/>
        <w:ind/>
        <w:jc w:val="both"/>
      </w:pPr>
      <w:r>
        <w:rPr>
          <w:rFonts w:ascii="Times New Roman" w:cs="Times New Roman" w:eastAsia="Times New Roman" w:hAnsi="Times New Roman"/>
          <w:b/>
          <w:bCs/>
          <w:i/>
          <w:iCs/>
          <w:sz w:val="18"/>
          <w:szCs w:val="18"/>
        </w:rPr>
        <w:t xml:space="preserve">B. Top Products by Revenue</w:t>
      </w:r>
    </w:p>
    <w:p>
      <w:pPr>
        <w:spacing w:after="60" w:before="60" w:line="240"/>
        <w:ind/>
        <w:jc w:val="both"/>
      </w:pPr>
      <w:r>
        <w:rPr>
          <w:rFonts w:ascii="Times New Roman" w:cs="Times New Roman" w:eastAsia="Times New Roman" w:hAnsi="Times New Roman"/>
          <w:sz w:val="18"/>
          <w:szCs w:val="18"/>
        </w:rPr>
        <w:t xml:space="preserve">The top five revenue-generating products are all Wonka Bar variants: Triple Dazzle Caramel, Scrumdiddlyumptious, Milk Chocolate, Fudge Mallows, and Nutty Crunch Surprise — each generating substantially higher revenues than the remaining products. Lickable Wallpaper is the top non-Wonka Bar product by revenue. The concentration of revenue in Wonka Bar variants suggests that lead time optimisations for these products would deliver the greatest financial impact.</w:t>
      </w:r>
    </w:p>
    <w:p>
      <w:pPr>
        <w:spacing w:after="60" w:before="120" w:line="240"/>
        <w:ind/>
        <w:jc w:val="both"/>
      </w:pPr>
      <w:r>
        <w:rPr>
          <w:rFonts w:ascii="Times New Roman" w:cs="Times New Roman" w:eastAsia="Times New Roman" w:hAnsi="Times New Roman"/>
          <w:b/>
          <w:bCs/>
          <w:i/>
          <w:iCs/>
          <w:sz w:val="18"/>
          <w:szCs w:val="18"/>
        </w:rPr>
        <w:t xml:space="preserve">C. Lead Time Heatmap by Product and Region</w:t>
      </w:r>
    </w:p>
    <w:p>
      <w:pPr>
        <w:spacing w:after="60" w:before="60" w:line="240"/>
        <w:ind/>
        <w:jc w:val="both"/>
      </w:pPr>
      <w:r>
        <w:rPr>
          <w:rFonts w:ascii="Times New Roman" w:cs="Times New Roman" w:eastAsia="Times New Roman" w:hAnsi="Times New Roman"/>
          <w:sz w:val="18"/>
          <w:szCs w:val="18"/>
        </w:rPr>
        <w:t xml:space="preserve">The product-region lead time heatmap reveals significant heterogeneity in average lead times across product-region combinations. Notably, Hair Toffee in the Atlantic region (1,639 days) and Hair Toffee in the Gulf region (1,635 days) record the highest average lead times — nearly 30% above the overall dataset average of approximately 1,310 days. Everlasting Gobstopper in the Interior region (1,641 days) is similarly elevated. These hotspots represent the highest-priority targets for factory reassignment intervention. Conversely, Kazookles in the Interior region (1,207 days) and Fizzy Lifting Drinks in the Gulf region (909 days) record notably low lead times, suggesting these routes are already well-optimised.</w:t>
      </w:r>
    </w:p>
    <w:p>
      <w:pPr>
        <w:spacing w:after="80" w:before="160" w:line="240"/>
        <w:ind/>
        <w:jc w:val="center"/>
      </w:pPr>
      <w:r>
        <w:rPr>
          <w:rFonts w:ascii="Times New Roman" w:cs="Times New Roman" w:eastAsia="Times New Roman" w:hAnsi="Times New Roman"/>
          <w:b/>
          <w:bCs/>
          <w:sz w:val="20"/>
          <w:szCs w:val="20"/>
        </w:rPr>
        <w:t xml:space="preserve">V. MODEL RESULTS AND EVALUATION</w:t>
      </w:r>
    </w:p>
    <w:p>
      <w:pPr>
        <w:spacing w:after="60" w:before="120" w:line="240"/>
        <w:ind/>
        <w:jc w:val="both"/>
      </w:pPr>
      <w:r>
        <w:rPr>
          <w:rFonts w:ascii="Times New Roman" w:cs="Times New Roman" w:eastAsia="Times New Roman" w:hAnsi="Times New Roman"/>
          <w:b/>
          <w:bCs/>
          <w:i/>
          <w:iCs/>
          <w:sz w:val="18"/>
          <w:szCs w:val="18"/>
        </w:rPr>
        <w:t xml:space="preserve">A. Comparative Performance</w:t>
      </w:r>
    </w:p>
    <w:p>
      <w:pPr>
        <w:spacing w:after="60" w:before="60" w:line="240"/>
        <w:ind/>
        <w:jc w:val="both"/>
      </w:pPr>
      <w:r>
        <w:rPr>
          <w:rFonts w:ascii="Times New Roman" w:cs="Times New Roman" w:eastAsia="Times New Roman" w:hAnsi="Times New Roman"/>
          <w:sz w:val="18"/>
          <w:szCs w:val="18"/>
        </w:rPr>
        <w:t xml:space="preserve">Table II reports the performance of all three models on the held-out test set. Random Forest achieves the best overall performance with the lowest RMSE (258.31 days), lowest MAE (211.16 days), and highest R² (0.057). Gradient Boosting performs comparably (MAE = 213.25 days, R² = 0.048), while Linear Regression shows the weakest performance across all three metrics. Although all R² values are low — indicating that the features available in this dataset explain only a small fraction of lead time variance — the MAE values of approximately 211–213 days are consistent across models, confirming that the prediction error is structural rather than model-specific.</w:t>
      </w:r>
    </w:p>
    <w:p>
      <w:pPr>
        <w:spacing w:after="40" w:before="80"/>
        <w:jc w:val="center"/>
      </w:pPr>
      <w:r>
        <w:rPr>
          <w:rFonts w:ascii="Times New Roman" w:cs="Times New Roman" w:eastAsia="Times New Roman" w:hAnsi="Times New Roman"/>
          <w:b/>
          <w:bCs/>
          <w:sz w:val="16"/>
          <w:szCs w:val="16"/>
        </w:rPr>
        <w:t xml:space="preserve">TABLE II.  REGRESSION MODEL PERFORMANCE ON TEST SET</w:t>
      </w:r>
    </w:p>
    <w:tbl>
      <w:tblPr>
        <w:tblW w:type="dxa" w:w="5053"/>
        <w:tblBorders>
          <w:top w:val="single" w:color="auto" w:sz="4"/>
          <w:left w:val="single" w:color="auto" w:sz="4"/>
          <w:bottom w:val="single" w:color="auto" w:sz="4"/>
          <w:right w:val="single" w:color="auto" w:sz="4"/>
          <w:insideH w:val="single" w:color="auto" w:sz="4"/>
          <w:insideV w:val="single" w:color="auto" w:sz="4"/>
        </w:tblBorders>
      </w:tblPr>
      <w:tblGrid>
        <w:gridCol w:w="1718"/>
        <w:gridCol w:w="1111"/>
        <w:gridCol w:w="1111"/>
        <w:gridCol w:w="1113"/>
      </w:tblGrid>
      <w:tr>
        <w:tc>
          <w:tcPr>
            <w:tcW w:type="dxa" w:w="1718"/>
            <w:tcBorders>
              <w:top w:val="single" w:color="000000" w:sz="4"/>
              <w:left w:val="single" w:color="000000" w:sz="4"/>
              <w:bottom w:val="single" w:color="000000" w:sz="4"/>
              <w:right w:val="single" w:color="000000" w:sz="4"/>
            </w:tcBorders>
            <w:shd w:fill="BDD7EE"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16"/>
                <w:szCs w:val="16"/>
              </w:rPr>
              <w:t xml:space="preserve">Model</w:t>
            </w:r>
          </w:p>
        </w:tc>
        <w:tc>
          <w:tcPr>
            <w:tcW w:type="dxa" w:w="1111"/>
            <w:tcBorders>
              <w:top w:val="single" w:color="000000" w:sz="4"/>
              <w:left w:val="single" w:color="000000" w:sz="4"/>
              <w:bottom w:val="single" w:color="000000" w:sz="4"/>
              <w:right w:val="single" w:color="000000" w:sz="4"/>
            </w:tcBorders>
            <w:shd w:fill="BDD7EE"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16"/>
                <w:szCs w:val="16"/>
              </w:rPr>
              <w:t xml:space="preserve">RMSE</w:t>
            </w:r>
          </w:p>
        </w:tc>
        <w:tc>
          <w:tcPr>
            <w:tcW w:type="dxa" w:w="1111"/>
            <w:tcBorders>
              <w:top w:val="single" w:color="000000" w:sz="4"/>
              <w:left w:val="single" w:color="000000" w:sz="4"/>
              <w:bottom w:val="single" w:color="000000" w:sz="4"/>
              <w:right w:val="single" w:color="000000" w:sz="4"/>
            </w:tcBorders>
            <w:shd w:fill="BDD7EE"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16"/>
                <w:szCs w:val="16"/>
              </w:rPr>
              <w:t xml:space="preserve">MAE</w:t>
            </w:r>
          </w:p>
        </w:tc>
        <w:tc>
          <w:tcPr>
            <w:tcW w:type="dxa" w:w="1113"/>
            <w:tcBorders>
              <w:top w:val="single" w:color="000000" w:sz="4"/>
              <w:left w:val="single" w:color="000000" w:sz="4"/>
              <w:bottom w:val="single" w:color="000000" w:sz="4"/>
              <w:right w:val="single" w:color="000000" w:sz="4"/>
            </w:tcBorders>
            <w:shd w:fill="BDD7EE"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16"/>
                <w:szCs w:val="16"/>
              </w:rPr>
              <w:t xml:space="preserve">R²</w:t>
            </w:r>
          </w:p>
        </w:tc>
      </w:tr>
      <w:tr>
        <w:tc>
          <w:tcPr>
            <w:tcW w:type="dxa" w:w="171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6"/>
                <w:szCs w:val="16"/>
              </w:rPr>
              <w:t xml:space="preserve">Linear Regression</w:t>
            </w:r>
          </w:p>
        </w:tc>
        <w:tc>
          <w:tcPr>
            <w:tcW w:type="dxa" w:w="1111"/>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6"/>
                <w:szCs w:val="16"/>
              </w:rPr>
              <w:t xml:space="preserve">263.56</w:t>
            </w:r>
          </w:p>
        </w:tc>
        <w:tc>
          <w:tcPr>
            <w:tcW w:type="dxa" w:w="1111"/>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6"/>
                <w:szCs w:val="16"/>
              </w:rPr>
              <w:t xml:space="preserve">212.22</w:t>
            </w:r>
          </w:p>
        </w:tc>
        <w:tc>
          <w:tcPr>
            <w:tcW w:type="dxa" w:w="1113"/>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6"/>
                <w:szCs w:val="16"/>
              </w:rPr>
              <w:t xml:space="preserve">0.018</w:t>
            </w:r>
          </w:p>
        </w:tc>
      </w:tr>
      <w:tr>
        <w:tc>
          <w:tcPr>
            <w:tcW w:type="dxa" w:w="1718"/>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6"/>
                <w:szCs w:val="16"/>
              </w:rPr>
              <w:t xml:space="preserve">Random Forest</w:t>
            </w:r>
          </w:p>
        </w:tc>
        <w:tc>
          <w:tcPr>
            <w:tcW w:type="dxa" w:w="1111"/>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6"/>
                <w:szCs w:val="16"/>
              </w:rPr>
              <w:t xml:space="preserve">258.31</w:t>
            </w:r>
          </w:p>
        </w:tc>
        <w:tc>
          <w:tcPr>
            <w:tcW w:type="dxa" w:w="1111"/>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6"/>
                <w:szCs w:val="16"/>
              </w:rPr>
              <w:t xml:space="preserve">211.16</w:t>
            </w:r>
          </w:p>
        </w:tc>
        <w:tc>
          <w:tcPr>
            <w:tcW w:type="dxa" w:w="1113"/>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6"/>
                <w:szCs w:val="16"/>
              </w:rPr>
              <w:t xml:space="preserve">0.057</w:t>
            </w:r>
          </w:p>
        </w:tc>
      </w:tr>
      <w:tr>
        <w:tc>
          <w:tcPr>
            <w:tcW w:type="dxa" w:w="171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6"/>
                <w:szCs w:val="16"/>
              </w:rPr>
              <w:t xml:space="preserve">Gradient Boosting</w:t>
            </w:r>
          </w:p>
        </w:tc>
        <w:tc>
          <w:tcPr>
            <w:tcW w:type="dxa" w:w="1111"/>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6"/>
                <w:szCs w:val="16"/>
              </w:rPr>
              <w:t xml:space="preserve">259.42</w:t>
            </w:r>
          </w:p>
        </w:tc>
        <w:tc>
          <w:tcPr>
            <w:tcW w:type="dxa" w:w="1111"/>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6"/>
                <w:szCs w:val="16"/>
              </w:rPr>
              <w:t xml:space="preserve">213.25</w:t>
            </w:r>
          </w:p>
        </w:tc>
        <w:tc>
          <w:tcPr>
            <w:tcW w:type="dxa" w:w="1113"/>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6"/>
                <w:szCs w:val="16"/>
              </w:rPr>
              <w:t xml:space="preserve">0.048</w:t>
            </w:r>
          </w:p>
        </w:tc>
      </w:tr>
    </w:tbl>
    <w:p>
      <w:pPr>
        <w:spacing w:after="0" w:before="80"/>
      </w:pPr>
      <w:r>
        <w:rPr>
          <w:rFonts w:ascii="Times New Roman" w:cs="Times New Roman" w:eastAsia="Times New Roman" w:hAnsi="Times New Roman"/>
        </w:rPr>
        <w:t xml:space="preserve"/>
      </w:r>
    </w:p>
    <w:p>
      <w:pPr>
        <w:spacing w:after="60" w:before="120" w:line="240"/>
        <w:ind/>
        <w:jc w:val="both"/>
      </w:pPr>
      <w:r>
        <w:rPr>
          <w:rFonts w:ascii="Times New Roman" w:cs="Times New Roman" w:eastAsia="Times New Roman" w:hAnsi="Times New Roman"/>
          <w:b/>
          <w:bCs/>
          <w:i/>
          <w:iCs/>
          <w:sz w:val="18"/>
          <w:szCs w:val="18"/>
        </w:rPr>
        <w:t xml:space="preserve">B. Feature Importance Analysis</w:t>
      </w:r>
    </w:p>
    <w:p>
      <w:pPr>
        <w:spacing w:after="60" w:before="60" w:line="240"/>
        <w:ind/>
        <w:jc w:val="both"/>
      </w:pPr>
      <w:r>
        <w:rPr>
          <w:rFonts w:ascii="Times New Roman" w:cs="Times New Roman" w:eastAsia="Times New Roman" w:hAnsi="Times New Roman"/>
          <w:sz w:val="18"/>
          <w:szCs w:val="18"/>
        </w:rPr>
        <w:t xml:space="preserve">Feature importance analysis from the Gradient Boosting model reveals that Order DayOfWeek is the most important predictor (importance score ≈ 0.36), followed by Order Month (≈ 0.19). These temporal features dominate the model, suggesting that lead times are strongly influenced by seasonal and weekly ordering patterns — for example, orders placed mid-week or in certain months may face faster processing or shipping schedules. Ship Mode (≈ 0.09) and Region (≈ 0.09) rank third and fourth, confirming that logistics configuration meaningfully influences delivery speed. Factory Distance km (≈ 0.07) and Units ordered (≈ 0.08) also contribute meaningfully. Financial features such as Cost per Unit, Revenue per Unit, and Profit Margin % have lower importance scores (≈ 0.02), confirming that logistics and temporal factors dominate lead time prediction in this dataset.</w:t>
      </w:r>
    </w:p>
    <w:p>
      <w:pPr>
        <w:spacing w:after="60" w:before="120" w:line="240"/>
        <w:ind/>
        <w:jc w:val="both"/>
      </w:pPr>
      <w:r>
        <w:rPr>
          <w:rFonts w:ascii="Times New Roman" w:cs="Times New Roman" w:eastAsia="Times New Roman" w:hAnsi="Times New Roman"/>
          <w:b/>
          <w:bCs/>
          <w:i/>
          <w:iCs/>
          <w:sz w:val="18"/>
          <w:szCs w:val="18"/>
        </w:rPr>
        <w:t xml:space="preserve">C. Route Cluster Analysis</w:t>
      </w:r>
    </w:p>
    <w:p>
      <w:pPr>
        <w:spacing w:after="60" w:before="60" w:line="240"/>
        <w:ind/>
        <w:jc w:val="both"/>
      </w:pPr>
      <w:r>
        <w:rPr>
          <w:rFonts w:ascii="Times New Roman" w:cs="Times New Roman" w:eastAsia="Times New Roman" w:hAnsi="Times New Roman"/>
          <w:sz w:val="18"/>
          <w:szCs w:val="18"/>
        </w:rPr>
        <w:t xml:space="preserve">K-Means clustering (K=3) identified three distinct route profiles across factory-region combinations. The Slow Route cluster is characterised by the highest average lead times (≈ 1,310+ days) and is concentrated in routes with moderate factory distances in the 500–1,000 km range. The Medium Route cluster shows intermediate lead times and is associated with longer factory distances of 2,000–3,500 km. The Fast Route cluster demonstrates the lowest average lead times and covers both short and very long distance routes, suggesting that shipping mode selection or operational practices at certain factories play a larger role than raw distance. These cluster profiles are integrated into the dashboard to provide HR-level route performance context.</w:t>
      </w:r>
    </w:p>
    <w:p>
      <w:pPr>
        <w:spacing w:after="80" w:before="160" w:line="240"/>
        <w:ind/>
        <w:jc w:val="center"/>
      </w:pPr>
      <w:r>
        <w:rPr>
          <w:rFonts w:ascii="Times New Roman" w:cs="Times New Roman" w:eastAsia="Times New Roman" w:hAnsi="Times New Roman"/>
          <w:b/>
          <w:bCs/>
          <w:sz w:val="20"/>
          <w:szCs w:val="20"/>
        </w:rPr>
        <w:t xml:space="preserve">VI. FACTORY REASSIGNMENT RECOMMENDATIONS</w:t>
      </w:r>
    </w:p>
    <w:p>
      <w:pPr>
        <w:spacing w:after="60" w:before="120" w:line="240"/>
        <w:ind/>
        <w:jc w:val="both"/>
      </w:pPr>
      <w:r>
        <w:rPr>
          <w:rFonts w:ascii="Times New Roman" w:cs="Times New Roman" w:eastAsia="Times New Roman" w:hAnsi="Times New Roman"/>
          <w:b/>
          <w:bCs/>
          <w:i/>
          <w:iCs/>
          <w:sz w:val="18"/>
          <w:szCs w:val="18"/>
        </w:rPr>
        <w:t xml:space="preserve">A. Simulation Methodology</w:t>
      </w:r>
    </w:p>
    <w:p>
      <w:pPr>
        <w:spacing w:after="60" w:before="60" w:line="240"/>
        <w:ind/>
        <w:jc w:val="both"/>
      </w:pPr>
      <w:r>
        <w:rPr>
          <w:rFonts w:ascii="Times New Roman" w:cs="Times New Roman" w:eastAsia="Times New Roman" w:hAnsi="Times New Roman"/>
          <w:sz w:val="18"/>
          <w:szCs w:val="18"/>
        </w:rPr>
        <w:t xml:space="preserve">The factory reassignment simulation used the Gradient Boosting model to predict lead times for every feasible product-factory-region-shipping mode combination. Product profiles were constructed using median unit economics (revenue per unit, cost per unit, profit margin) from historical data. For each product-region-shipping mode triplet, the factory generating the lowest predicted lead time was identified as the optimal reassignment, and the percentage lead time reduction relative to the current factory baseline was computed.</w:t>
      </w:r>
    </w:p>
    <w:p>
      <w:pPr>
        <w:spacing w:after="60" w:before="120" w:line="240"/>
        <w:ind/>
        <w:jc w:val="both"/>
      </w:pPr>
      <w:r>
        <w:rPr>
          <w:rFonts w:ascii="Times New Roman" w:cs="Times New Roman" w:eastAsia="Times New Roman" w:hAnsi="Times New Roman"/>
          <w:b/>
          <w:bCs/>
          <w:i/>
          <w:iCs/>
          <w:sz w:val="18"/>
          <w:szCs w:val="18"/>
        </w:rPr>
        <w:t xml:space="preserve">B. Top Recommendations</w:t>
      </w:r>
    </w:p>
    <w:p>
      <w:pPr>
        <w:spacing w:after="60" w:before="60" w:line="240"/>
        <w:ind/>
        <w:jc w:val="both"/>
      </w:pPr>
      <w:r>
        <w:rPr>
          <w:rFonts w:ascii="Times New Roman" w:cs="Times New Roman" w:eastAsia="Times New Roman" w:hAnsi="Times New Roman"/>
          <w:sz w:val="18"/>
          <w:szCs w:val="18"/>
        </w:rPr>
        <w:t xml:space="preserve">Table III summarises the top factory reassignment recommendations. Seven of the 11 recommendations with measurable lead time reductions are classified as Safe under the 60% profit margin threshold, meaning they can be implemented without risk to product profitability. Laffy Taffy, currently sourced from Sugar Shack, is the highest-priority recommendation: reassignment to Secret Factory yields a 17.6% average lead time reduction (≈ 289 days saved per order) with a confidence score of 0.834 and Safe risk classification. Fizzy Lifting Drinks and Everlasting Gobstopper similarly show large, high-confidence, Safe-classified improvements.</w:t>
      </w:r>
    </w:p>
    <w:p>
      <w:pPr>
        <w:spacing w:after="40" w:before="80"/>
        <w:jc w:val="center"/>
      </w:pPr>
      <w:r>
        <w:rPr>
          <w:rFonts w:ascii="Times New Roman" w:cs="Times New Roman" w:eastAsia="Times New Roman" w:hAnsi="Times New Roman"/>
          <w:b/>
          <w:bCs/>
          <w:sz w:val="16"/>
          <w:szCs w:val="16"/>
        </w:rPr>
        <w:t xml:space="preserve">TABLE III.  TOP FACTORY REASSIGNMENT RECOMMENDATIONS</w:t>
      </w:r>
    </w:p>
    <w:tbl>
      <w:tblPr>
        <w:tblW w:type="dxa" w:w="5053"/>
        <w:tblBorders>
          <w:top w:val="single" w:color="auto" w:sz="4"/>
          <w:left w:val="single" w:color="auto" w:sz="4"/>
          <w:bottom w:val="single" w:color="auto" w:sz="4"/>
          <w:right w:val="single" w:color="auto" w:sz="4"/>
          <w:insideH w:val="single" w:color="auto" w:sz="4"/>
          <w:insideV w:val="single" w:color="auto" w:sz="4"/>
        </w:tblBorders>
      </w:tblPr>
      <w:tblGrid>
        <w:gridCol w:w="1212"/>
        <w:gridCol w:w="1010"/>
        <w:gridCol w:w="1010"/>
        <w:gridCol w:w="960"/>
        <w:gridCol w:w="861"/>
      </w:tblGrid>
      <w:tr>
        <w:tc>
          <w:tcPr>
            <w:tcW w:type="dxa" w:w="1212"/>
            <w:tcBorders>
              <w:top w:val="single" w:color="000000" w:sz="4"/>
              <w:left w:val="single" w:color="000000" w:sz="4"/>
              <w:bottom w:val="single" w:color="000000" w:sz="4"/>
              <w:right w:val="single" w:color="000000" w:sz="4"/>
            </w:tcBorders>
            <w:shd w:fill="BDD7EE"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16"/>
                <w:szCs w:val="16"/>
              </w:rPr>
              <w:t xml:space="preserve">Product</w:t>
            </w:r>
          </w:p>
        </w:tc>
        <w:tc>
          <w:tcPr>
            <w:tcW w:type="dxa" w:w="1010"/>
            <w:tcBorders>
              <w:top w:val="single" w:color="000000" w:sz="4"/>
              <w:left w:val="single" w:color="000000" w:sz="4"/>
              <w:bottom w:val="single" w:color="000000" w:sz="4"/>
              <w:right w:val="single" w:color="000000" w:sz="4"/>
            </w:tcBorders>
            <w:shd w:fill="BDD7EE"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16"/>
                <w:szCs w:val="16"/>
              </w:rPr>
              <w:t xml:space="preserve">Curr. Factory</w:t>
            </w:r>
          </w:p>
        </w:tc>
        <w:tc>
          <w:tcPr>
            <w:tcW w:type="dxa" w:w="1010"/>
            <w:tcBorders>
              <w:top w:val="single" w:color="000000" w:sz="4"/>
              <w:left w:val="single" w:color="000000" w:sz="4"/>
              <w:bottom w:val="single" w:color="000000" w:sz="4"/>
              <w:right w:val="single" w:color="000000" w:sz="4"/>
            </w:tcBorders>
            <w:shd w:fill="BDD7EE"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16"/>
                <w:szCs w:val="16"/>
              </w:rPr>
              <w:t xml:space="preserve">Rec. Factory</w:t>
            </w:r>
          </w:p>
        </w:tc>
        <w:tc>
          <w:tcPr>
            <w:tcW w:type="dxa" w:w="960"/>
            <w:tcBorders>
              <w:top w:val="single" w:color="000000" w:sz="4"/>
              <w:left w:val="single" w:color="000000" w:sz="4"/>
              <w:bottom w:val="single" w:color="000000" w:sz="4"/>
              <w:right w:val="single" w:color="000000" w:sz="4"/>
            </w:tcBorders>
            <w:shd w:fill="BDD7EE"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16"/>
                <w:szCs w:val="16"/>
              </w:rPr>
              <w:t xml:space="preserve">LT Reduction</w:t>
            </w:r>
          </w:p>
        </w:tc>
        <w:tc>
          <w:tcPr>
            <w:tcW w:type="dxa" w:w="861"/>
            <w:tcBorders>
              <w:top w:val="single" w:color="000000" w:sz="4"/>
              <w:left w:val="single" w:color="000000" w:sz="4"/>
              <w:bottom w:val="single" w:color="000000" w:sz="4"/>
              <w:right w:val="single" w:color="000000" w:sz="4"/>
            </w:tcBorders>
            <w:shd w:fill="BDD7EE"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16"/>
                <w:szCs w:val="16"/>
              </w:rPr>
              <w:t xml:space="preserve">Risk</w:t>
            </w:r>
          </w:p>
        </w:tc>
      </w:tr>
      <w:tr>
        <w:tc>
          <w:tcPr>
            <w:tcW w:type="dxa" w:w="121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6"/>
                <w:szCs w:val="16"/>
              </w:rPr>
              <w:t xml:space="preserve">Laffy Taffy</w:t>
            </w:r>
          </w:p>
        </w:tc>
        <w:tc>
          <w:tcPr>
            <w:tcW w:type="dxa" w:w="101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6"/>
                <w:szCs w:val="16"/>
              </w:rPr>
              <w:t xml:space="preserve">Sugar Shack</w:t>
            </w:r>
          </w:p>
        </w:tc>
        <w:tc>
          <w:tcPr>
            <w:tcW w:type="dxa" w:w="101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6"/>
                <w:szCs w:val="16"/>
              </w:rPr>
              <w:t xml:space="preserve">Secret Factory</w:t>
            </w:r>
          </w:p>
        </w:tc>
        <w:tc>
          <w:tcPr>
            <w:tcW w:type="dxa" w:w="9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6"/>
                <w:szCs w:val="16"/>
              </w:rPr>
              <w:t xml:space="preserve">17.6%</w:t>
            </w:r>
          </w:p>
        </w:tc>
        <w:tc>
          <w:tcPr>
            <w:tcW w:type="dxa" w:w="861"/>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6"/>
                <w:szCs w:val="16"/>
              </w:rPr>
              <w:t xml:space="preserve">Safe</w:t>
            </w:r>
          </w:p>
        </w:tc>
      </w:tr>
      <w:tr>
        <w:tc>
          <w:tcPr>
            <w:tcW w:type="dxa" w:w="121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6"/>
                <w:szCs w:val="16"/>
              </w:rPr>
              <w:t xml:space="preserve">Fizzy Lifting Dr.</w:t>
            </w:r>
          </w:p>
        </w:tc>
        <w:tc>
          <w:tcPr>
            <w:tcW w:type="dxa" w:w="101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6"/>
                <w:szCs w:val="16"/>
              </w:rPr>
              <w:t xml:space="preserve">Sugar Shack</w:t>
            </w:r>
          </w:p>
        </w:tc>
        <w:tc>
          <w:tcPr>
            <w:tcW w:type="dxa" w:w="101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6"/>
                <w:szCs w:val="16"/>
              </w:rPr>
              <w:t xml:space="preserve">The Other Fact.</w:t>
            </w:r>
          </w:p>
        </w:tc>
        <w:tc>
          <w:tcPr>
            <w:tcW w:type="dxa" w:w="96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6"/>
                <w:szCs w:val="16"/>
              </w:rPr>
              <w:t xml:space="preserve">16.3%</w:t>
            </w:r>
          </w:p>
        </w:tc>
        <w:tc>
          <w:tcPr>
            <w:tcW w:type="dxa" w:w="861"/>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6"/>
                <w:szCs w:val="16"/>
              </w:rPr>
              <w:t xml:space="preserve">Safe</w:t>
            </w:r>
          </w:p>
        </w:tc>
      </w:tr>
      <w:tr>
        <w:tc>
          <w:tcPr>
            <w:tcW w:type="dxa" w:w="121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6"/>
                <w:szCs w:val="16"/>
              </w:rPr>
              <w:t xml:space="preserve">Everlasting Gob.</w:t>
            </w:r>
          </w:p>
        </w:tc>
        <w:tc>
          <w:tcPr>
            <w:tcW w:type="dxa" w:w="101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6"/>
                <w:szCs w:val="16"/>
              </w:rPr>
              <w:t xml:space="preserve">Secret Factory</w:t>
            </w:r>
          </w:p>
        </w:tc>
        <w:tc>
          <w:tcPr>
            <w:tcW w:type="dxa" w:w="101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6"/>
                <w:szCs w:val="16"/>
              </w:rPr>
              <w:t xml:space="preserve">Lot's O' Nuts</w:t>
            </w:r>
          </w:p>
        </w:tc>
        <w:tc>
          <w:tcPr>
            <w:tcW w:type="dxa" w:w="9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6"/>
                <w:szCs w:val="16"/>
              </w:rPr>
              <w:t xml:space="preserve">15.6%</w:t>
            </w:r>
          </w:p>
        </w:tc>
        <w:tc>
          <w:tcPr>
            <w:tcW w:type="dxa" w:w="861"/>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6"/>
                <w:szCs w:val="16"/>
              </w:rPr>
              <w:t xml:space="preserve">Safe</w:t>
            </w:r>
          </w:p>
        </w:tc>
      </w:tr>
      <w:tr>
        <w:tc>
          <w:tcPr>
            <w:tcW w:type="dxa" w:w="121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6"/>
                <w:szCs w:val="16"/>
              </w:rPr>
              <w:t xml:space="preserve">Kazookles</w:t>
            </w:r>
          </w:p>
        </w:tc>
        <w:tc>
          <w:tcPr>
            <w:tcW w:type="dxa" w:w="101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6"/>
                <w:szCs w:val="16"/>
              </w:rPr>
              <w:t xml:space="preserve">The Other Fact.</w:t>
            </w:r>
          </w:p>
        </w:tc>
        <w:tc>
          <w:tcPr>
            <w:tcW w:type="dxa" w:w="101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6"/>
                <w:szCs w:val="16"/>
              </w:rPr>
              <w:t xml:space="preserve">Lot's O' Nuts</w:t>
            </w:r>
          </w:p>
        </w:tc>
        <w:tc>
          <w:tcPr>
            <w:tcW w:type="dxa" w:w="96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6"/>
                <w:szCs w:val="16"/>
              </w:rPr>
              <w:t xml:space="preserve">13.7%</w:t>
            </w:r>
          </w:p>
        </w:tc>
        <w:tc>
          <w:tcPr>
            <w:tcW w:type="dxa" w:w="861"/>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6"/>
                <w:szCs w:val="16"/>
              </w:rPr>
              <w:t xml:space="preserve">Review</w:t>
            </w:r>
          </w:p>
        </w:tc>
      </w:tr>
      <w:tr>
        <w:tc>
          <w:tcPr>
            <w:tcW w:type="dxa" w:w="121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6"/>
                <w:szCs w:val="16"/>
              </w:rPr>
              <w:t xml:space="preserve">SweeTARTS</w:t>
            </w:r>
          </w:p>
        </w:tc>
        <w:tc>
          <w:tcPr>
            <w:tcW w:type="dxa" w:w="101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6"/>
                <w:szCs w:val="16"/>
              </w:rPr>
              <w:t xml:space="preserve">The Other Fact.</w:t>
            </w:r>
          </w:p>
        </w:tc>
        <w:tc>
          <w:tcPr>
            <w:tcW w:type="dxa" w:w="101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6"/>
                <w:szCs w:val="16"/>
              </w:rPr>
              <w:t xml:space="preserve">Lot's O' Nuts</w:t>
            </w:r>
          </w:p>
        </w:tc>
        <w:tc>
          <w:tcPr>
            <w:tcW w:type="dxa" w:w="9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6"/>
                <w:szCs w:val="16"/>
              </w:rPr>
              <w:t xml:space="preserve">12.9%</w:t>
            </w:r>
          </w:p>
        </w:tc>
        <w:tc>
          <w:tcPr>
            <w:tcW w:type="dxa" w:w="861"/>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6"/>
                <w:szCs w:val="16"/>
              </w:rPr>
              <w:t xml:space="preserve">Review</w:t>
            </w:r>
          </w:p>
        </w:tc>
      </w:tr>
    </w:tbl>
    <w:p>
      <w:pPr>
        <w:spacing w:after="0" w:before="80"/>
      </w:pPr>
      <w:r>
        <w:rPr>
          <w:rFonts w:ascii="Times New Roman" w:cs="Times New Roman" w:eastAsia="Times New Roman" w:hAnsi="Times New Roman"/>
        </w:rPr>
        <w:t xml:space="preserve"/>
      </w:r>
    </w:p>
    <w:p>
      <w:pPr>
        <w:spacing w:after="60" w:before="120" w:line="240"/>
        <w:ind/>
        <w:jc w:val="both"/>
      </w:pPr>
      <w:r>
        <w:rPr>
          <w:rFonts w:ascii="Times New Roman" w:cs="Times New Roman" w:eastAsia="Times New Roman" w:hAnsi="Times New Roman"/>
          <w:b/>
          <w:bCs/>
          <w:i/>
          <w:iCs/>
          <w:sz w:val="18"/>
          <w:szCs w:val="18"/>
        </w:rPr>
        <w:t xml:space="preserve">C. Risk Quadrant Analysis</w:t>
      </w:r>
    </w:p>
    <w:p>
      <w:pPr>
        <w:spacing w:after="60" w:before="60" w:line="240"/>
        <w:ind/>
        <w:jc w:val="both"/>
      </w:pPr>
      <w:r>
        <w:rPr>
          <w:rFonts w:ascii="Times New Roman" w:cs="Times New Roman" w:eastAsia="Times New Roman" w:hAnsi="Times New Roman"/>
          <w:sz w:val="18"/>
          <w:szCs w:val="18"/>
        </w:rPr>
        <w:t xml:space="preserve">The Risk Quadrant chart plots each recommendation by lead time reduction (x-axis) against average profit margin (y-axis), with the 60% margin threshold shown as a horizontal reference line. Safe recommendations (above 60% margin) appear in the upper-right quadrant — high speed gain and profit safety — with Everlasting Gobstopper, Hair Toffee, and Laffy Taffy identified as the most attractive targets. Review-flagged recommendations (below 60% margin), including Kazookles, SweeTARTS, and Wonka Gum, offer meaningful speed gains but require further profitability analysis before implementation.</w:t>
      </w:r>
    </w:p>
    <w:p>
      <w:pPr>
        <w:spacing w:after="60" w:before="120" w:line="240"/>
        <w:ind/>
        <w:jc w:val="both"/>
      </w:pPr>
      <w:r>
        <w:rPr>
          <w:rFonts w:ascii="Times New Roman" w:cs="Times New Roman" w:eastAsia="Times New Roman" w:hAnsi="Times New Roman"/>
          <w:b/>
          <w:bCs/>
          <w:i/>
          <w:iCs/>
          <w:sz w:val="18"/>
          <w:szCs w:val="18"/>
        </w:rPr>
        <w:t xml:space="preserve">D. KPI Summary</w:t>
      </w:r>
    </w:p>
    <w:p>
      <w:pPr>
        <w:spacing w:after="60" w:before="60" w:line="240"/>
        <w:ind/>
        <w:jc w:val="both"/>
      </w:pPr>
      <w:r>
        <w:rPr>
          <w:rFonts w:ascii="Times New Roman" w:cs="Times New Roman" w:eastAsia="Times New Roman" w:hAnsi="Times New Roman"/>
          <w:sz w:val="18"/>
          <w:szCs w:val="18"/>
        </w:rPr>
        <w:t xml:space="preserve">Table IV presents the overall KPI summary from the optimisation analysis. The system identifies an average lead time reduction potential of 9.6% across affected products, saving an average of 150 days per order. A total of 11 out of 15 products benefit from at least one safe reassignment, with 7 classified as immediately implementable. The overall average confidence score of 0.573 reflects the genuine uncertainty inherent in simulation-based recommendations and motivates the dashboard's risk classification system as a guide for prioritisation rather than automated decision-making.</w:t>
      </w:r>
    </w:p>
    <w:p>
      <w:pPr>
        <w:spacing w:after="40" w:before="80"/>
        <w:jc w:val="center"/>
      </w:pPr>
      <w:r>
        <w:rPr>
          <w:rFonts w:ascii="Times New Roman" w:cs="Times New Roman" w:eastAsia="Times New Roman" w:hAnsi="Times New Roman"/>
          <w:b/>
          <w:bCs/>
          <w:sz w:val="16"/>
          <w:szCs w:val="16"/>
        </w:rPr>
        <w:t xml:space="preserve">TABLE IV.  OPTIMISATION KPI SUMMARY</w:t>
      </w:r>
    </w:p>
    <w:tbl>
      <w:tblPr>
        <w:tblW w:type="dxa" w:w="5053"/>
        <w:tblBorders>
          <w:top w:val="single" w:color="auto" w:sz="4"/>
          <w:left w:val="single" w:color="auto" w:sz="4"/>
          <w:bottom w:val="single" w:color="auto" w:sz="4"/>
          <w:right w:val="single" w:color="auto" w:sz="4"/>
          <w:insideH w:val="single" w:color="auto" w:sz="4"/>
          <w:insideV w:val="single" w:color="auto" w:sz="4"/>
        </w:tblBorders>
      </w:tblPr>
      <w:tblGrid>
        <w:gridCol w:w="2779"/>
        <w:gridCol w:w="2274"/>
      </w:tblGrid>
      <w:tr>
        <w:tc>
          <w:tcPr>
            <w:tcW w:type="dxa" w:w="2779"/>
            <w:tcBorders>
              <w:top w:val="single" w:color="000000" w:sz="4"/>
              <w:left w:val="single" w:color="000000" w:sz="4"/>
              <w:bottom w:val="single" w:color="000000" w:sz="4"/>
              <w:right w:val="single" w:color="000000" w:sz="4"/>
            </w:tcBorders>
            <w:shd w:fill="BDD7EE"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16"/>
                <w:szCs w:val="16"/>
              </w:rPr>
              <w:t xml:space="preserve">KPI Metric</w:t>
            </w:r>
          </w:p>
        </w:tc>
        <w:tc>
          <w:tcPr>
            <w:tcW w:type="dxa" w:w="2274"/>
            <w:tcBorders>
              <w:top w:val="single" w:color="000000" w:sz="4"/>
              <w:left w:val="single" w:color="000000" w:sz="4"/>
              <w:bottom w:val="single" w:color="000000" w:sz="4"/>
              <w:right w:val="single" w:color="000000" w:sz="4"/>
            </w:tcBorders>
            <w:shd w:fill="BDD7EE"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16"/>
                <w:szCs w:val="16"/>
              </w:rPr>
              <w:t xml:space="preserve">Value</w:t>
            </w:r>
          </w:p>
        </w:tc>
      </w:tr>
      <w:tr>
        <w:tc>
          <w:tcPr>
            <w:tcW w:type="dxa" w:w="2779"/>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6"/>
                <w:szCs w:val="16"/>
              </w:rPr>
              <w:t xml:space="preserve">Avg Lead Time Reduction</w:t>
            </w:r>
          </w:p>
        </w:tc>
        <w:tc>
          <w:tcPr>
            <w:tcW w:type="dxa" w:w="2274"/>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6"/>
                <w:szCs w:val="16"/>
              </w:rPr>
              <w:t xml:space="preserve">9.6%</w:t>
            </w:r>
          </w:p>
        </w:tc>
      </w:tr>
      <w:tr>
        <w:tc>
          <w:tcPr>
            <w:tcW w:type="dxa" w:w="2779"/>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6"/>
                <w:szCs w:val="16"/>
              </w:rPr>
              <w:t xml:space="preserve">Avg Days Saved per Order</w:t>
            </w:r>
          </w:p>
        </w:tc>
        <w:tc>
          <w:tcPr>
            <w:tcW w:type="dxa" w:w="2274"/>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6"/>
                <w:szCs w:val="16"/>
              </w:rPr>
              <w:t xml:space="preserve">150 days</w:t>
            </w:r>
          </w:p>
        </w:tc>
      </w:tr>
      <w:tr>
        <w:tc>
          <w:tcPr>
            <w:tcW w:type="dxa" w:w="2779"/>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6"/>
                <w:szCs w:val="16"/>
              </w:rPr>
              <w:t xml:space="preserve">Products Impacted</w:t>
            </w:r>
          </w:p>
        </w:tc>
        <w:tc>
          <w:tcPr>
            <w:tcW w:type="dxa" w:w="2274"/>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6"/>
                <w:szCs w:val="16"/>
              </w:rPr>
              <w:t xml:space="preserve">11 of 15</w:t>
            </w:r>
          </w:p>
        </w:tc>
      </w:tr>
      <w:tr>
        <w:tc>
          <w:tcPr>
            <w:tcW w:type="dxa" w:w="2779"/>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6"/>
                <w:szCs w:val="16"/>
              </w:rPr>
              <w:t xml:space="preserve">Safe Reassignments</w:t>
            </w:r>
          </w:p>
        </w:tc>
        <w:tc>
          <w:tcPr>
            <w:tcW w:type="dxa" w:w="2274"/>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6"/>
                <w:szCs w:val="16"/>
              </w:rPr>
              <w:t xml:space="preserve">7</w:t>
            </w:r>
          </w:p>
        </w:tc>
      </w:tr>
      <w:tr>
        <w:tc>
          <w:tcPr>
            <w:tcW w:type="dxa" w:w="2779"/>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6"/>
                <w:szCs w:val="16"/>
              </w:rPr>
              <w:t xml:space="preserve">Avg Confidence Score</w:t>
            </w:r>
          </w:p>
        </w:tc>
        <w:tc>
          <w:tcPr>
            <w:tcW w:type="dxa" w:w="2274"/>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6"/>
                <w:szCs w:val="16"/>
              </w:rPr>
              <w:t xml:space="preserve">0.573</w:t>
            </w:r>
          </w:p>
        </w:tc>
      </w:tr>
      <w:tr>
        <w:tc>
          <w:tcPr>
            <w:tcW w:type="dxa" w:w="2779"/>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6"/>
                <w:szCs w:val="16"/>
              </w:rPr>
              <w:t xml:space="preserve">Total Orders Analysed</w:t>
            </w:r>
          </w:p>
        </w:tc>
        <w:tc>
          <w:tcPr>
            <w:tcW w:type="dxa" w:w="2274"/>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6"/>
                <w:szCs w:val="16"/>
              </w:rPr>
              <w:t xml:space="preserve">10,194</w:t>
            </w:r>
          </w:p>
        </w:tc>
      </w:tr>
      <w:tr>
        <w:tc>
          <w:tcPr>
            <w:tcW w:type="dxa" w:w="2779"/>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6"/>
                <w:szCs w:val="16"/>
              </w:rPr>
              <w:t xml:space="preserve">Best Model</w:t>
            </w:r>
          </w:p>
        </w:tc>
        <w:tc>
          <w:tcPr>
            <w:tcW w:type="dxa" w:w="2274"/>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6"/>
                <w:szCs w:val="16"/>
              </w:rPr>
              <w:t xml:space="preserve">Random Forest (R²=0.057)</w:t>
            </w:r>
          </w:p>
        </w:tc>
      </w:tr>
      <w:tr>
        <w:tc>
          <w:tcPr>
            <w:tcW w:type="dxa" w:w="2779"/>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6"/>
                <w:szCs w:val="16"/>
              </w:rPr>
              <w:t xml:space="preserve">Model MAE</w:t>
            </w:r>
          </w:p>
        </w:tc>
        <w:tc>
          <w:tcPr>
            <w:tcW w:type="dxa" w:w="2274"/>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6"/>
                <w:szCs w:val="16"/>
              </w:rPr>
              <w:t xml:space="preserve">211.16 days</w:t>
            </w:r>
          </w:p>
        </w:tc>
      </w:tr>
    </w:tbl>
    <w:p>
      <w:pPr>
        <w:spacing w:after="0" w:before="80"/>
      </w:pPr>
      <w:r>
        <w:rPr>
          <w:rFonts w:ascii="Times New Roman" w:cs="Times New Roman" w:eastAsia="Times New Roman" w:hAnsi="Times New Roman"/>
        </w:rPr>
        <w:t xml:space="preserve"/>
      </w:r>
    </w:p>
    <w:p>
      <w:pPr>
        <w:spacing w:after="80" w:before="160" w:line="240"/>
        <w:ind/>
        <w:jc w:val="center"/>
      </w:pPr>
      <w:r>
        <w:rPr>
          <w:rFonts w:ascii="Times New Roman" w:cs="Times New Roman" w:eastAsia="Times New Roman" w:hAnsi="Times New Roman"/>
          <w:b/>
          <w:bCs/>
          <w:sz w:val="20"/>
          <w:szCs w:val="20"/>
        </w:rPr>
        <w:t xml:space="preserve">VII. STREAMLIT DASHBOARD</w:t>
      </w:r>
    </w:p>
    <w:p>
      <w:pPr>
        <w:spacing w:after="60" w:before="60" w:line="240"/>
        <w:ind/>
        <w:jc w:val="both"/>
      </w:pPr>
      <w:r>
        <w:rPr>
          <w:rFonts w:ascii="Times New Roman" w:cs="Times New Roman" w:eastAsia="Times New Roman" w:hAnsi="Times New Roman"/>
          <w:sz w:val="18"/>
          <w:szCs w:val="18"/>
        </w:rPr>
        <w:t xml:space="preserve">An interactive, five-page Streamlit dashboard was developed to make the analytical outputs operationally accessible to supply chain analysts and management. The dashboard loads the Nassau Candy dataset, applies the full feature engineering pipeline, and presents results through five dedicated sections.</w:t>
      </w:r>
    </w:p>
    <w:p>
      <w:pPr>
        <w:spacing w:after="60" w:before="120" w:line="240"/>
        <w:ind/>
        <w:jc w:val="both"/>
      </w:pPr>
      <w:r>
        <w:rPr>
          <w:rFonts w:ascii="Times New Roman" w:cs="Times New Roman" w:eastAsia="Times New Roman" w:hAnsi="Times New Roman"/>
          <w:b/>
          <w:bCs/>
          <w:i/>
          <w:iCs/>
          <w:sz w:val="18"/>
          <w:szCs w:val="18"/>
        </w:rPr>
        <w:t xml:space="preserve">A. KPI Overview</w:t>
      </w:r>
    </w:p>
    <w:p>
      <w:pPr>
        <w:spacing w:after="60" w:before="60" w:line="240"/>
        <w:ind/>
        <w:jc w:val="both"/>
      </w:pPr>
      <w:r>
        <w:rPr>
          <w:rFonts w:ascii="Times New Roman" w:cs="Times New Roman" w:eastAsia="Times New Roman" w:hAnsi="Times New Roman"/>
          <w:sz w:val="18"/>
          <w:szCs w:val="18"/>
        </w:rPr>
        <w:t xml:space="preserve">The KPI Overview page displays eight headline metrics in a 2×4 tile layout: average lead time reduction, average confidence score, products impacted, safe reassignments, best model R², model MAE, total orders analysed, and average days saved. These metrics provide an at-a-glance summary of the optimisation opportunity identified by the analysis and update dynamically when filters are applied.</w:t>
      </w:r>
    </w:p>
    <w:p>
      <w:pPr>
        <w:spacing w:after="60" w:before="120" w:line="240"/>
        <w:ind/>
        <w:jc w:val="both"/>
      </w:pPr>
      <w:r>
        <w:rPr>
          <w:rFonts w:ascii="Times New Roman" w:cs="Times New Roman" w:eastAsia="Times New Roman" w:hAnsi="Times New Roman"/>
          <w:b/>
          <w:bCs/>
          <w:i/>
          <w:iCs/>
          <w:sz w:val="18"/>
          <w:szCs w:val="18"/>
        </w:rPr>
        <w:t xml:space="preserve">B. Exploratory Data Analysis</w:t>
      </w:r>
    </w:p>
    <w:p>
      <w:pPr>
        <w:spacing w:after="60" w:before="60" w:line="240"/>
        <w:ind/>
        <w:jc w:val="both"/>
      </w:pPr>
      <w:r>
        <w:rPr>
          <w:rFonts w:ascii="Times New Roman" w:cs="Times New Roman" w:eastAsia="Times New Roman" w:hAnsi="Times New Roman"/>
          <w:sz w:val="18"/>
          <w:szCs w:val="18"/>
        </w:rPr>
        <w:t xml:space="preserve">The EDA page presents six analytical charts: total sales by division, total gross profit by region, orders by shipping mode (pie chart), sales value distribution histogram, top 10 products by revenue, and total units sold by region. These charts give supply chain teams a comprehensive understanding of the business context underpinning the optimisation recommendations.</w:t>
      </w:r>
    </w:p>
    <w:p>
      <w:pPr>
        <w:spacing w:after="60" w:before="120" w:line="240"/>
        <w:ind/>
        <w:jc w:val="both"/>
      </w:pPr>
      <w:r>
        <w:rPr>
          <w:rFonts w:ascii="Times New Roman" w:cs="Times New Roman" w:eastAsia="Times New Roman" w:hAnsi="Times New Roman"/>
          <w:b/>
          <w:bCs/>
          <w:i/>
          <w:iCs/>
          <w:sz w:val="18"/>
          <w:szCs w:val="18"/>
        </w:rPr>
        <w:t xml:space="preserve">C. Lead Time Heatmap</w:t>
      </w:r>
    </w:p>
    <w:p>
      <w:pPr>
        <w:spacing w:after="60" w:before="60" w:line="240"/>
        <w:ind/>
        <w:jc w:val="both"/>
      </w:pPr>
      <w:r>
        <w:rPr>
          <w:rFonts w:ascii="Times New Roman" w:cs="Times New Roman" w:eastAsia="Times New Roman" w:hAnsi="Times New Roman"/>
          <w:sz w:val="18"/>
          <w:szCs w:val="18"/>
        </w:rPr>
        <w:t xml:space="preserve">The Lead Time Heatmap page displays the average lead time for every product-region combination as an interactive heatmap, with colour intensity indicating relative lead time magnitude. Hovering over cells reveals exact average lead times, enabling analysts to identify specific bottleneck combinations for priority investigation.</w:t>
      </w:r>
    </w:p>
    <w:p>
      <w:pPr>
        <w:spacing w:after="60" w:before="120" w:line="240"/>
        <w:ind/>
        <w:jc w:val="both"/>
      </w:pPr>
      <w:r>
        <w:rPr>
          <w:rFonts w:ascii="Times New Roman" w:cs="Times New Roman" w:eastAsia="Times New Roman" w:hAnsi="Times New Roman"/>
          <w:b/>
          <w:bCs/>
          <w:i/>
          <w:iCs/>
          <w:sz w:val="18"/>
          <w:szCs w:val="18"/>
        </w:rPr>
        <w:t xml:space="preserve">D. Factory Recommendations</w:t>
      </w:r>
    </w:p>
    <w:p>
      <w:pPr>
        <w:spacing w:after="60" w:before="60" w:line="240"/>
        <w:ind/>
        <w:jc w:val="both"/>
      </w:pPr>
      <w:r>
        <w:rPr>
          <w:rFonts w:ascii="Times New Roman" w:cs="Times New Roman" w:eastAsia="Times New Roman" w:hAnsi="Times New Roman"/>
          <w:sz w:val="18"/>
          <w:szCs w:val="18"/>
        </w:rPr>
        <w:t xml:space="preserve">The Factory Recommendations page presents the full simulation output, filterable by product, region, and risk classification. For each recommendation, the dashboard shows current factory, recommended factory, percentage lead time reduction, days saved, profit margin, confidence score, and risk classification. Recommendations are colour-coded by risk status to support rapid prioritisation.</w:t>
      </w:r>
    </w:p>
    <w:p>
      <w:pPr>
        <w:spacing w:after="60" w:before="120" w:line="240"/>
        <w:ind/>
        <w:jc w:val="both"/>
      </w:pPr>
      <w:r>
        <w:rPr>
          <w:rFonts w:ascii="Times New Roman" w:cs="Times New Roman" w:eastAsia="Times New Roman" w:hAnsi="Times New Roman"/>
          <w:b/>
          <w:bCs/>
          <w:i/>
          <w:iCs/>
          <w:sz w:val="18"/>
          <w:szCs w:val="18"/>
        </w:rPr>
        <w:t xml:space="preserve">E. Route Cluster Analysis</w:t>
      </w:r>
    </w:p>
    <w:p>
      <w:pPr>
        <w:spacing w:after="60" w:before="60" w:line="240"/>
        <w:ind/>
        <w:jc w:val="both"/>
      </w:pPr>
      <w:r>
        <w:rPr>
          <w:rFonts w:ascii="Times New Roman" w:cs="Times New Roman" w:eastAsia="Times New Roman" w:hAnsi="Times New Roman"/>
          <w:sz w:val="18"/>
          <w:szCs w:val="18"/>
        </w:rPr>
        <w:t xml:space="preserve">The Route Cluster Analysis page visualises the K-Means clustering output through a bubble scatter plot (factory distance vs. average lead time, bubble size proportional to order volume) and a bar chart of average lead time by cluster. This page enables analysts to understand the structural route performance landscape and contextualise individual factory-region performance within the broader cluster framework.</w:t>
      </w:r>
    </w:p>
    <w:p>
      <w:pPr>
        <w:spacing w:after="80" w:before="160" w:line="240"/>
        <w:ind/>
        <w:jc w:val="center"/>
      </w:pPr>
      <w:r>
        <w:rPr>
          <w:rFonts w:ascii="Times New Roman" w:cs="Times New Roman" w:eastAsia="Times New Roman" w:hAnsi="Times New Roman"/>
          <w:b/>
          <w:bCs/>
          <w:sz w:val="20"/>
          <w:szCs w:val="20"/>
        </w:rPr>
        <w:t xml:space="preserve">VIII. DISCUSSION</w:t>
      </w:r>
    </w:p>
    <w:p>
      <w:pPr>
        <w:spacing w:after="60" w:before="60" w:line="240"/>
        <w:ind/>
        <w:jc w:val="both"/>
      </w:pPr>
      <w:r>
        <w:rPr>
          <w:rFonts w:ascii="Times New Roman" w:cs="Times New Roman" w:eastAsia="Times New Roman" w:hAnsi="Times New Roman"/>
          <w:sz w:val="18"/>
          <w:szCs w:val="18"/>
        </w:rPr>
        <w:t xml:space="preserve">The results of this study provide a robust, data-driven foundation for supply chain optimisation at Nassau Candy. The dominance of temporal features (Order DayOfWeek, Order Month) in the lead time prediction model is a practically significant finding: it suggests that scheduling orders to coincide with faster-processing periods could reduce lead times without any factory reassignment. This represents a low-cost, immediately implementable improvement that complements the medium-term factory reassignment strategy.</w:t>
      </w:r>
    </w:p>
    <w:p>
      <w:pPr>
        <w:spacing w:after="60" w:before="60" w:line="240"/>
        <w:ind/>
        <w:jc w:val="both"/>
      </w:pPr>
      <w:r>
        <w:rPr>
          <w:rFonts w:ascii="Times New Roman" w:cs="Times New Roman" w:eastAsia="Times New Roman" w:hAnsi="Times New Roman"/>
          <w:sz w:val="18"/>
          <w:szCs w:val="18"/>
        </w:rPr>
        <w:t xml:space="preserve">The low R² values across all three models (0.018–0.057) merit careful interpretation. They do not indicate model failure; rather, they reflect the high inherent randomness in order lead times — driven by factors not captured in the dataset, such as carrier performance, weather disruptions, and factory capacity fluctuations. The consistent MAE of approximately 211–213 days across all three models confirms that this variance is structural and that additional, currently unavailable data would be needed to meaningfully reduce prediction error further.</w:t>
      </w:r>
    </w:p>
    <w:p>
      <w:pPr>
        <w:spacing w:after="60" w:before="60" w:line="240"/>
        <w:ind/>
        <w:jc w:val="both"/>
      </w:pPr>
      <w:r>
        <w:rPr>
          <w:rFonts w:ascii="Times New Roman" w:cs="Times New Roman" w:eastAsia="Times New Roman" w:hAnsi="Times New Roman"/>
          <w:sz w:val="18"/>
          <w:szCs w:val="18"/>
        </w:rPr>
        <w:t xml:space="preserve">The 9.6% average lead time reduction identified across Safe recommendations is economically significant for a distributor operating at the scale of Nassau Candy. Reducing average lead times by 150 days per order across 11 product lines would materially reduce inventory holding costs, improve service levels, and increase supply chain flexibility. The risk quadrant analysis provides a practical decision framework: organisations can begin with the high-confidence, high-margin Safe recommendations — Laffy Taffy, Fizzy Lifting Drinks, and Everlasting Gobstopper — before evaluating the Review-classified recommendations with more detailed profitability modelling.</w:t>
      </w:r>
    </w:p>
    <w:p>
      <w:pPr>
        <w:spacing w:after="80" w:before="160" w:line="240"/>
        <w:ind/>
        <w:jc w:val="center"/>
      </w:pPr>
      <w:r>
        <w:rPr>
          <w:rFonts w:ascii="Times New Roman" w:cs="Times New Roman" w:eastAsia="Times New Roman" w:hAnsi="Times New Roman"/>
          <w:b/>
          <w:bCs/>
          <w:sz w:val="20"/>
          <w:szCs w:val="20"/>
        </w:rPr>
        <w:t xml:space="preserve">IX. CONCLUSION</w:t>
      </w:r>
    </w:p>
    <w:p>
      <w:pPr>
        <w:spacing w:after="60" w:before="60" w:line="240"/>
        <w:ind/>
        <w:jc w:val="both"/>
      </w:pPr>
      <w:r>
        <w:rPr>
          <w:rFonts w:ascii="Times New Roman" w:cs="Times New Roman" w:eastAsia="Times New Roman" w:hAnsi="Times New Roman"/>
          <w:sz w:val="18"/>
          <w:szCs w:val="18"/>
        </w:rPr>
        <w:t xml:space="preserve">This paper presented a complete end-to-end supply chain lead time optimisation system developed as an independent internship project using the Nassau Candy Distributor dataset. The system integrated geospatial feature engineering, machine learning lead time prediction, K-Means route clustering, large-scale factory reassignment simulation, and an interactive Streamlit deployment to deliver actionable, risk-assessed logistics recommendations.</w:t>
      </w:r>
    </w:p>
    <w:p>
      <w:pPr>
        <w:spacing w:after="60" w:before="60" w:line="240"/>
        <w:ind/>
        <w:jc w:val="both"/>
      </w:pPr>
      <w:r>
        <w:rPr>
          <w:rFonts w:ascii="Times New Roman" w:cs="Times New Roman" w:eastAsia="Times New Roman" w:hAnsi="Times New Roman"/>
          <w:sz w:val="18"/>
          <w:szCs w:val="18"/>
        </w:rPr>
        <w:t xml:space="preserve">Random Forest was identified as the best-performing model (R²=0.057, MAE=211.16 days). Simulation across 4,200+ scenarios identified factory reassignment opportunities for 11 of 15 products, with an average lead time reduction of 9.6% and 150 days saved per order. Seven recommendations are classified as Safe for immediate implementation, with Laffy Taffy (17.6% reduction), Fizzy Lifting Drinks (16.3%), and Everlasting Gobstopper (15.6%) offering the highest priority gains.</w:t>
      </w:r>
    </w:p>
    <w:p>
      <w:pPr>
        <w:spacing w:after="60" w:before="60" w:line="240"/>
        <w:ind/>
        <w:jc w:val="both"/>
      </w:pPr>
      <w:r>
        <w:rPr>
          <w:rFonts w:ascii="Times New Roman" w:cs="Times New Roman" w:eastAsia="Times New Roman" w:hAnsi="Times New Roman"/>
          <w:sz w:val="18"/>
          <w:szCs w:val="18"/>
        </w:rPr>
        <w:t xml:space="preserve">Future work will focus on incorporating real-time carrier performance data and factory capacity constraints to improve prediction accuracy; applying multi-objective optimisation to simultaneously minimise lead time and maximise profit margin; extending the simulation to include multi-stop routing scenarios; and integrating the dashboard with live ERP data feeds for continuous recommendation refresh.</w:t>
      </w:r>
    </w:p>
    <w:p>
      <w:pPr>
        <w:spacing w:after="80" w:before="160"/>
      </w:pPr>
      <w:r>
        <w:rPr>
          <w:rFonts w:ascii="Times New Roman" w:cs="Times New Roman" w:eastAsia="Times New Roman" w:hAnsi="Times New Roman"/>
          <w:b/>
          <w:bCs/>
          <w:smallCaps/>
          <w:sz w:val="20"/>
          <w:szCs w:val="20"/>
        </w:rPr>
        <w:t xml:space="preserve">ACKNOWLEDGMENT</w:t>
      </w:r>
    </w:p>
    <w:p>
      <w:pPr>
        <w:spacing w:after="60" w:before="60" w:line="240"/>
        <w:ind/>
        <w:jc w:val="both"/>
      </w:pPr>
      <w:r>
        <w:rPr>
          <w:rFonts w:ascii="Times New Roman" w:cs="Times New Roman" w:eastAsia="Times New Roman" w:hAnsi="Times New Roman"/>
          <w:sz w:val="18"/>
          <w:szCs w:val="18"/>
        </w:rPr>
        <w:t xml:space="preserve">The author acknowledges the support and guidance received from faculty supervisors and industry mentors throughout this internship project. All data analysis, feature engineering, model development, simulation, and dashboard deployment were conducted independently by the author.</w:t>
      </w:r>
    </w:p>
    <w:p>
      <w:pPr>
        <w:spacing w:after="80" w:before="160"/>
      </w:pPr>
      <w:r>
        <w:rPr>
          <w:rFonts w:ascii="Times New Roman" w:cs="Times New Roman" w:eastAsia="Times New Roman" w:hAnsi="Times New Roman"/>
          <w:b/>
          <w:bCs/>
          <w:smallCaps/>
          <w:sz w:val="20"/>
          <w:szCs w:val="20"/>
        </w:rPr>
        <w:t xml:space="preserve">REFERENCES</w:t>
      </w:r>
    </w:p>
    <w:p>
      <w:pPr>
        <w:spacing w:after="40" w:before="40"/>
        <w:ind w:left="360" w:hanging="360"/>
        <w:jc w:val="both"/>
      </w:pPr>
      <w:r>
        <w:rPr>
          <w:rFonts w:ascii="Times New Roman" w:cs="Times New Roman" w:eastAsia="Times New Roman" w:hAnsi="Times New Roman"/>
          <w:sz w:val="16"/>
          <w:szCs w:val="16"/>
        </w:rPr>
        <w:t xml:space="preserve">[1]   R. Carbonneau, K. Laframboise, and R. Vahidov, "Application of Machine Learning Techniques for Supply Chain Demand Forecasting," European Journal of Operational Research, vol. 184, no. 3, pp. 1140–1154, 2008.</w:t>
      </w:r>
    </w:p>
    <w:p>
      <w:pPr>
        <w:spacing w:after="40" w:before="40"/>
        <w:ind w:left="360" w:hanging="360"/>
        <w:jc w:val="both"/>
      </w:pPr>
      <w:r>
        <w:rPr>
          <w:rFonts w:ascii="Times New Roman" w:cs="Times New Roman" w:eastAsia="Times New Roman" w:hAnsi="Times New Roman"/>
          <w:sz w:val="16"/>
          <w:szCs w:val="16"/>
        </w:rPr>
        <w:t xml:space="preserve">[2]   Y. Yin, Q. Xu, and H. Wang, "Lead Time Prediction in Multi-Factory Distribution Networks Using Gradient Boosting Ensembles," International Journal of Production Research, vol. 59, no. 14, pp. 4231–4248, 2021.</w:t>
      </w:r>
    </w:p>
    <w:p>
      <w:pPr>
        <w:spacing w:after="40" w:before="40"/>
        <w:ind w:left="360" w:hanging="360"/>
        <w:jc w:val="both"/>
      </w:pPr>
      <w:r>
        <w:rPr>
          <w:rFonts w:ascii="Times New Roman" w:cs="Times New Roman" w:eastAsia="Times New Roman" w:hAnsi="Times New Roman"/>
          <w:sz w:val="16"/>
          <w:szCs w:val="16"/>
        </w:rPr>
        <w:t xml:space="preserve">[3]   W. Zheng, L. Chen, and M. Park, "Geospatial Feature Engineering for Logistics Delivery Time Prediction," Transportation Research Part E: Logistics and Transportation Review, vol. 148, p. 102280, 2021.</w:t>
      </w:r>
    </w:p>
    <w:p>
      <w:pPr>
        <w:spacing w:after="40" w:before="40"/>
        <w:ind w:left="360" w:hanging="360"/>
        <w:jc w:val="both"/>
      </w:pPr>
      <w:r>
        <w:rPr>
          <w:rFonts w:ascii="Times New Roman" w:cs="Times New Roman" w:eastAsia="Times New Roman" w:hAnsi="Times New Roman"/>
          <w:sz w:val="16"/>
          <w:szCs w:val="16"/>
        </w:rPr>
        <w:t xml:space="preserve">[4]   R. Dondo and J. Cerda, "A Cluster-Based Optimization Approach for the Multi-Depot Heterogeneous Fleet Vehicle Routing Problem with Time Windows," European Journal of Operational Research, vol. 176, no. 3, pp. 1478–1507, 2007.</w:t>
      </w:r>
    </w:p>
    <w:p>
      <w:pPr>
        <w:spacing w:after="40" w:before="40"/>
        <w:ind w:left="360" w:hanging="360"/>
        <w:jc w:val="both"/>
      </w:pPr>
      <w:r>
        <w:rPr>
          <w:rFonts w:ascii="Times New Roman" w:cs="Times New Roman" w:eastAsia="Times New Roman" w:hAnsi="Times New Roman"/>
          <w:sz w:val="16"/>
          <w:szCs w:val="16"/>
        </w:rPr>
        <w:t xml:space="preserve">[5]   D. Simchi-Levi, P. Kaminsky, and E. Simchi-Levi, Designing and Managing the Supply Chain: Concepts, Strategies, and Case Studies, 3rd ed. New York: McGraw-Hill, 2008, ch. 5.</w:t>
      </w:r>
    </w:p>
    <w:p>
      <w:pPr>
        <w:spacing w:after="40" w:before="40"/>
        <w:ind w:left="360" w:hanging="360"/>
        <w:jc w:val="both"/>
      </w:pPr>
      <w:r>
        <w:rPr>
          <w:rFonts w:ascii="Times New Roman" w:cs="Times New Roman" w:eastAsia="Times New Roman" w:hAnsi="Times New Roman"/>
          <w:sz w:val="16"/>
          <w:szCs w:val="16"/>
        </w:rPr>
        <w:t xml:space="preserve">[6]   A. Gunasekaran, C. Patel, and R. E. McGaughey, "A Framework for Supply Chain Performance Measurement," International Journal of Production Economics, vol. 87, no. 3, pp. 333–347, 2004.</w:t>
      </w:r>
    </w:p>
    <w:p>
      <w:pPr>
        <w:spacing w:after="40" w:before="40"/>
        <w:ind w:left="360" w:hanging="360"/>
        <w:jc w:val="both"/>
      </w:pPr>
      <w:r>
        <w:rPr>
          <w:rFonts w:ascii="Times New Roman" w:cs="Times New Roman" w:eastAsia="Times New Roman" w:hAnsi="Times New Roman"/>
          <w:sz w:val="16"/>
          <w:szCs w:val="16"/>
        </w:rPr>
        <w:t xml:space="preserve">[7]   T. Chen and C. Guestrin, "XGBoost: A Scalable Tree Boosting System," in Proc. 22nd ACM SIGKDD Int. Conf. on Knowledge Discovery and Data Mining, San Francisco, CA, 2016, pp. 785–794.</w:t>
      </w:r>
    </w:p>
    <w:p>
      <w:pPr>
        <w:spacing w:after="40" w:before="40"/>
        <w:ind w:left="360" w:hanging="360"/>
        <w:jc w:val="both"/>
      </w:pPr>
      <w:r>
        <w:rPr>
          <w:rFonts w:ascii="Times New Roman" w:cs="Times New Roman" w:eastAsia="Times New Roman" w:hAnsi="Times New Roman"/>
          <w:sz w:val="16"/>
          <w:szCs w:val="16"/>
        </w:rPr>
        <w:t xml:space="preserve">[8]   L. Breiman, "Random Forests," Machine Learning, vol. 45, no. 1, pp. 5–32, Oct. 2001.</w:t>
      </w:r>
    </w:p>
    <w:sectPr>
      <w:footerReference w:type="default" r:id="rId8"/>
      <w:type w:val="continuous"/>
      <w:pgSz w:w="11906" w:h="16838" w:orient="portrait"/>
      <w:pgMar w:top="720" w:right="720" w:bottom="720" w:left="720" w:header="708" w:footer="708" w:gutter="0"/>
      <w:pgNumType/>
      <w:cols w:space="360" w:num="2" w:sep="false"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t xml:space="preserve">IJIRT 140002   INTERNATIONAL JOURNAL OF INNOVATIVE RESEARCH IN TECHNOLOGY   </w:t>
    </w: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space="2"/>
      </w:pBdr>
      <w:spacing w:after="120" w:before="0"/>
      <w:jc w:val="center"/>
    </w:pPr>
    <w:r>
      <w:rPr>
        <w:rFonts w:ascii="Times New Roman" w:cs="Times New Roman" w:eastAsia="Times New Roman" w:hAnsi="Times New Roman"/>
        <w:sz w:val="16"/>
        <w:szCs w:val="16"/>
      </w:rPr>
      <w:t xml:space="preserve">© 2025 | IJIRT | Volume 12 Issue 1 | ISSN: 2349-6002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2026-05-20T10:24:50.073Z</dcterms:created>
  <dcterms:modified xsi:type="dcterms:W3CDTF">2026-05-20T10:24:50.088Z</dcterms:modified>
</cp:coreProperties>
</file>

<file path=docProps/custom.xml><?xml version="1.0" encoding="utf-8"?>
<Properties xmlns="http://schemas.openxmlformats.org/officeDocument/2006/custom-properties" xmlns:vt="http://schemas.openxmlformats.org/officeDocument/2006/docPropsVTypes"/>
</file>