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r>
        <w:rPr>
          <w:rFonts w:ascii="Aptos" w:hAnsi="Aptos"/>
          <w:b/>
          <w:color w:val="246BFD"/>
          <w:sz w:val="20"/>
        </w:rPr>
        <w:t>ACADEMIC STUDY NOTES</w:t>
      </w:r>
    </w:p>
    <w:p>
      <w:pPr>
        <w:pStyle w:val="Title"/>
      </w:pPr>
      <w:r>
        <w:t>Large Language Models</w:t>
      </w:r>
    </w:p>
    <w:p>
      <w:pPr>
        <w:spacing w:after="360"/>
      </w:pPr>
      <w:r>
        <w:rPr>
          <w:rFonts w:ascii="Aptos" w:hAnsi="Aptos"/>
          <w:color w:val="5E6B7A"/>
          <w:sz w:val="34"/>
        </w:rPr>
        <w:t>Clear explanations for presentation slides 10 to 15</w:t>
      </w:r>
    </w:p>
    <w:p>
      <w:pPr>
        <w:pStyle w:val="BodyText"/>
      </w:pPr>
      <w:r>
        <w:rPr>
          <w:rFonts w:ascii="Aptos" w:hAnsi="Aptos"/>
        </w:rPr>
        <w:t>These notes explain six connected parts of the systematic review: model architecture, training and alignment, evaluation, applications and agents, database integration, and efficiency. The main conclusion is that modern LLM research increasingly improves complete systems rather than scaling a single model component in isolation.</w:t>
      </w:r>
    </w:p>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792"/>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Slide</w:t>
            </w:r>
          </w:p>
        </w:tc>
        <w:tc>
          <w:tcPr>
            <w:tcW w:type="dxa" w:w="2520"/>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Topic</w:t>
            </w:r>
          </w:p>
        </w:tc>
        <w:tc>
          <w:tcPr>
            <w:tcW w:type="dxa" w:w="6264"/>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Main message</w:t>
            </w:r>
          </w:p>
        </w:tc>
      </w:tr>
      <w:t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10</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sz w:val="18"/>
              </w:rPr>
              <w:t>Architecture</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Specialized compute, memory, context, and modality</w:t>
            </w:r>
          </w:p>
        </w:tc>
      </w:tr>
      <w:tr>
        <w:tc>
          <w:tcPr>
            <w:tcW w:type="dxa" w:w="792"/>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11</w:t>
            </w:r>
          </w:p>
        </w:tc>
        <w:tc>
          <w:tcPr>
            <w:tcW w:type="dxa" w:w="2520"/>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Training and alignment</w:t>
            </w:r>
          </w:p>
        </w:tc>
        <w:tc>
          <w:tcPr>
            <w:tcW w:type="dxa" w:w="6264"/>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Efficient adaptation plus preference and reasoning signals</w:t>
            </w:r>
          </w:p>
        </w:tc>
      </w:tr>
      <w:t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12</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sz w:val="18"/>
              </w:rPr>
              <w:t>Evaluation</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Current benchmarks do not support easy cross-paper comparison</w:t>
            </w:r>
          </w:p>
        </w:tc>
      </w:tr>
      <w:tr>
        <w:tc>
          <w:tcPr>
            <w:tcW w:type="dxa" w:w="792"/>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13</w:t>
            </w:r>
          </w:p>
        </w:tc>
        <w:tc>
          <w:tcPr>
            <w:tcW w:type="dxa" w:w="2520"/>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Applications and agents</w:t>
            </w:r>
          </w:p>
        </w:tc>
        <w:tc>
          <w:tcPr>
            <w:tcW w:type="dxa" w:w="6264"/>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Evaluation must expand from models to complete systems</w:t>
            </w:r>
          </w:p>
        </w:tc>
      </w:tr>
      <w:t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14</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LLM and database integration</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Grounded answers require secure retrieval and query execution</w:t>
            </w:r>
          </w:p>
        </w:tc>
      </w:tr>
      <w:tr>
        <w:tc>
          <w:tcPr>
            <w:tcW w:type="dxa" w:w="792"/>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15</w:t>
            </w:r>
          </w:p>
        </w:tc>
        <w:tc>
          <w:tcPr>
            <w:tcW w:type="dxa" w:w="2520"/>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sz w:val="18"/>
              </w:rPr>
              <w:t>Efficiency</w:t>
            </w:r>
          </w:p>
        </w:tc>
        <w:tc>
          <w:tcPr>
            <w:tcW w:type="dxa" w:w="6264"/>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Efficiency connects architecture, training, context, and deployment</w:t>
            </w:r>
          </w:p>
        </w:tc>
      </w:tr>
    </w:tbl>
    <w:p>
      <w:pPr>
        <w:spacing w:after="0"/>
      </w:pPr>
    </w:p>
    <w:p>
      <w:pPr>
        <w:pStyle w:val="BodyText"/>
      </w:pPr>
      <w:r>
        <w:rPr>
          <w:rFonts w:ascii="Aptos" w:hAnsi="Aptos"/>
          <w:b/>
        </w:rPr>
        <w:t xml:space="preserve">Basis of the note: </w:t>
      </w:r>
      <w:r>
        <w:rPr>
          <w:rFonts w:ascii="Aptos" w:hAnsi="Aptos"/>
        </w:rPr>
        <w:t>Prepared from the supplied presentation and the accompanying systematic review paper.</w:t>
      </w:r>
    </w:p>
    <w:p>
      <w:pPr>
        <w:pStyle w:val="BodyText"/>
      </w:pPr>
      <w:r>
        <w:rPr>
          <w:rFonts w:ascii="Aptos" w:hAnsi="Aptos"/>
          <w:b/>
        </w:rPr>
        <w:t xml:space="preserve">How to use it: </w:t>
      </w:r>
      <w:r>
        <w:rPr>
          <w:rFonts w:ascii="Aptos" w:hAnsi="Aptos"/>
        </w:rPr>
        <w:t>Use the explanation and key terms for study. Use each short presentation script when speaking in class.</w:t>
      </w:r>
    </w:p>
    <w:p>
      <w:pPr>
        <w:pageBreakBefore/>
        <w:spacing w:after="60"/>
      </w:pPr>
      <w:r>
        <w:rPr>
          <w:rFonts w:ascii="Aptos" w:hAnsi="Aptos"/>
          <w:b/>
          <w:color w:val="246BFD"/>
          <w:sz w:val="18"/>
        </w:rPr>
        <w:t>SLIDE 10</w:t>
      </w:r>
    </w:p>
    <w:p>
      <w:pPr>
        <w:pStyle w:val="Heading1"/>
        <w:keepNext/>
      </w:pPr>
      <w:r>
        <w:t>Architecture Branch</w:t>
      </w:r>
    </w:p>
    <w:p>
      <w:pPr>
        <w:pStyle w:val="BodyText"/>
      </w:pPr>
      <w:r>
        <w:rPr>
          <w:rFonts w:ascii="Aptos" w:hAnsi="Aptos"/>
        </w:rPr>
        <w:t>The architecture branch contains 66 papers, making it the largest of the four content branches in the detailed taxonomy. The branch studies how an LLM processes information internally and how researchers improve capacity, sequence handling, context length, modality support, and inference cost.</w:t>
      </w:r>
    </w:p>
    <w:p>
      <w:pPr>
        <w:pStyle w:val="Heading2"/>
        <w:keepNext/>
      </w:pPr>
      <w:r>
        <w:t>Six architecture directions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728"/>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Direction</w:t>
            </w:r>
          </w:p>
        </w:tc>
        <w:tc>
          <w:tcPr>
            <w:tcW w:type="dxa" w:w="2880"/>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Meaning</w:t>
            </w:r>
          </w:p>
        </w:tc>
        <w:tc>
          <w:tcPr>
            <w:tcW w:type="dxa" w:w="2520"/>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Main benefit</w:t>
            </w:r>
          </w:p>
        </w:tc>
        <w:tc>
          <w:tcPr>
            <w:tcW w:type="dxa" w:w="2448"/>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Main limitation</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Mixture of Experts</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 router sends each token to a small subset of expert networks.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Higher parameter capacity without activating the full model for every token.</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Load imbalance, communication overhead, expert collapse, and unstable routing.</w:t>
            </w:r>
          </w:p>
        </w:tc>
      </w:tr>
      <w:tr>
        <w:tc>
          <w:tcPr>
            <w:tcW w:type="dxa" w:w="172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State Space Models</w:t>
            </w:r>
          </w:p>
        </w:tc>
        <w:tc>
          <w:tcPr>
            <w:tcW w:type="dxa" w:w="2880"/>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Recurrent sequence operators replace or combine with attention.</w:t>
            </w:r>
          </w:p>
        </w:tc>
        <w:tc>
          <w:tcPr>
            <w:tcW w:type="dxa" w:w="2520"/>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Efficient processing of long sequences and potentially higher throughput.</w:t>
            </w:r>
          </w:p>
        </w:tc>
        <w:tc>
          <w:tcPr>
            <w:tcW w:type="dxa" w:w="244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Comparisons depend heavily on kernels, training budgets, and recall-sensitive tasks.</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Long Context</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Mechanisms extend the amount of information available to the model.</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Supports long documents, conversations, and code repositories.</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 large context window does not guarantee reliable recall. Latency and KV memory also grow.</w:t>
            </w:r>
          </w:p>
        </w:tc>
      </w:tr>
      <w:tr>
        <w:tc>
          <w:tcPr>
            <w:tcW w:type="dxa" w:w="172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Multimodal</w:t>
            </w:r>
          </w:p>
        </w:tc>
        <w:tc>
          <w:tcPr>
            <w:tcW w:type="dxa" w:w="2880"/>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Language models connect to image, audio, video, or other sensory encoders.</w:t>
            </w:r>
          </w:p>
        </w:tc>
        <w:tc>
          <w:tcPr>
            <w:tcW w:type="dxa" w:w="2520"/>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One model can reason across several types of input.</w:t>
            </w:r>
          </w:p>
        </w:tc>
        <w:tc>
          <w:tcPr>
            <w:tcW w:type="dxa" w:w="244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Grounding errors, hallucination, modality imbalance, and inconsistent benchmarks.</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Efficient LLM and Compression</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Quantization, pruning, cache compression, and optimized decoding reduce resource use.</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Lower memory, latency, or hardware cost.</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Compression can reduce quality, and results depend on hardware and workload.</w:t>
            </w:r>
          </w:p>
        </w:tc>
      </w:tr>
      <w:tr>
        <w:tc>
          <w:tcPr>
            <w:tcW w:type="dxa" w:w="172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Model Families</w:t>
            </w:r>
          </w:p>
        </w:tc>
        <w:tc>
          <w:tcPr>
            <w:tcW w:type="dxa" w:w="2880"/>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Technical reports document current model families and their design choices.</w:t>
            </w:r>
          </w:p>
        </w:tc>
        <w:tc>
          <w:tcPr>
            <w:tcW w:type="dxa" w:w="2520"/>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Shows how ideas combine in real model releases.</w:t>
            </w:r>
          </w:p>
        </w:tc>
        <w:tc>
          <w:tcPr>
            <w:tcW w:type="dxa" w:w="244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Reports often omit comparable training, efficiency, or evaluation details.</w:t>
            </w:r>
          </w:p>
        </w:tc>
      </w:tr>
    </w:tbl>
    <w:p>
      <w:pPr>
        <w:spacing w:after="0"/>
      </w:pPr>
    </w:p>
    <w:p>
      <w:pPr>
        <w:pStyle w:val="Heading2"/>
        <w:keepNext/>
        <w:pageBreakBefore/>
      </w:pPr>
      <w:r>
        <w:t>Central interpretation</w:t>
      </w:r>
    </w:p>
    <w:p>
      <w:pPr>
        <w:pStyle w:val="BodyText"/>
      </w:pPr>
      <w:r>
        <w:rPr>
          <w:rFonts w:ascii="Aptos" w:hAnsi="Aptos"/>
        </w:rPr>
        <w:t>The field is moving toward specialized components. MoE specializes computation, state space models specialize sequence processing, long-context methods specialize memory, and multimodal models specialize input handling. Therefore, parameter count alone cannot describe architectural progress.</w:t>
      </w:r>
    </w:p>
    <w:p>
      <w:pPr>
        <w:pStyle w:val="Heading2"/>
        <w:keepNext/>
      </w:pPr>
      <w:r>
        <w:t>Presentation script</w:t>
      </w:r>
    </w:p>
    <w:p>
      <w:pPr>
        <w:pStyle w:val="Quote"/>
      </w:pPr>
      <w:r>
        <w:rPr>
          <w:rFonts w:ascii="Aptos" w:hAnsi="Aptos"/>
          <w:i/>
        </w:rPr>
        <w:t>Slide 10 shows the largest research branch, with 66 papers. The important shift is from simply increasing model size to designing specialized mechanisms. Mixture of Experts activates only selected experts, state space models offer another way to process long sequences, long-context methods extend memory, and multimodal models connect language with images or audio. Compression then makes these systems practical. The key trade-off is that each efficiency gain introduces new engineering and evaluation challenges.</w:t>
      </w:r>
    </w:p>
    <w:p>
      <w:pPr>
        <w:spacing w:before="140"/>
      </w:pPr>
      <w:r>
        <w:rPr>
          <w:rFonts w:ascii="Aptos" w:hAnsi="Aptos"/>
          <w:i/>
          <w:color w:val="5E6B7A"/>
          <w:sz w:val="18"/>
        </w:rPr>
        <w:t>Paper support: Section 2.5 and Sections 4.1.1 to 4.1.6.</w:t>
      </w:r>
    </w:p>
    <w:p>
      <w:pPr>
        <w:pageBreakBefore/>
        <w:spacing w:after="60"/>
      </w:pPr>
      <w:r>
        <w:rPr>
          <w:rFonts w:ascii="Aptos" w:hAnsi="Aptos"/>
          <w:b/>
          <w:color w:val="246BFD"/>
          <w:sz w:val="18"/>
        </w:rPr>
        <w:t>SLIDE 11</w:t>
      </w:r>
    </w:p>
    <w:p>
      <w:pPr>
        <w:pStyle w:val="Heading1"/>
        <w:keepNext/>
      </w:pPr>
      <w:r>
        <w:t>Training and Alignment Branch</w:t>
      </w:r>
    </w:p>
    <w:p>
      <w:pPr>
        <w:pStyle w:val="BodyText"/>
      </w:pPr>
      <w:r>
        <w:rPr>
          <w:rFonts w:ascii="Aptos" w:hAnsi="Aptos"/>
        </w:rPr>
        <w:t>This branch contains 40 papers. Training gives a model general capabilities, while post-training and alignment adapt those capabilities to instructions, user preferences, domain tasks, and reasoning objectives. The reviewed methods aim to improve behavior without always retraining every model parameter.</w:t>
      </w:r>
    </w:p>
    <w:p>
      <w:pPr>
        <w:pStyle w:val="Heading2"/>
        <w:keepNext/>
      </w:pPr>
      <w:r>
        <w:t>Main adaptation methods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656"/>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Method</w:t>
            </w:r>
          </w:p>
        </w:tc>
        <w:tc>
          <w:tcPr>
            <w:tcW w:type="dxa" w:w="2952"/>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How it works</w:t>
            </w:r>
          </w:p>
        </w:tc>
        <w:tc>
          <w:tcPr>
            <w:tcW w:type="dxa" w:w="2520"/>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Why researchers use it</w:t>
            </w:r>
          </w:p>
        </w:tc>
        <w:tc>
          <w:tcPr>
            <w:tcW w:type="dxa" w:w="2448"/>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Risk or open question</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DPO variants</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The model learns directly from preferred and rejected responses.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Avoids a separate reward-model and reinforcement-learning pipeline.</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Sensitive to preference quality, reference-policy choice, and distribution shift.</w:t>
            </w:r>
          </w:p>
        </w:tc>
      </w:tr>
      <w:tr>
        <w:tc>
          <w:tcPr>
            <w:tcW w:type="dxa" w:w="1656"/>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PEFT and LoRA</w:t>
            </w:r>
          </w:p>
        </w:tc>
        <w:tc>
          <w:tcPr>
            <w:tcW w:type="dxa" w:w="2952"/>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Training changes a small low-rank set of parameters while most base weights remain frozen.</w:t>
            </w:r>
          </w:p>
        </w:tc>
        <w:tc>
          <w:tcPr>
            <w:tcW w:type="dxa" w:w="2520"/>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Reduces trainable parameters and memory requirements.</w:t>
            </w:r>
          </w:p>
        </w:tc>
        <w:tc>
          <w:tcPr>
            <w:tcW w:type="dxa" w:w="244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Efficiency claims must separate memory, time, mergeability, and final quality.</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Instruction tuning</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The model trains on examples that pair instructions with desired responses.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Improves task following and domain adaptation.</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Dataset contamination and weak data documentation can exaggerate gains.</w:t>
            </w:r>
          </w:p>
        </w:tc>
      </w:tr>
      <w:tr>
        <w:tc>
          <w:tcPr>
            <w:tcW w:type="dxa" w:w="1656"/>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Synthetic data</w:t>
            </w:r>
          </w:p>
        </w:tc>
        <w:tc>
          <w:tcPr>
            <w:tcW w:type="dxa" w:w="2952"/>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 model or pipeline generates, filters, or augments training examples.</w:t>
            </w:r>
          </w:p>
        </w:tc>
        <w:tc>
          <w:tcPr>
            <w:tcW w:type="dxa" w:w="2520"/>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Scales supervision when human-labelled data are limited.</w:t>
            </w:r>
          </w:p>
        </w:tc>
        <w:tc>
          <w:tcPr>
            <w:tcW w:type="dxa" w:w="244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Can amplify errors, reduce diversity, reproduce model bias, or hide filtering decisions.</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RL for reasoning</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Verifiable or rule-based rewards reinforce multi-step solutions.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Can improve exploration and reasoning performance.</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Results depend on reward design, sampling budget, response length, and transfer beyond benchmarks.</w:t>
            </w:r>
          </w:p>
        </w:tc>
      </w:tr>
    </w:tbl>
    <w:p>
      <w:pPr>
        <w:spacing w:after="0"/>
      </w:pPr>
    </w:p>
    <w:p>
      <w:pPr>
        <w:pStyle w:val="Heading2"/>
        <w:keepNext/>
      </w:pPr>
      <w:r>
        <w:t>Research gap</w:t>
      </w:r>
    </w:p>
    <w:p>
      <w:pPr>
        <w:pStyle w:val="BodyText"/>
      </w:pPr>
      <w:r>
        <w:rPr>
          <w:rFonts w:ascii="Aptos" w:hAnsi="Aptos"/>
        </w:rPr>
        <w:t>Synthetic data appears in only two papers in this taxonomy. Privacy-preserving and federated instruction tuning also receive limited attention. This matters because training data may contain sensitive information, and centralized training may be unsuitable for healthcare, finance, or institutions that cannot share raw records.</w:t>
      </w:r>
    </w:p>
    <w:p>
      <w:pPr>
        <w:pStyle w:val="Heading2"/>
        <w:keepNext/>
      </w:pPr>
      <w:r>
        <w:t>Presentation script</w:t>
      </w:r>
    </w:p>
    <w:p>
      <w:pPr>
        <w:pStyle w:val="Quote"/>
      </w:pPr>
      <w:r>
        <w:rPr>
          <w:rFonts w:ascii="Aptos" w:hAnsi="Aptos"/>
          <w:i/>
        </w:rPr>
        <w:t>Slide 11 covers 40 papers on adapting and aligning LLMs. DPO learns from preference comparisons, while LoRA changes only a small number of parameters. Instruction tuning improves task following, synthetic data expands supervision, and reinforcement learning can reward correct reasoning steps. The main research gap is that synthetic data and privacy-aware distributed training remain underrepresented, even though both are important for sensitive domains.</w:t>
      </w:r>
    </w:p>
    <w:p>
      <w:pPr>
        <w:spacing w:before="140"/>
      </w:pPr>
      <w:r>
        <w:rPr>
          <w:rFonts w:ascii="Aptos" w:hAnsi="Aptos"/>
          <w:i/>
          <w:color w:val="5E6B7A"/>
          <w:sz w:val="18"/>
        </w:rPr>
        <w:t>Paper support: Sections 4.2.1 to 4.2.5.</w:t>
      </w:r>
    </w:p>
    <w:p>
      <w:pPr>
        <w:pageBreakBefore/>
        <w:spacing w:after="60"/>
      </w:pPr>
      <w:r>
        <w:rPr>
          <w:rFonts w:ascii="Aptos" w:hAnsi="Aptos"/>
          <w:b/>
          <w:color w:val="246BFD"/>
          <w:sz w:val="18"/>
        </w:rPr>
        <w:t>SLIDE 12</w:t>
      </w:r>
    </w:p>
    <w:p>
      <w:pPr>
        <w:pStyle w:val="Heading1"/>
        <w:keepNext/>
      </w:pPr>
      <w:r>
        <w:t>Evaluation and Benchmarks Branch</w:t>
      </w:r>
    </w:p>
    <w:p>
      <w:pPr>
        <w:pStyle w:val="BodyText"/>
      </w:pPr>
      <w:r>
        <w:rPr>
          <w:rFonts w:ascii="Aptos" w:hAnsi="Aptos"/>
        </w:rPr>
        <w:t>The detailed taxonomy assigns 30 papers to evaluation. This branch asks whether an LLM is accurate, reliable, fair, and robust. It also asks whether the evaluation method itself can be trusted.</w:t>
      </w:r>
    </w:p>
    <w:p>
      <w:pPr>
        <w:pStyle w:val="Heading2"/>
        <w:keepNext/>
      </w:pPr>
      <w:r>
        <w:t>Three evaluation problems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Area</w:t>
            </w:r>
          </w:p>
        </w:tc>
        <w:tc>
          <w:tcPr>
            <w:tcW w:type="dxa" w:w="3672"/>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What researchers measure</w:t>
            </w:r>
          </w:p>
        </w:tc>
        <w:tc>
          <w:tcPr>
            <w:tcW w:type="dxa" w:w="3960"/>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Why it is difficult</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Hallucination</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Unsupported claims, contradictions, and failures to ground output in the input.</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 fluent answer may still be false. Different studies use different definitions and detectors.</w:t>
            </w:r>
          </w:p>
        </w:tc>
      </w:tr>
      <w:tr>
        <w:tc>
          <w:tcPr>
            <w:tcW w:type="dxa" w:w="1944"/>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LLM as Judge</w:t>
            </w:r>
          </w:p>
        </w:tc>
        <w:tc>
          <w:tcPr>
            <w:tcW w:type="dxa" w:w="3672"/>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One model scores or ranks another model's answer using a rubric.</w:t>
            </w:r>
          </w:p>
        </w:tc>
        <w:tc>
          <w:tcPr>
            <w:tcW w:type="dxa" w:w="3960"/>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Judges can show position bias, verbosity bias, self-preference, prompt sensitivity, and correlated errors.</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Code and reasoning</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Automated task success on coding and mathematical benchmarks.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Contamination, benchmark version, prompting, and unit-test coverage can distort comparisons.</w:t>
            </w:r>
          </w:p>
        </w:tc>
      </w:tr>
    </w:tbl>
    <w:p>
      <w:pPr>
        <w:spacing w:after="0"/>
      </w:pPr>
    </w:p>
    <w:p>
      <w:pPr>
        <w:pStyle w:val="Heading2"/>
        <w:keepNext/>
      </w:pPr>
      <w:r>
        <w:t>Named benchmarks</w:t>
      </w:r>
    </w:p>
    <w:p>
      <w:pPr>
        <w:pStyle w:val="BodyText"/>
      </w:pPr>
      <w:r>
        <w:rPr>
          <w:rFonts w:ascii="Aptos" w:hAnsi="Aptos"/>
          <w:b/>
        </w:rPr>
        <w:t xml:space="preserve">HumanEval: </w:t>
      </w:r>
      <w:r>
        <w:rPr>
          <w:rFonts w:ascii="Aptos" w:hAnsi="Aptos"/>
        </w:rPr>
        <w:t>HumanEval tests code generation with programming problems and unit tests. Researchers commonly report pass@k, which estimates whether at least one of several generated solutions passes the tests.</w:t>
      </w:r>
    </w:p>
    <w:p>
      <w:pPr>
        <w:pStyle w:val="BodyText"/>
      </w:pPr>
      <w:r>
        <w:rPr>
          <w:rFonts w:ascii="Aptos" w:hAnsi="Aptos"/>
          <w:b/>
        </w:rPr>
        <w:t xml:space="preserve">MATH: </w:t>
      </w:r>
      <w:r>
        <w:rPr>
          <w:rFonts w:ascii="Aptos" w:hAnsi="Aptos"/>
        </w:rPr>
        <w:t>MATH tests multi-step mathematical problem solving. A correct final answer does not automatically prove that every reasoning step was sound.</w:t>
      </w:r>
    </w:p>
    <w:p>
      <w:pPr>
        <w:pStyle w:val="BodyText"/>
      </w:pPr>
      <w:r>
        <w:rPr>
          <w:rFonts w:ascii="Aptos" w:hAnsi="Aptos"/>
          <w:b/>
        </w:rPr>
        <w:t xml:space="preserve">SWE-bench: </w:t>
      </w:r>
      <w:r>
        <w:rPr>
          <w:rFonts w:ascii="Aptos" w:hAnsi="Aptos"/>
        </w:rPr>
        <w:t>SWE-bench uses real software repository issues. It is closer to practical software engineering because a model must understand a codebase and produce a working patch.</w:t>
      </w:r>
    </w:p>
    <w:p>
      <w:pPr>
        <w:pStyle w:val="Heading2"/>
        <w:keepNext/>
      </w:pPr>
      <w:r>
        <w:t>Why cross-paper comparison is difficult</w:t>
      </w:r>
    </w:p>
    <w:p>
      <w:pPr>
        <w:pStyle w:val="ListBullet"/>
      </w:pPr>
      <w:r>
        <w:rPr>
          <w:rFonts w:ascii="Aptos" w:hAnsi="Aptos"/>
        </w:rPr>
        <w:t>Studies use different benchmark versions, prompts, sampling settings, model sizes, and evaluation metrics.</w:t>
      </w:r>
    </w:p>
    <w:p>
      <w:pPr>
        <w:pStyle w:val="ListBullet"/>
      </w:pPr>
      <w:r>
        <w:rPr>
          <w:rFonts w:ascii="Aptos" w:hAnsi="Aptos"/>
        </w:rPr>
        <w:t>Benchmark contamination can occur when test material appears in training data.</w:t>
      </w:r>
    </w:p>
    <w:p>
      <w:pPr>
        <w:pStyle w:val="ListBullet"/>
      </w:pPr>
      <w:r>
        <w:rPr>
          <w:rFonts w:ascii="Aptos" w:hAnsi="Aptos"/>
        </w:rPr>
        <w:t>A benchmark score may ignore maintainability, security, tool failure, and real workflow reliability.</w:t>
      </w:r>
    </w:p>
    <w:p>
      <w:pPr>
        <w:pStyle w:val="ListBullet"/>
      </w:pPr>
      <w:r>
        <w:rPr>
          <w:rFonts w:ascii="Aptos" w:hAnsi="Aptos"/>
        </w:rPr>
        <w:t>LLM judges scale evaluation, but human validation remains important when score differences are small.</w:t>
      </w:r>
    </w:p>
    <w:p>
      <w:pPr>
        <w:pStyle w:val="BodyText"/>
      </w:pPr>
      <w:r>
        <w:rPr>
          <w:rFonts w:ascii="Aptos" w:hAnsi="Aptos"/>
          <w:b/>
        </w:rPr>
        <w:t xml:space="preserve">Important data check: </w:t>
      </w:r>
      <w:r>
        <w:rPr>
          <w:rFonts w:ascii="Aptos" w:hAnsi="Aptos"/>
        </w:rPr>
        <w:t>The slide shows HumanEval or MATH as 4, SWE-bench as 3, and a typical named benchmark as 1. However, Figure 6 in the supplied paper reports corpus-wide mention counts of MATH 13, HumanEval 8, and SWE-bench 4. Treat the slide values as a simplified subset or presentation summary and verify the intended counting rule before defending the exact numbers.</w:t>
      </w:r>
    </w:p>
    <w:p>
      <w:pPr>
        <w:pStyle w:val="Heading2"/>
        <w:keepNext/>
      </w:pPr>
      <w:r>
        <w:t>Presentation script</w:t>
      </w:r>
    </w:p>
    <w:p>
      <w:pPr>
        <w:pStyle w:val="Quote"/>
      </w:pPr>
      <w:r>
        <w:rPr>
          <w:rFonts w:ascii="Aptos" w:hAnsi="Aptos"/>
          <w:i/>
        </w:rPr>
        <w:t>Slide 12 explains why evaluation is a weaker part of the literature. Researchers study hallucination, LLM-based judges, and code or reasoning benchmarks, but reporting is inconsistent. HumanEval checks generated code, MATH checks mathematical reasoning, and SWE-bench evaluates repository-level software tasks. Direct comparison remains difficult because studies use different settings and may face contamination or judge bias.</w:t>
      </w:r>
    </w:p>
    <w:p>
      <w:pPr>
        <w:spacing w:before="140"/>
      </w:pPr>
      <w:r>
        <w:rPr>
          <w:rFonts w:ascii="Aptos" w:hAnsi="Aptos"/>
          <w:i/>
          <w:color w:val="5E6B7A"/>
          <w:sz w:val="18"/>
        </w:rPr>
        <w:t>Paper support: Section 4.3, Sections 4.3.1 to 4.3.3, and Figure 6.</w:t>
      </w:r>
    </w:p>
    <w:p>
      <w:pPr>
        <w:pageBreakBefore/>
        <w:spacing w:after="60"/>
      </w:pPr>
      <w:r>
        <w:rPr>
          <w:rFonts w:ascii="Aptos" w:hAnsi="Aptos"/>
          <w:b/>
          <w:color w:val="246BFD"/>
          <w:sz w:val="18"/>
        </w:rPr>
        <w:t>SLIDE 13</w:t>
      </w:r>
    </w:p>
    <w:p>
      <w:pPr>
        <w:pStyle w:val="Heading1"/>
        <w:keepNext/>
      </w:pPr>
      <w:r>
        <w:t>Applications and Agents Branch</w:t>
      </w:r>
    </w:p>
    <w:p>
      <w:pPr>
        <w:pStyle w:val="BodyText"/>
      </w:pPr>
      <w:r>
        <w:rPr>
          <w:rFonts w:ascii="Aptos" w:hAnsi="Aptos"/>
        </w:rPr>
        <w:t>The applications branch contains 44 papers. Here, an LLM becomes one component inside a larger system. Retrieval supplies evidence, tools allow actions, memory preserves state, and multiple agents may divide work or challenge one another.</w:t>
      </w:r>
    </w:p>
    <w:p>
      <w:pPr>
        <w:pStyle w:val="Heading2"/>
        <w:keepNext/>
      </w:pPr>
      <w:r>
        <w:t>Four application patterns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Pattern</w:t>
            </w:r>
          </w:p>
        </w:tc>
        <w:tc>
          <w:tcPr>
            <w:tcW w:type="dxa" w:w="3240"/>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Core idea</w:t>
            </w:r>
          </w:p>
        </w:tc>
        <w:tc>
          <w:tcPr>
            <w:tcW w:type="dxa" w:w="4536"/>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Evaluation focus</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RAG</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Retrieve external evidence before generating the answer.</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Retrieval relevance, missing evidence, grounding, citation accuracy, latency, and stale data.</w:t>
            </w:r>
          </w:p>
        </w:tc>
      </w:tr>
      <w:tr>
        <w:tc>
          <w:tcPr>
            <w:tcW w:type="dxa" w:w="1800"/>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Agents</w:t>
            </w:r>
          </w:p>
        </w:tc>
        <w:tc>
          <w:tcPr>
            <w:tcW w:type="dxa" w:w="3240"/>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Use planning, memory, tool selection, action, and feedback loops.</w:t>
            </w:r>
          </w:p>
        </w:tc>
        <w:tc>
          <w:tcPr>
            <w:tcW w:type="dxa" w:w="4536"/>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Task completion, tool errors, recovery, cost, safety, and state management.</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Multi-agent systems</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Assign roles to models that debate, vote, collaborate, or follow dynamic routes.</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Agent diversity, communication topology, aggregation rules, shared errors, and adversarial influence.</w:t>
            </w:r>
          </w:p>
        </w:tc>
      </w:tr>
      <w:tr>
        <w:tc>
          <w:tcPr>
            <w:tcW w:type="dxa" w:w="1800"/>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Domain-specific systems</w:t>
            </w:r>
          </w:p>
        </w:tc>
        <w:tc>
          <w:tcPr>
            <w:tcW w:type="dxa" w:w="3240"/>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Adapt models for areas such as medicine, finance, law, education, or robotics.</w:t>
            </w:r>
          </w:p>
        </w:tc>
        <w:tc>
          <w:tcPr>
            <w:tcW w:type="dxa" w:w="4536"/>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Domain validity, privacy, calibration, governance, and generalization beyond a narrow dataset.</w:t>
            </w:r>
          </w:p>
        </w:tc>
      </w:tr>
    </w:tbl>
    <w:p>
      <w:pPr>
        <w:spacing w:after="0"/>
      </w:pPr>
    </w:p>
    <w:p>
      <w:pPr>
        <w:pStyle w:val="Heading2"/>
        <w:keepNext/>
      </w:pPr>
      <w:r>
        <w:t>The expanded system boundary</w:t>
      </w:r>
    </w:p>
    <w:p>
      <w:pPr>
        <w:pStyle w:val="BodyText"/>
      </w:pPr>
      <w:r>
        <w:rPr>
          <w:rFonts w:ascii="Aptos" w:hAnsi="Aptos"/>
        </w:rPr>
        <w:t>Model accuracy measures only the language model's answer. A deployed agent system can fail even when the base model is strong. Retrieval may return irrelevant evidence, a tool may reject a request, memory may preserve incorrect state, or an agent may fail to recover after an error. Evaluation must therefore follow the full path from user request to final action.</w:t>
      </w:r>
    </w:p>
    <w:p>
      <w:pPr>
        <w:pStyle w:val="Heading2"/>
        <w:keepNext/>
      </w:pPr>
      <w:r>
        <w:t>Multi-agent caution</w:t>
      </w:r>
    </w:p>
    <w:p>
      <w:pPr>
        <w:pStyle w:val="BodyText"/>
      </w:pPr>
      <w:r>
        <w:rPr>
          <w:rFonts w:ascii="Aptos" w:hAnsi="Aptos"/>
        </w:rPr>
        <w:t>Adding agents does not guarantee better reasoning. Diverse roles can improve coverage, but similar agents may repeat the same mistake. The review also notes that adversarial participants can steer group outcomes. Communication structure and voting rules are part of the algorithm and must be tested.</w:t>
      </w:r>
    </w:p>
    <w:p>
      <w:pPr>
        <w:pStyle w:val="Heading2"/>
        <w:keepNext/>
      </w:pPr>
      <w:r>
        <w:t>Presentation script</w:t>
      </w:r>
    </w:p>
    <w:p>
      <w:pPr>
        <w:pStyle w:val="Quote"/>
      </w:pPr>
      <w:r>
        <w:rPr>
          <w:rFonts w:ascii="Aptos" w:hAnsi="Aptos"/>
          <w:i/>
        </w:rPr>
        <w:t>Slide 13 covers 44 papers on LLM applications. RAG adds evidence, agents add planning and tools, and multi-agent systems distribute roles. Domain-specific systems apply these ideas in areas such as medicine and finance. Because the model is now one part of a larger system, evaluation must also cover retrieval, memory, recovery, latency, cost, and safety.</w:t>
      </w:r>
    </w:p>
    <w:p>
      <w:pPr>
        <w:spacing w:before="140"/>
      </w:pPr>
      <w:r>
        <w:rPr>
          <w:rFonts w:ascii="Aptos" w:hAnsi="Aptos"/>
          <w:i/>
          <w:color w:val="5E6B7A"/>
          <w:sz w:val="18"/>
        </w:rPr>
        <w:t>Paper support: Sections 4.4.1 to 4.4.4.</w:t>
      </w:r>
    </w:p>
    <w:p>
      <w:pPr>
        <w:pageBreakBefore/>
        <w:spacing w:after="60"/>
      </w:pPr>
      <w:r>
        <w:rPr>
          <w:rFonts w:ascii="Aptos" w:hAnsi="Aptos"/>
          <w:b/>
          <w:color w:val="246BFD"/>
          <w:sz w:val="18"/>
        </w:rPr>
        <w:t>SLIDE 14</w:t>
      </w:r>
    </w:p>
    <w:p>
      <w:pPr>
        <w:pStyle w:val="Heading1"/>
        <w:keepNext/>
      </w:pPr>
      <w:r>
        <w:t>LLM and Database Integration</w:t>
      </w:r>
    </w:p>
    <w:p>
      <w:pPr>
        <w:pStyle w:val="BodyText"/>
      </w:pPr>
      <w:r>
        <w:rPr>
          <w:rFonts w:ascii="Aptos" w:hAnsi="Aptos"/>
        </w:rPr>
        <w:t>The paper analyzes this topic as a separate focused extension of 20 papers, outside the original PRISMA corpus. The common pipeline starts with a natural-language request, uses an LLM to plan a query or retrieval step, accesses structured records or indexed documents, and returns an answer grounded in retrieved data.</w:t>
      </w:r>
    </w:p>
    <w:p>
      <w:pPr>
        <w:pStyle w:val="Heading2"/>
        <w:keepNext/>
      </w:pPr>
      <w:r>
        <w:t>Core pipeline</w:t>
      </w:r>
    </w:p>
    <w:p>
      <w:pPr>
        <w:pStyle w:val="ListNumber"/>
      </w:pPr>
      <w:r>
        <w:rPr>
          <w:rFonts w:ascii="Aptos" w:hAnsi="Aptos"/>
        </w:rPr>
        <w:t>Natural language: the user expresses an information need without writing SQL.</w:t>
      </w:r>
    </w:p>
    <w:p>
      <w:pPr>
        <w:pStyle w:val="ListNumber"/>
      </w:pPr>
      <w:r>
        <w:rPr>
          <w:rFonts w:ascii="Aptos" w:hAnsi="Aptos"/>
        </w:rPr>
        <w:t>LLM planning: the model interprets intent, links the request to the schema, and proposes SQL or a retrieval plan.</w:t>
      </w:r>
    </w:p>
    <w:p>
      <w:pPr>
        <w:pStyle w:val="ListNumber"/>
      </w:pPr>
      <w:r>
        <w:rPr>
          <w:rFonts w:ascii="Aptos" w:hAnsi="Aptos"/>
        </w:rPr>
        <w:t>Database access: the system retrieves authorized records, vectors, graph paths, or query results.</w:t>
      </w:r>
    </w:p>
    <w:p>
      <w:pPr>
        <w:pStyle w:val="ListNumber"/>
      </w:pPr>
      <w:r>
        <w:rPr>
          <w:rFonts w:ascii="Aptos" w:hAnsi="Aptos"/>
        </w:rPr>
        <w:t>Grounded output: the model explains the answer or proposes an action using returned evidence.</w:t>
      </w:r>
    </w:p>
    <w:p>
      <w:pPr>
        <w:pStyle w:val="Heading2"/>
        <w:keepNext/>
      </w:pPr>
      <w:r>
        <w:t>Five research areas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Area</w:t>
            </w:r>
          </w:p>
        </w:tc>
        <w:tc>
          <w:tcPr>
            <w:tcW w:type="dxa" w:w="3960"/>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Explanation</w:t>
            </w:r>
          </w:p>
        </w:tc>
        <w:tc>
          <w:tcPr>
            <w:tcW w:type="dxa" w:w="3528"/>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Main concern</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Text to SQL and NL2SQL</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Converts a question into a database query using schema linking, join planning, and execution feedback.</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Correct syntax does not guarantee correct intent, authorization, or safe execution.</w:t>
            </w:r>
          </w:p>
        </w:tc>
      </w:tr>
      <w:tr>
        <w:tc>
          <w:tcPr>
            <w:tcW w:type="dxa" w:w="208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Interface security</w:t>
            </w:r>
          </w:p>
        </w:tc>
        <w:tc>
          <w:tcPr>
            <w:tcW w:type="dxa" w:w="3960"/>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Tests leakage and prompt-to-SQL injection through natural-language interfaces.</w:t>
            </w:r>
          </w:p>
        </w:tc>
        <w:tc>
          <w:tcPr>
            <w:tcW w:type="dxa" w:w="352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Fluent refusal does not prove that sensitive fields are protected.</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Retrieval architecture</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Uses vector retrieval, keyword search, graphs, reranking, and generation.</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Stale evidence, access mistakes, index complexity, and latency.</w:t>
            </w:r>
          </w:p>
        </w:tc>
      </w:tr>
      <w:tr>
        <w:tc>
          <w:tcPr>
            <w:tcW w:type="dxa" w:w="208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Hardware acceleration</w:t>
            </w:r>
          </w:p>
        </w:tc>
        <w:tc>
          <w:tcPr>
            <w:tcW w:type="dxa" w:w="3960"/>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Balances LLM inference with vector-search or retrieval hardware.</w:t>
            </w:r>
          </w:p>
        </w:tc>
        <w:tc>
          <w:tcPr>
            <w:tcW w:type="dxa" w:w="352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Faster generation does not reduce total latency when retrieval or data movement is the bottleneck.</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Privacy-sensitive EHR</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Applies local models, de-identification, synthetic data, or differential privacy to health records.</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Accuracy, privacy, auditability, and clinical workflow effects need continuing monitoring.</w:t>
            </w:r>
          </w:p>
        </w:tc>
      </w:tr>
    </w:tbl>
    <w:p>
      <w:pPr>
        <w:spacing w:after="0"/>
      </w:pPr>
    </w:p>
    <w:p>
      <w:pPr>
        <w:pStyle w:val="Heading2"/>
        <w:keepNext/>
        <w:pageBreakBefore/>
      </w:pPr>
      <w:r>
        <w:t>Healthcare example</w:t>
      </w:r>
    </w:p>
    <w:p>
      <w:pPr>
        <w:pStyle w:val="BodyText"/>
      </w:pPr>
      <w:r>
        <w:rPr>
          <w:rFonts w:ascii="Aptos" w:hAnsi="Aptos"/>
        </w:rPr>
        <w:t>The review cites a GDPR-compliant RAG application connected to an Epic electronic health record environment and deployed to 1,028 clinicians. This shows deployment at meaningful scale, but adoption alone does not prove clinical correctness. Peak-demand latency, auditability, and downstream workflow effects still require monitoring.</w:t>
      </w:r>
    </w:p>
    <w:p>
      <w:pPr>
        <w:pStyle w:val="Heading2"/>
        <w:keepNext/>
      </w:pPr>
      <w:r>
        <w:t>Practical security interpretation</w:t>
      </w:r>
    </w:p>
    <w:p>
      <w:pPr>
        <w:pStyle w:val="BodyText"/>
      </w:pPr>
      <w:r>
        <w:rPr>
          <w:rFonts w:ascii="Aptos" w:hAnsi="Aptos"/>
        </w:rPr>
        <w:t>A production interface should enforce user permissions before retrieval, restrict generated queries, validate SQL, limit write operations, isolate execution, and record an audit trail. The LLM should never receive unrestricted database authority.</w:t>
      </w:r>
    </w:p>
    <w:p>
      <w:pPr>
        <w:pStyle w:val="Heading2"/>
        <w:keepNext/>
      </w:pPr>
      <w:r>
        <w:t>Presentation script</w:t>
      </w:r>
    </w:p>
    <w:p>
      <w:pPr>
        <w:pStyle w:val="Quote"/>
      </w:pPr>
      <w:r>
        <w:rPr>
          <w:rFonts w:ascii="Aptos" w:hAnsi="Aptos"/>
          <w:i/>
        </w:rPr>
        <w:t>Slide 14 extends the review with 20 papers on LLM and database integration. A user asks a question in natural language, the LLM creates a query or retrieval plan, the database returns authorized evidence, and the system produces a grounded answer. The research covers text to SQL, interface attacks, vector and graph retrieval, hardware support, and privacy-sensitive health records. The central requirement is to combine grounding with strict security and governance.</w:t>
      </w:r>
    </w:p>
    <w:p>
      <w:pPr>
        <w:spacing w:before="140"/>
      </w:pPr>
      <w:r>
        <w:rPr>
          <w:rFonts w:ascii="Aptos" w:hAnsi="Aptos"/>
          <w:i/>
          <w:color w:val="5E6B7A"/>
          <w:sz w:val="18"/>
        </w:rPr>
        <w:t>Paper support: Sections 4.5.1 to 4.5.4. The database extension is analyzed separately from the main PRISMA corpus.</w:t>
      </w:r>
    </w:p>
    <w:p>
      <w:pPr>
        <w:pageBreakBefore/>
        <w:spacing w:after="60"/>
      </w:pPr>
      <w:r>
        <w:rPr>
          <w:rFonts w:ascii="Aptos" w:hAnsi="Aptos"/>
          <w:b/>
          <w:color w:val="246BFD"/>
          <w:sz w:val="18"/>
        </w:rPr>
        <w:t>SLIDE 15</w:t>
      </w:r>
    </w:p>
    <w:p>
      <w:pPr>
        <w:pStyle w:val="Heading1"/>
        <w:keepNext/>
      </w:pPr>
      <w:r>
        <w:t>Cross Cutting Insight on Efficiency</w:t>
      </w:r>
    </w:p>
    <w:p>
      <w:pPr>
        <w:pStyle w:val="BodyText"/>
      </w:pPr>
      <w:r>
        <w:rPr>
          <w:rFonts w:ascii="Aptos" w:hAnsi="Aptos"/>
        </w:rPr>
        <w:t>Efficiency connects the entire taxonomy because every branch changes how much computation, memory, time, or data an LLM system needs. The paper describes efficiency as a stack property. A claim about fewer parameters is incomplete unless the study also reports hardware, context length, batch size, latency, throughput, memory, and output quality.</w:t>
      </w:r>
    </w:p>
    <w:p>
      <w:pPr>
        <w:pStyle w:val="Heading2"/>
        <w:keepNext/>
      </w:pPr>
      <w:r>
        <w:t>How efficiency appears across the taxonomy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Technique</w:t>
            </w:r>
          </w:p>
        </w:tc>
        <w:tc>
          <w:tcPr>
            <w:tcW w:type="dxa" w:w="3888"/>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Efficiency mechanism</w:t>
            </w:r>
          </w:p>
        </w:tc>
        <w:tc>
          <w:tcPr>
            <w:tcW w:type="dxa" w:w="3744"/>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What must be checked</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Compression</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Quantization, pruning, or distillation reduces model memory or compute.</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Quality loss, hardware support, measured speed, and deployment conditions.</w:t>
            </w:r>
          </w:p>
        </w:tc>
      </w:tr>
      <w:tr>
        <w:tc>
          <w:tcPr>
            <w:tcW w:type="dxa" w:w="1944"/>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KV cache</w:t>
            </w:r>
          </w:p>
        </w:tc>
        <w:tc>
          <w:tcPr>
            <w:tcW w:type="dxa" w:w="388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Compresses or manages stored attention keys and values during generation.</w:t>
            </w:r>
          </w:p>
        </w:tc>
        <w:tc>
          <w:tcPr>
            <w:tcW w:type="dxa" w:w="3744"/>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Memory savings, context length, decoding speed, and retrieval quality.</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PEFT and LoRA</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Updates a small set of parameters instead of the full model.</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Trainable parameters, peak memory, training time, mergeability, and final quality.</w:t>
            </w:r>
          </w:p>
        </w:tc>
      </w:tr>
      <w:tr>
        <w:tc>
          <w:tcPr>
            <w:tcW w:type="dxa" w:w="1944"/>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Mixture of Experts</w:t>
            </w:r>
          </w:p>
        </w:tc>
        <w:tc>
          <w:tcPr>
            <w:tcW w:type="dxa" w:w="388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Activates only selected experts for each token.</w:t>
            </w:r>
          </w:p>
        </w:tc>
        <w:tc>
          <w:tcPr>
            <w:tcW w:type="dxa" w:w="3744"/>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Active parameters, routing balance, communication overhead, and throughput.</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Long context</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Extends usable input through attention redesign or compressed memory.</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Recall under distraction, latency, KV memory growth, and position robustness.</w:t>
            </w:r>
          </w:p>
        </w:tc>
      </w:tr>
      <w:tr>
        <w:tc>
          <w:tcPr>
            <w:tcW w:type="dxa" w:w="1944"/>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Compact multimodal</w:t>
            </w:r>
          </w:p>
        </w:tc>
        <w:tc>
          <w:tcPr>
            <w:tcW w:type="dxa" w:w="388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Connects several modalities using smaller or more selective components.</w:t>
            </w:r>
          </w:p>
        </w:tc>
        <w:tc>
          <w:tcPr>
            <w:tcW w:type="dxa" w:w="3744"/>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Grounding quality, modality balance, device limits, and benchmark comparability.</w:t>
            </w:r>
          </w:p>
        </w:tc>
      </w:tr>
    </w:tbl>
    <w:p>
      <w:pPr>
        <w:spacing w:after="0"/>
      </w:pPr>
    </w:p>
    <w:p>
      <w:pPr>
        <w:pStyle w:val="Heading2"/>
        <w:keepNext/>
        <w:pageBreakBefore/>
      </w:pPr>
      <w:r>
        <w:t>A reliable efficiency report</w:t>
      </w:r>
    </w:p>
    <w:p>
      <w:pPr>
        <w:pStyle w:val="ListBullet"/>
      </w:pPr>
      <w:r>
        <w:rPr>
          <w:rFonts w:ascii="Aptos" w:hAnsi="Aptos"/>
        </w:rPr>
        <w:t>State the total and active parameter counts.</w:t>
      </w:r>
    </w:p>
    <w:p>
      <w:pPr>
        <w:pStyle w:val="ListBullet"/>
      </w:pPr>
      <w:r>
        <w:rPr>
          <w:rFonts w:ascii="Aptos" w:hAnsi="Aptos"/>
        </w:rPr>
        <w:t>Report peak memory, latency, throughput, and training or inference cost.</w:t>
      </w:r>
    </w:p>
    <w:p>
      <w:pPr>
        <w:pStyle w:val="ListBullet"/>
      </w:pPr>
      <w:r>
        <w:rPr>
          <w:rFonts w:ascii="Aptos" w:hAnsi="Aptos"/>
        </w:rPr>
        <w:t>Name the hardware, precision, batch size, and context length.</w:t>
      </w:r>
    </w:p>
    <w:p>
      <w:pPr>
        <w:pStyle w:val="ListBullet"/>
      </w:pPr>
      <w:r>
        <w:rPr>
          <w:rFonts w:ascii="Aptos" w:hAnsi="Aptos"/>
        </w:rPr>
        <w:t>Measure output quality before and after the efficiency technique.</w:t>
      </w:r>
    </w:p>
    <w:p>
      <w:pPr>
        <w:pStyle w:val="ListBullet"/>
      </w:pPr>
      <w:r>
        <w:rPr>
          <w:rFonts w:ascii="Aptos" w:hAnsi="Aptos"/>
        </w:rPr>
        <w:t>Explain whether the gain applies to training, inference, or both.</w:t>
      </w:r>
    </w:p>
    <w:p>
      <w:pPr>
        <w:pStyle w:val="Heading2"/>
        <w:keepNext/>
      </w:pPr>
      <w:r>
        <w:t>Overall conclusion</w:t>
      </w:r>
    </w:p>
    <w:p>
      <w:pPr>
        <w:pStyle w:val="BodyText"/>
      </w:pPr>
      <w:r>
        <w:rPr>
          <w:rFonts w:ascii="Aptos" w:hAnsi="Aptos"/>
        </w:rPr>
        <w:t>The six slides form one argument. Architecture determines how the model computes. Training and alignment shape its behavior. Evaluation tests whether claims are reliable. Applications place the model inside retrieval and agent systems. Database integration supplies structured evidence and execution capability. Efficiency determines whether the complete system can operate at acceptable cost and latency.</w:t>
      </w:r>
    </w:p>
    <w:p>
      <w:pPr>
        <w:pStyle w:val="Heading2"/>
        <w:keepNext/>
      </w:pPr>
      <w:r>
        <w:t>Presentation script</w:t>
      </w:r>
    </w:p>
    <w:p>
      <w:pPr>
        <w:pStyle w:val="Quote"/>
      </w:pPr>
      <w:r>
        <w:rPr>
          <w:rFonts w:ascii="Aptos" w:hAnsi="Aptos"/>
          <w:i/>
        </w:rPr>
        <w:t>Slide 15 presents efficiency as the bridge across the review. Compression reduces model cost, KV-cache methods reduce generation memory, LoRA reduces training cost, and Mixture of Experts activates only part of the network. Long-context and multimodal systems must also control memory and latency. Therefore, an efficiency claim should report hardware, workload, speed, memory, and output quality rather than only parameter count.</w:t>
      </w:r>
    </w:p>
    <w:p>
      <w:pPr>
        <w:spacing w:before="140"/>
      </w:pPr>
      <w:r>
        <w:rPr>
          <w:rFonts w:ascii="Aptos" w:hAnsi="Aptos"/>
          <w:i/>
          <w:color w:val="5E6B7A"/>
          <w:sz w:val="18"/>
        </w:rPr>
        <w:t>Paper support: Section 4.1.5 and the cross-branch synthesis in Sections 2.5 and 4.</w:t>
      </w:r>
    </w:p>
    <w:p>
      <w:pPr>
        <w:pStyle w:val="Heading1"/>
        <w:keepNext/>
        <w:pageBreakBefore/>
      </w:pPr>
      <w:r>
        <w:t>Quick Revision Guide</w:t>
      </w:r>
    </w:p>
    <w:p>
      <w:pPr>
        <w:pStyle w:val="Heading2"/>
        <w:keepNext/>
      </w:pPr>
      <w:r>
        <w:t>Six one-sentence answers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864"/>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Slide</w:t>
            </w:r>
          </w:p>
        </w:tc>
        <w:tc>
          <w:tcPr>
            <w:tcW w:type="dxa" w:w="8712"/>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Answer to remember</w:t>
            </w:r>
          </w:p>
        </w:tc>
      </w:tr>
      <w:tr>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10</w:t>
            </w:r>
          </w:p>
        </w:tc>
        <w:tc>
          <w:tcPr>
            <w:tcW w:type="dxa" w:w="87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Architecture research replaces simple parameter scaling with specialized compute, memory, context, modality, and compression mechanisms.</w:t>
            </w:r>
          </w:p>
        </w:tc>
      </w:tr>
      <w:tr>
        <w:tc>
          <w:tcPr>
            <w:tcW w:type="dxa" w:w="864"/>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11</w:t>
            </w:r>
          </w:p>
        </w:tc>
        <w:tc>
          <w:tcPr>
            <w:tcW w:type="dxa" w:w="8712"/>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Alignment combines preference learning, lightweight fine-tuning, instruction data, synthetic supervision, and reasoning rewards.</w:t>
            </w:r>
          </w:p>
        </w:tc>
      </w:tr>
      <w:tr>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12</w:t>
            </w:r>
          </w:p>
        </w:tc>
        <w:tc>
          <w:tcPr>
            <w:tcW w:type="dxa" w:w="87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Evaluation remains hard because hallucination, judge bias, contamination, and inconsistent reporting weaken direct comparison.</w:t>
            </w:r>
          </w:p>
        </w:tc>
      </w:tr>
      <w:tr>
        <w:tc>
          <w:tcPr>
            <w:tcW w:type="dxa" w:w="864"/>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13</w:t>
            </w:r>
          </w:p>
        </w:tc>
        <w:tc>
          <w:tcPr>
            <w:tcW w:type="dxa" w:w="8712"/>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Agent systems require end-to-end evaluation of retrieval, tools, state, recovery, latency, cost, and safety.</w:t>
            </w:r>
          </w:p>
        </w:tc>
      </w:tr>
      <w:tr>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14</w:t>
            </w:r>
          </w:p>
        </w:tc>
        <w:tc>
          <w:tcPr>
            <w:tcW w:type="dxa" w:w="87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LLM-database systems convert natural language into controlled retrieval or query operations that produce grounded answers.</w:t>
            </w:r>
          </w:p>
        </w:tc>
      </w:tr>
      <w:tr>
        <w:tc>
          <w:tcPr>
            <w:tcW w:type="dxa" w:w="864"/>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15</w:t>
            </w:r>
          </w:p>
        </w:tc>
        <w:tc>
          <w:tcPr>
            <w:tcW w:type="dxa" w:w="8712"/>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Efficiency must be measured across the full stack, including hardware, memory, latency, throughput, context, and quality.</w:t>
            </w:r>
          </w:p>
        </w:tc>
      </w:tr>
    </w:tbl>
    <w:p>
      <w:pPr>
        <w:spacing w:after="0"/>
      </w:pPr>
    </w:p>
    <w:p>
      <w:pPr>
        <w:pStyle w:val="Heading2"/>
        <w:keepNext/>
      </w:pPr>
      <w:r>
        <w:t>Likely viva questions</w:t>
      </w:r>
    </w:p>
    <w:p>
      <w:pPr>
        <w:pStyle w:val="BodyText"/>
      </w:pPr>
      <w:r>
        <w:rPr>
          <w:rFonts w:ascii="Aptos" w:hAnsi="Aptos"/>
          <w:b/>
        </w:rPr>
        <w:t xml:space="preserve">Why is Architecture the largest branch? </w:t>
      </w:r>
      <w:r>
        <w:rPr>
          <w:rFonts w:ascii="Aptos" w:hAnsi="Aptos"/>
        </w:rPr>
        <w:t>Researchers are exploring several ways to improve capacity, sequence processing, context, modality support, and deployment efficiency. This produces more architectural subcategories than the other branches.</w:t>
      </w:r>
    </w:p>
    <w:p>
      <w:pPr>
        <w:pStyle w:val="BodyText"/>
      </w:pPr>
      <w:r>
        <w:rPr>
          <w:rFonts w:ascii="Aptos" w:hAnsi="Aptos"/>
          <w:b/>
        </w:rPr>
        <w:t xml:space="preserve">What is the difference between LoRA and DPO? </w:t>
      </w:r>
      <w:r>
        <w:rPr>
          <w:rFonts w:ascii="Aptos" w:hAnsi="Aptos"/>
        </w:rPr>
        <w:t>LoRA describes how a small number of parameters can be updated efficiently. DPO describes how preference comparisons shape the model's behavior. LoRA can be used as the parameter-efficient mechanism while DPO supplies the learning objective.</w:t>
      </w:r>
    </w:p>
    <w:p>
      <w:pPr>
        <w:pStyle w:val="BodyText"/>
      </w:pPr>
      <w:r>
        <w:rPr>
          <w:rFonts w:ascii="Aptos" w:hAnsi="Aptos"/>
          <w:b/>
        </w:rPr>
        <w:t xml:space="preserve">Why can an LLM judge be unreliable? </w:t>
      </w:r>
      <w:r>
        <w:rPr>
          <w:rFonts w:ascii="Aptos" w:hAnsi="Aptos"/>
        </w:rPr>
        <w:t>The judge can prefer its own style, reward longer answers, react to answer order, or repeat the same errors as the model being evaluated.</w:t>
      </w:r>
    </w:p>
    <w:p>
      <w:pPr>
        <w:pStyle w:val="BodyText"/>
      </w:pPr>
      <w:r>
        <w:rPr>
          <w:rFonts w:ascii="Aptos" w:hAnsi="Aptos"/>
          <w:b/>
        </w:rPr>
        <w:t xml:space="preserve">Why is RAG useful? </w:t>
      </w:r>
      <w:r>
        <w:rPr>
          <w:rFonts w:ascii="Aptos" w:hAnsi="Aptos"/>
        </w:rPr>
        <w:t>RAG retrieves external evidence before generation, so the system can use current or domain-specific knowledge without retraining the whole model.</w:t>
      </w:r>
    </w:p>
    <w:p>
      <w:pPr>
        <w:pStyle w:val="BodyText"/>
      </w:pPr>
      <w:r>
        <w:rPr>
          <w:rFonts w:ascii="Aptos" w:hAnsi="Aptos"/>
          <w:b/>
        </w:rPr>
        <w:t xml:space="preserve">Why is text to SQL risky? </w:t>
      </w:r>
      <w:r>
        <w:rPr>
          <w:rFonts w:ascii="Aptos" w:hAnsi="Aptos"/>
        </w:rPr>
        <w:t>A generated query may misunderstand the schema, expose unauthorized data, or turn a malicious prompt into an executable database operation.</w:t>
      </w:r>
    </w:p>
    <w:p>
      <w:pPr>
        <w:pStyle w:val="BodyText"/>
      </w:pPr>
      <w:r>
        <w:rPr>
          <w:rFonts w:ascii="Aptos" w:hAnsi="Aptos"/>
          <w:b/>
        </w:rPr>
        <w:t xml:space="preserve">Why is parameter count insufficient for efficiency? </w:t>
      </w:r>
      <w:r>
        <w:rPr>
          <w:rFonts w:ascii="Aptos" w:hAnsi="Aptos"/>
        </w:rPr>
        <w:t>Real performance also depends on active parameters, hardware, precision, memory traffic, batch size, context length, latency, throughput, and quality.</w:t>
      </w:r>
    </w:p>
    <w:p>
      <w:pPr>
        <w:pStyle w:val="Heading2"/>
        <w:keepNext/>
        <w:pageBreakBefore/>
      </w:pPr>
      <w:r>
        <w:t>Key Terms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728"/>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Term</w:t>
            </w:r>
          </w:p>
        </w:tc>
        <w:tc>
          <w:tcPr>
            <w:tcW w:type="dxa" w:w="7848"/>
            <w:shd w:fill="10233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center"/>
            </w:pPr>
            <w:r>
              <w:rPr>
                <w:rFonts w:ascii="Aptos" w:hAnsi="Aptos"/>
                <w:b/>
                <w:color w:val="FFFFFF"/>
                <w:sz w:val="18"/>
              </w:rPr>
              <w:t>Simple definition</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MoE</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 model with expert subnetworks where a router activates only selected experts for each token.</w:t>
            </w:r>
          </w:p>
        </w:tc>
      </w:tr>
      <w:tr>
        <w:tc>
          <w:tcPr>
            <w:tcW w:type="dxa" w:w="172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SSM</w:t>
            </w:r>
          </w:p>
        </w:tc>
        <w:tc>
          <w:tcPr>
            <w:tcW w:type="dxa" w:w="784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 sequence model that uses recurrent state updates as an alternative or complement to attention.</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DPO</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 method that learns directly from preferred and rejected responses.</w:t>
            </w:r>
          </w:p>
        </w:tc>
      </w:tr>
      <w:tr>
        <w:tc>
          <w:tcPr>
            <w:tcW w:type="dxa" w:w="172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PEFT</w:t>
            </w:r>
          </w:p>
        </w:tc>
        <w:tc>
          <w:tcPr>
            <w:tcW w:type="dxa" w:w="784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Methods that adapt a model by training only a small portion of its parameters.</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LoRA</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 PEFT technique that learns low-rank weight updates while keeping the base model frozen.</w:t>
            </w:r>
          </w:p>
        </w:tc>
      </w:tr>
      <w:tr>
        <w:tc>
          <w:tcPr>
            <w:tcW w:type="dxa" w:w="172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RAG</w:t>
            </w:r>
          </w:p>
        </w:tc>
        <w:tc>
          <w:tcPr>
            <w:tcW w:type="dxa" w:w="784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A system that retrieves external evidence and supplies it to the model before generation.</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NL2SQL</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Conversion of a natural-language question into an SQL query.</w:t>
            </w:r>
          </w:p>
        </w:tc>
      </w:tr>
      <w:tr>
        <w:tc>
          <w:tcPr>
            <w:tcW w:type="dxa" w:w="172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KV cache</w:t>
            </w:r>
          </w:p>
        </w:tc>
        <w:tc>
          <w:tcPr>
            <w:tcW w:type="dxa" w:w="7848"/>
            <w:shd w:fill="EEF4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jc w:val="left"/>
            </w:pPr>
            <w:r>
              <w:rPr>
                <w:rFonts w:ascii="Aptos" w:hAnsi="Aptos"/>
                <w:sz w:val="18"/>
              </w:rPr>
              <w:t>Stored attention keys and values reused during token-by-token generation.</w:t>
            </w:r>
          </w:p>
        </w:tc>
      </w:tr>
    </w:tbl>
    <w:p>
      <w:pPr>
        <w:spacing w:after="0"/>
      </w:pPr>
    </w:p>
    <w:p>
      <w:pPr>
        <w:pStyle w:val="Heading1"/>
        <w:keepNext/>
        <w:pageBreakBefore/>
      </w:pPr>
      <w:r>
        <w:t>Source Materials</w:t>
      </w:r>
    </w:p>
    <w:p>
      <w:pPr>
        <w:pStyle w:val="BodyText"/>
      </w:pPr>
      <w:r>
        <w:rPr>
          <w:rFonts w:ascii="Aptos" w:hAnsi="Aptos"/>
        </w:rPr>
        <w:t>Group 01. Large Language Models Systematic Review Academic Presentation. Slides 10 to 15. Database Technology, Management and Security, American International University-Bangladesh, 2026.</w:t>
      </w:r>
    </w:p>
    <w:p>
      <w:pPr>
        <w:pStyle w:val="BodyText"/>
      </w:pPr>
      <w:r>
        <w:rPr>
          <w:rFonts w:ascii="Aptos" w:hAnsi="Aptos"/>
        </w:rPr>
        <w:t>Sk. Muktadir Hossain, Md Rahat Rihan, and Oyadud Chowdhuri. Large Language Models Architectures Training Evaluation Applications and Database Integration A Systematic Review. Group 01 review paper submitted to Dr. Ashraf Uddin, American International University-Bangladesh, 24 August 2026.</w:t>
      </w:r>
    </w:p>
    <w:p>
      <w:pPr>
        <w:pStyle w:val="Heading2"/>
        <w:keepNext/>
      </w:pPr>
      <w:r>
        <w:t>Note on the reported counts</w:t>
      </w:r>
    </w:p>
    <w:p>
      <w:pPr>
        <w:pStyle w:val="BodyText"/>
      </w:pPr>
      <w:r>
        <w:rPr>
          <w:rFonts w:ascii="Aptos" w:hAnsi="Aptos"/>
        </w:rPr>
        <w:t>The presentation follows the detailed taxonomy figure: Architecture 66, Training and Alignment 40, Evaluation 30, and Applications 44, plus 9 foundational sources. The abstract of the supplied paper gives different values for three categories: Architecture 69, Evaluation 31, and Applications 45. Before final submission or oral defense, the group should reconcile the abstract with Figure 3 and Section 2.5. These notes use the slide values because the requested scope is slides 10 to 15.</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B7A"/>
        <w:sz w:val="16"/>
      </w:rPr>
      <w:t xml:space="preserve">Group 01 Academic Presentation    Page </w:t>
    </w:r>
    <w:r>
      <w:rPr>
        <w:rFonts w:ascii="Aptos" w:hAnsi="Aptos"/>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E6B7A"/>
        <w:sz w:val="16"/>
      </w:rPr>
      <w:t>Large Language Models    Study Notes for Slides 10 to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Aptos" w:hAnsi="Aptos"/>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03"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432" w:hanging="288"/>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ind w:left="360" w:right="216"/>
    </w:pPr>
    <w:rPr>
      <w:rFonts w:ascii="Aptos" w:hAnsi="Aptos"/>
      <w:i/>
      <w:iCs/>
      <w:color w:val="5E6B7A"/>
      <w:sz w:val="19"/>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Large Language Models Study Notes for Slides 10 to 15</dc:title>
  <dc:subject>Architecture, training, evaluation, applications, database integration, and efficiency</dc:subject>
  <dc:creator>Group 01</dc:creator>
  <cp:keywords>LLM, systematic review, study notes, slides 10-15</cp:keywords>
  <dc:description>generated by python-docx</dc:description>
  <cp:lastModifiedBy/>
  <cp:revision>1</cp:revision>
  <dcterms:created xsi:type="dcterms:W3CDTF">2013-12-23T23:15:00Z</dcterms:created>
  <dcterms:modified xsi:type="dcterms:W3CDTF">2013-12-23T23:15:00Z</dcterms:modified>
  <cp:category/>
</cp:coreProperties>
</file>