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shapexml.xml" ContentType="application/vnd.ms-office.DrsShape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shapeXml" Target="drs/shapexml.xml"/></Relationships>
</file>

<file path=drs/downrev.xml><?xml version="1.0" encoding="utf-8"?>
<a:downRevStg xmlns:a="http://schemas.openxmlformats.org/drawingml/2006/main" shapeCheckSum="Cs6BTd8IPO2dw/5IfmjIaG==&#10;" textCheckSum="YJ6wUp==&#10;" shapeId="3" fHybridRaster="0" ver="1"/>
</file>

<file path=drs/shapexml.xml><?xml version="1.0" encoding="utf-8"?>
<p:sp xmlns:p="http://schemas.openxmlformats.org/presentationml/2006/main">
  <p:nvSpPr>
    <p:cNvPr id="3" name="Subtitle 2"/>
    <p:cNvSpPr>
      <a:spLocks xmlns:a="http://schemas.openxmlformats.org/drawingml/2006/main" noGrp="1"/>
    </p:cNvSpPr>
    <p:nvPr>
      <p:ph type="subTitle" idx="4294967295"/>
    </p:nvPr>
  </p:nvSpPr>
  <p:spPr>
    <a:xfrm xmlns:a="http://schemas.openxmlformats.org/drawingml/2006/main">
      <a:off x="1371600" y="4495800"/>
      <a:ext cx="6400800" cy="1752600"/>
    </a:xfrm>
  </p:spPr>
  <p:txBody>
    <a:bodyPr xmlns:a="http://schemas.openxmlformats.org/drawingml/2006/main" vert="horz" wrap="square" lIns="91440" tIns="45720" rIns="91440" bIns="45720" numCol="1" rtlCol="0" anchor="t" anchorCtr="0" compatLnSpc="1">
      <a:prstTxWarp prst="textNoShape">
        <a:avLst/>
      </a:prstTxWarp>
      <a:normAutofit fontScale="47500" lnSpcReduction="20000"/>
    </a:bodyPr>
    <a:lstStyle xmlns:a="http://schemas.openxmlformats.org/drawingml/2006/main"/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endParaRPr kumimoji="0" lang="en-US" sz="3200" b="0" i="0" u="none" strike="noStrike" kern="1200" cap="none" spc="0" normalizeH="0" baseline="0" noProof="0" dirty="0" smtClean="0">
        <a:ln>
          <a:noFill/>
        </a:ln>
        <a:solidFill>
          <a:schemeClr val="tx1">
            <a:tint val="75000"/>
          </a:schemeClr>
        </a:solidFill>
        <a:effectLst/>
        <a:uLnTx/>
        <a:uFillTx/>
        <a:latin typeface="+mn-lt"/>
        <a:ea typeface="+mn-ea"/>
        <a:cs typeface="+mn-cs"/>
      </a:endParaRP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endParaRPr kumimoji="0" lang="en-US" sz="3200" b="0" i="0" u="none" strike="noStrike" kern="1200" cap="none" spc="0" normalizeH="0" baseline="0" noProof="0" dirty="0" smtClean="0">
        <a:ln>
          <a:noFill/>
        </a:ln>
        <a:solidFill>
          <a:schemeClr val="tx1">
            <a:tint val="75000"/>
          </a:schemeClr>
        </a:solidFill>
        <a:effectLst/>
        <a:uLnTx/>
        <a:uFillTx/>
        <a:latin typeface="+mn-lt"/>
        <a:ea typeface="+mn-ea"/>
        <a:cs typeface="+mn-cs"/>
      </a:endParaRP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endParaRPr kumimoji="0" lang="en-US" sz="3200" b="0" i="0" u="none" strike="noStrike" kern="1200" cap="none" spc="0" normalizeH="0" baseline="0" noProof="0" dirty="0" smtClean="0">
        <a:ln>
          <a:noFill/>
        </a:ln>
        <a:solidFill>
          <a:schemeClr val="tx1">
            <a:tint val="75000"/>
          </a:schemeClr>
        </a:solidFill>
        <a:effectLst/>
        <a:uLnTx/>
        <a:uFillTx/>
        <a:latin typeface="+mn-lt"/>
        <a:ea typeface="+mn-ea"/>
        <a:cs typeface="+mn-cs"/>
      </a:endParaRP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endParaRPr kumimoji="0" lang="en-US" sz="3200" b="0" i="0" u="none" strike="noStrike" kern="1200" cap="none" spc="0" normalizeH="0" baseline="0" noProof="0" dirty="0" smtClean="0">
        <a:ln>
          <a:noFill/>
        </a:ln>
        <a:solidFill>
          <a:schemeClr val="tx1">
            <a:tint val="75000"/>
          </a:schemeClr>
        </a:solidFill>
        <a:effectLst/>
        <a:uLnTx/>
        <a:uFillTx/>
        <a:latin typeface="+mn-lt"/>
        <a:ea typeface="+mn-ea"/>
        <a:cs typeface="+mn-cs"/>
      </a:endParaRP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r>
        <a:rPr kumimoji="0" lang="en-US" sz="5100" b="1" i="0" u="none" strike="noStrike" kern="1200" cap="none" spc="0" normalizeH="0" baseline="0" noProof="0" dirty="0" smtClean="0">
          <a:ln>
            <a:noFill/>
          </a:ln>
          <a:solidFill>
            <a:schemeClr val="tx1">
              <a:tint val="75000"/>
            </a:schemeClr>
          </a:solidFill>
          <a:effectLst/>
          <a:uLnTx/>
          <a:uFillTx/>
          <a:latin typeface="+mn-lt"/>
          <a:ea typeface="+mn-ea"/>
          <a:cs typeface="+mn-cs"/>
        </a:rPr>
        <a:t> _____  ________ __ </a:t>
      </a: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r>
        <a:rPr kumimoji="0" lang="en-US" sz="5100" b="1" i="0" u="none" strike="noStrike" kern="1200" cap="none" spc="0" normalizeH="0" baseline="0" noProof="0" dirty="0" smtClean="0">
          <a:ln>
            <a:noFill/>
          </a:ln>
          <a:solidFill>
            <a:schemeClr val="tx1">
              <a:tint val="75000"/>
            </a:schemeClr>
          </a:solidFill>
          <a:effectLst/>
          <a:uLnTx/>
          <a:uFillTx/>
          <a:latin typeface="+mn-lt"/>
          <a:ea typeface="+mn-ea"/>
          <a:cs typeface="+mn-cs"/>
        </a:rPr>
        <a:t>  __    _______  _______</a:t>
      </a:r>
    </a:p>
    <a:p xmlns:a="http://schemas.openxmlformats.org/drawingml/2006/main">
      <a:pPr marL="0" marR="0" lvl="0" indent="0" algn="ctr" defTabSz="914400" rtl="0" eaLnBrk="1" fontAlgn="auto" latinLnBrk="0" hangingPunct="1">
        <a:lnSpc>
          <a:spcPct val="100000"/>
        </a:lnSpc>
        <a:spcBef>
          <a:spcPct val="20000"/>
        </a:spcBef>
        <a:spcAft>
          <a:spcPts val="0"/>
        </a:spcAft>
        <a:buClrTx/>
        <a:buSzTx/>
        <a:buFont typeface="Arial" pitchFamily="34" charset="0"/>
        <a:buNone/>
        <a:tabLst/>
        <a:defRPr/>
      </a:pPr>
      <a:endParaRPr kumimoji="0" lang="en-US" sz="3200" b="0" i="0" u="none" strike="noStrike" kern="1200" cap="none" spc="0" normalizeH="0" baseline="0" noProof="0" dirty="0">
        <a:ln>
          <a:noFill/>
        </a:ln>
        <a:solidFill>
          <a:schemeClr val="tx1">
            <a:tint val="75000"/>
          </a:schemeClr>
        </a:solidFill>
        <a:effectLst/>
        <a:uLnTx/>
        <a:uFillTx/>
        <a:latin typeface="+mn-lt"/>
        <a:ea typeface="+mn-ea"/>
        <a:cs typeface="+mn-cs"/>
      </a:endParaRPr>
    </a:p>
  </p:txBody>
</p:sp>
</file>