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A4A2A" w:rsidRDefault="00000000">
      <w:pPr>
        <w:pStyle w:val="Heading2"/>
        <w:widowControl w:val="0"/>
        <w:spacing w:after="120"/>
        <w:jc w:val="center"/>
        <w:rPr>
          <w:b/>
          <w:bCs/>
          <w:i/>
          <w:iCs/>
        </w:rPr>
      </w:pPr>
      <w:r>
        <w:rPr>
          <w:b/>
          <w:bCs/>
          <w:noProof/>
        </w:rPr>
        <w:drawing>
          <wp:inline distT="0" distB="0" distL="0" distR="0" wp14:anchorId="20979394" wp14:editId="72054D55">
            <wp:extent cx="1744839" cy="744353"/>
            <wp:effectExtent l="0" t="0" r="0" b="0"/>
            <wp:docPr id="1" name="image1.png" descr="A black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ack and white logo&#10;&#10;Description automatically generated"/>
                    <pic:cNvPicPr preferRelativeResize="0"/>
                  </pic:nvPicPr>
                  <pic:blipFill>
                    <a:blip r:embed="rId8"/>
                    <a:srcRect/>
                    <a:stretch>
                      <a:fillRect/>
                    </a:stretch>
                  </pic:blipFill>
                  <pic:spPr>
                    <a:xfrm>
                      <a:off x="0" y="0"/>
                      <a:ext cx="1744839" cy="744353"/>
                    </a:xfrm>
                    <a:prstGeom prst="rect">
                      <a:avLst/>
                    </a:prstGeom>
                    <a:ln/>
                  </pic:spPr>
                </pic:pic>
              </a:graphicData>
            </a:graphic>
          </wp:inline>
        </w:drawing>
      </w:r>
      <w:r>
        <w:br/>
        <w:t>CUSTOMER ORDER FORM</w:t>
      </w:r>
    </w:p>
    <w:p w14:paraId="00000002" w14:textId="382A1312" w:rsidR="00EA4A2A" w:rsidRDefault="00000000">
      <w:pPr>
        <w:widowControl w:val="0"/>
        <w:pBdr>
          <w:top w:val="nil"/>
          <w:left w:val="nil"/>
          <w:bottom w:val="nil"/>
          <w:right w:val="nil"/>
          <w:between w:val="nil"/>
        </w:pBdr>
        <w:spacing w:after="120"/>
        <w:rPr>
          <w:color w:val="000000"/>
          <w:u w:val="single"/>
        </w:rPr>
      </w:pPr>
      <w:r>
        <w:rPr>
          <w:color w:val="000000"/>
        </w:rPr>
        <w:t>This Customer Order Form (this “</w:t>
      </w:r>
      <w:r>
        <w:rPr>
          <w:b/>
          <w:bCs/>
          <w:color w:val="000000"/>
        </w:rPr>
        <w:t>Order Form</w:t>
      </w:r>
      <w:r>
        <w:rPr>
          <w:color w:val="000000"/>
        </w:rPr>
        <w:t>”) is entered into as of the “Effective Date” identified below between the customer listed below (“</w:t>
      </w:r>
      <w:r>
        <w:rPr>
          <w:b/>
          <w:bCs/>
          <w:color w:val="000000"/>
        </w:rPr>
        <w:t>Customer</w:t>
      </w:r>
      <w:r>
        <w:rPr>
          <w:color w:val="000000"/>
        </w:rPr>
        <w:t>”) and Rogo Technologies, Inc., a Delaware corporation (“</w:t>
      </w:r>
      <w:r>
        <w:rPr>
          <w:b/>
          <w:bCs/>
          <w:color w:val="000000"/>
        </w:rPr>
        <w:t>Rogo</w:t>
      </w:r>
      <w:r>
        <w:rPr>
          <w:color w:val="000000"/>
        </w:rPr>
        <w:t>”).</w:t>
      </w:r>
      <w:r>
        <w:t xml:space="preserve"> </w:t>
      </w:r>
      <w:r>
        <w:rPr>
          <w:color w:val="000000"/>
        </w:rPr>
        <w:t xml:space="preserve">This Order Form is issued under and incorporates </w:t>
      </w:r>
      <w:r w:rsidR="00783773">
        <w:rPr>
          <w:color w:val="000000"/>
        </w:rPr>
        <w:t>the Customer Agreement entered into on [</w:t>
      </w:r>
      <w:r w:rsidR="00783773" w:rsidRPr="00783773">
        <w:rPr>
          <w:color w:val="000000"/>
          <w:highlight w:val="yellow"/>
        </w:rPr>
        <w:t>DATE]</w:t>
      </w:r>
      <w:r w:rsidR="00DC7174">
        <w:rPr>
          <w:color w:val="000000"/>
        </w:rPr>
        <w:t>, by and between Customer and Rogo</w:t>
      </w:r>
      <w:r w:rsidR="00783773">
        <w:rPr>
          <w:color w:val="000000"/>
        </w:rPr>
        <w:t xml:space="preserve"> </w:t>
      </w:r>
      <w:r>
        <w:rPr>
          <w:color w:val="000000"/>
        </w:rPr>
        <w:t>(“</w:t>
      </w:r>
      <w:r>
        <w:rPr>
          <w:b/>
          <w:bCs/>
          <w:color w:val="000000"/>
        </w:rPr>
        <w:t>Terms &amp; Conditions</w:t>
      </w:r>
      <w:r>
        <w:rPr>
          <w:color w:val="000000"/>
        </w:rPr>
        <w:t>”). If the Terms &amp; Conditions conflict with terms of this Order Form, the terms of this Order Form shall control.  Capitalized terms used but not defined in this Order Form have the meanings given to them in the Terms &amp; Conditions.</w:t>
      </w:r>
    </w:p>
    <w:tbl>
      <w:tblPr>
        <w:tblStyle w:val="a"/>
        <w:tblW w:w="9360"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4680"/>
        <w:gridCol w:w="4680"/>
      </w:tblGrid>
      <w:tr w:rsidR="00EA4A2A" w14:paraId="5FFAD5B6" w14:textId="77777777">
        <w:tc>
          <w:tcPr>
            <w:tcW w:w="4680" w:type="dxa"/>
          </w:tcPr>
          <w:p w14:paraId="00000003" w14:textId="492D8508" w:rsidR="00EA4A2A" w:rsidRDefault="00000000">
            <w:pPr>
              <w:spacing w:line="288" w:lineRule="auto"/>
              <w:rPr>
                <w:color w:val="000000"/>
              </w:rPr>
            </w:pPr>
            <w:r>
              <w:rPr>
                <w:color w:val="000000"/>
              </w:rPr>
              <w:t xml:space="preserve">Customer: </w:t>
            </w:r>
            <w:r w:rsidR="00722CDF">
              <w:rPr>
                <w:color w:val="000000"/>
              </w:rPr>
              <w:t>{{Account.Name}}</w:t>
            </w:r>
          </w:p>
        </w:tc>
        <w:tc>
          <w:tcPr>
            <w:tcW w:w="4680" w:type="dxa"/>
          </w:tcPr>
          <w:p w14:paraId="00000004" w14:textId="77777777" w:rsidR="00EA4A2A" w:rsidRDefault="00000000">
            <w:pPr>
              <w:spacing w:line="288" w:lineRule="auto"/>
              <w:rPr>
                <w:color w:val="000000"/>
              </w:rPr>
            </w:pPr>
            <w:r>
              <w:rPr>
                <w:color w:val="000000"/>
              </w:rPr>
              <w:t xml:space="preserve">Contact: </w:t>
            </w:r>
          </w:p>
        </w:tc>
      </w:tr>
      <w:tr w:rsidR="00EA4A2A" w14:paraId="34E57DCF" w14:textId="77777777">
        <w:tc>
          <w:tcPr>
            <w:tcW w:w="4680" w:type="dxa"/>
            <w:tcBorders>
              <w:bottom w:val="single" w:sz="8" w:space="0" w:color="000000"/>
            </w:tcBorders>
          </w:tcPr>
          <w:p w14:paraId="00000005" w14:textId="77777777" w:rsidR="00EA4A2A" w:rsidRDefault="00000000">
            <w:pPr>
              <w:spacing w:line="288" w:lineRule="auto"/>
              <w:rPr>
                <w:color w:val="000000"/>
              </w:rPr>
            </w:pPr>
            <w:r>
              <w:rPr>
                <w:color w:val="000000"/>
              </w:rPr>
              <w:t xml:space="preserve">Billing Address: </w:t>
            </w:r>
          </w:p>
        </w:tc>
        <w:tc>
          <w:tcPr>
            <w:tcW w:w="4680" w:type="dxa"/>
          </w:tcPr>
          <w:p w14:paraId="00000006" w14:textId="77777777" w:rsidR="00EA4A2A" w:rsidRDefault="00000000">
            <w:pPr>
              <w:tabs>
                <w:tab w:val="left" w:pos="3127"/>
              </w:tabs>
              <w:spacing w:line="288" w:lineRule="auto"/>
              <w:rPr>
                <w:color w:val="000000"/>
              </w:rPr>
            </w:pPr>
            <w:r>
              <w:rPr>
                <w:color w:val="000000"/>
              </w:rPr>
              <w:t xml:space="preserve">Phone: </w:t>
            </w:r>
            <w:r>
              <w:rPr>
                <w:color w:val="000000"/>
              </w:rPr>
              <w:tab/>
            </w:r>
          </w:p>
        </w:tc>
      </w:tr>
      <w:tr w:rsidR="00EA4A2A" w14:paraId="63184E1B" w14:textId="77777777">
        <w:tc>
          <w:tcPr>
            <w:tcW w:w="4680" w:type="dxa"/>
            <w:tcBorders>
              <w:top w:val="single" w:sz="8" w:space="0" w:color="000000"/>
            </w:tcBorders>
          </w:tcPr>
          <w:p w14:paraId="00000007" w14:textId="77777777" w:rsidR="00EA4A2A" w:rsidRDefault="00000000">
            <w:pPr>
              <w:pBdr>
                <w:top w:val="nil"/>
                <w:left w:val="nil"/>
                <w:bottom w:val="nil"/>
                <w:right w:val="nil"/>
                <w:between w:val="nil"/>
              </w:pBdr>
              <w:spacing w:line="276" w:lineRule="auto"/>
              <w:rPr>
                <w:color w:val="000000"/>
              </w:rPr>
            </w:pPr>
            <w:r>
              <w:rPr>
                <w:color w:val="000000"/>
              </w:rPr>
              <w:t xml:space="preserve">Accounts Payable Email: </w:t>
            </w:r>
          </w:p>
        </w:tc>
        <w:tc>
          <w:tcPr>
            <w:tcW w:w="4680" w:type="dxa"/>
          </w:tcPr>
          <w:p w14:paraId="00000008" w14:textId="77777777" w:rsidR="00EA4A2A" w:rsidRDefault="00000000">
            <w:pPr>
              <w:tabs>
                <w:tab w:val="left" w:pos="6642"/>
              </w:tabs>
              <w:spacing w:line="288" w:lineRule="auto"/>
              <w:rPr>
                <w:color w:val="000000"/>
              </w:rPr>
            </w:pPr>
            <w:r>
              <w:rPr>
                <w:color w:val="000000"/>
              </w:rPr>
              <w:t xml:space="preserve">Email: </w:t>
            </w:r>
          </w:p>
        </w:tc>
      </w:tr>
    </w:tbl>
    <w:p w14:paraId="00000009" w14:textId="77777777" w:rsidR="00EA4A2A" w:rsidRDefault="00EA4A2A">
      <w:pPr>
        <w:widowControl w:val="0"/>
        <w:pBdr>
          <w:top w:val="nil"/>
          <w:left w:val="nil"/>
          <w:bottom w:val="nil"/>
          <w:right w:val="nil"/>
          <w:between w:val="nil"/>
        </w:pBdr>
        <w:spacing w:after="120"/>
        <w:rPr>
          <w:color w:val="000000"/>
        </w:rPr>
      </w:pPr>
    </w:p>
    <w:tbl>
      <w:tblPr>
        <w:tblStyle w:val="a0"/>
        <w:tblW w:w="9395"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395"/>
      </w:tblGrid>
      <w:tr w:rsidR="00EA4A2A" w14:paraId="36794ED5" w14:textId="77777777">
        <w:trPr>
          <w:trHeight w:val="65"/>
        </w:trPr>
        <w:tc>
          <w:tcPr>
            <w:tcW w:w="9395" w:type="dxa"/>
          </w:tcPr>
          <w:p w14:paraId="0000000A" w14:textId="6DD08FE3" w:rsidR="00EA4A2A" w:rsidRDefault="00000000">
            <w:r>
              <w:t>“</w:t>
            </w:r>
            <w:r>
              <w:rPr>
                <w:b/>
                <w:bCs/>
              </w:rPr>
              <w:t>Effective Date</w:t>
            </w:r>
            <w:r>
              <w:t xml:space="preserve">”: </w:t>
            </w:r>
            <w:r w:rsidR="00722CDF">
              <w:t>{{Contract Start Date}}</w:t>
            </w:r>
          </w:p>
        </w:tc>
      </w:tr>
      <w:tr w:rsidR="00EA4A2A" w14:paraId="66D1FFDE" w14:textId="77777777">
        <w:trPr>
          <w:trHeight w:val="444"/>
        </w:trPr>
        <w:tc>
          <w:tcPr>
            <w:tcW w:w="9395" w:type="dxa"/>
          </w:tcPr>
          <w:p w14:paraId="0000000B" w14:textId="77777777" w:rsidR="00EA4A2A" w:rsidRDefault="00000000">
            <w:r>
              <w:t>“</w:t>
            </w:r>
            <w:r>
              <w:rPr>
                <w:b/>
                <w:bCs/>
              </w:rPr>
              <w:t>Platform</w:t>
            </w:r>
            <w:r>
              <w:t>”: Rogo’s proprietary financial services research platform that is integrated with market data, news, filings, earnings, web data, and additional data sources, with features and functionality for automated analysis, AI smart search, and deep research.</w:t>
            </w:r>
          </w:p>
        </w:tc>
      </w:tr>
      <w:tr w:rsidR="00EA4A2A" w14:paraId="2151D439" w14:textId="77777777">
        <w:trPr>
          <w:trHeight w:val="255"/>
        </w:trPr>
        <w:tc>
          <w:tcPr>
            <w:tcW w:w="9395" w:type="dxa"/>
          </w:tcPr>
          <w:p w14:paraId="0000000C" w14:textId="282B831C" w:rsidR="00EA4A2A" w:rsidRDefault="00000000">
            <w:r>
              <w:t>“</w:t>
            </w:r>
            <w:r>
              <w:rPr>
                <w:b/>
                <w:bCs/>
              </w:rPr>
              <w:t>Initial Subscription Period</w:t>
            </w:r>
            <w:r>
              <w:t xml:space="preserve">”: </w:t>
            </w:r>
            <w:r w:rsidR="00722CDF">
              <w:t>{{Contract Length}}</w:t>
            </w:r>
          </w:p>
          <w:p w14:paraId="0000000D" w14:textId="77777777" w:rsidR="00EA4A2A" w:rsidRDefault="00000000">
            <w:r>
              <w:t>The Agreement will automatically renew for additional successive terms equal to the length of the Initial Subscription Period, unless terminated sooner pursuant to the Terms &amp; Conditions, at Rogo’s then-current list pricing unless otherwise mutually agreed.</w:t>
            </w:r>
            <w:r>
              <w:br/>
            </w:r>
            <w:r>
              <w:br/>
            </w:r>
            <w:r>
              <w:rPr>
                <w:b/>
                <w:bCs/>
              </w:rPr>
              <w:t>“Pilot Period”</w:t>
            </w:r>
            <w:r>
              <w:t>: [</w:t>
            </w:r>
            <w:r>
              <w:rPr>
                <w:highlight w:val="yellow"/>
              </w:rPr>
              <w:t>N/A</w:t>
            </w:r>
            <w:r>
              <w:t>][</w:t>
            </w:r>
            <w:r>
              <w:rPr>
                <w:highlight w:val="yellow"/>
              </w:rPr>
              <w:t>If applicable</w:t>
            </w:r>
            <w:r>
              <w:t>: [</w:t>
            </w:r>
            <w:r>
              <w:rPr>
                <w:highlight w:val="yellow"/>
              </w:rPr>
              <w:t>30 days</w:t>
            </w:r>
            <w:r>
              <w:t>] beginning on the Effective Date.</w:t>
            </w:r>
            <w:r>
              <w:rPr>
                <w:highlight w:val="yellow"/>
              </w:rPr>
              <w:t>]</w:t>
            </w:r>
          </w:p>
          <w:p w14:paraId="0000000E" w14:textId="77777777" w:rsidR="00EA4A2A" w:rsidRDefault="00000000">
            <w:r>
              <w:rPr>
                <w:highlight w:val="yellow"/>
              </w:rPr>
              <w:t>[No auto-renewal.]/[At the end of the Pilot Period, the Pilot Period automatically converts into a paid Subscription Period.]</w:t>
            </w:r>
          </w:p>
        </w:tc>
      </w:tr>
      <w:tr w:rsidR="00EA4A2A" w14:paraId="581EE2FF" w14:textId="77777777">
        <w:trPr>
          <w:trHeight w:val="255"/>
        </w:trPr>
        <w:tc>
          <w:tcPr>
            <w:tcW w:w="9395" w:type="dxa"/>
          </w:tcPr>
          <w:p w14:paraId="0000001A" w14:textId="5B3B3112" w:rsidR="00EA4A2A" w:rsidRDefault="00000000">
            <w:pPr>
              <w:tabs>
                <w:tab w:val="right" w:pos="4824"/>
              </w:tabs>
            </w:pPr>
            <w:r>
              <w:rPr>
                <w:b/>
                <w:bCs/>
              </w:rPr>
              <w:t>Number of Authorized Users</w:t>
            </w:r>
            <w:r>
              <w:t xml:space="preserve">: </w:t>
            </w:r>
            <w:r w:rsidR="00722CDF">
              <w:t xml:space="preserve">{{Users}} </w:t>
            </w:r>
            <w:r>
              <w:t>users</w:t>
            </w:r>
          </w:p>
          <w:p w14:paraId="0000001B" w14:textId="77777777" w:rsidR="00EA4A2A" w:rsidRDefault="00EA4A2A">
            <w:pPr>
              <w:tabs>
                <w:tab w:val="right" w:pos="4824"/>
              </w:tabs>
              <w:rPr>
                <w:b/>
                <w:bCs/>
              </w:rPr>
            </w:pPr>
          </w:p>
          <w:p w14:paraId="0000001C" w14:textId="4AFAC7C3" w:rsidR="00EA4A2A" w:rsidRDefault="00000000">
            <w:pPr>
              <w:tabs>
                <w:tab w:val="right" w:pos="4824"/>
              </w:tabs>
            </w:pPr>
            <w:r>
              <w:rPr>
                <w:b/>
                <w:bCs/>
              </w:rPr>
              <w:t>Credit Allocation</w:t>
            </w:r>
            <w:r>
              <w:t xml:space="preserve">: </w:t>
            </w:r>
            <w:r w:rsidR="00722CDF">
              <w:t xml:space="preserve">{{Total Credits}} </w:t>
            </w:r>
            <w:r>
              <w:t>Credits per year</w:t>
            </w:r>
          </w:p>
          <w:p w14:paraId="0000001D" w14:textId="73F5E8C0" w:rsidR="00EA4A2A" w:rsidRDefault="00000000">
            <w:r>
              <w:rPr>
                <w:b/>
                <w:bCs/>
              </w:rPr>
              <w:br/>
              <w:t>Platform Fee:</w:t>
            </w:r>
            <w:r>
              <w:t xml:space="preserve"> USD $</w:t>
            </w:r>
            <w:r w:rsidR="00722CDF">
              <w:t>{{Platform Fee}}</w:t>
            </w:r>
            <w:r>
              <w:t xml:space="preserve"> per year for the number of Authorized Users set forth above, payable annually in advance in accordance with the Terms &amp; Conditions.</w:t>
            </w:r>
          </w:p>
          <w:p w14:paraId="0000001E" w14:textId="0556F4B1" w:rsidR="00EA4A2A" w:rsidRDefault="00000000">
            <w:pPr>
              <w:numPr>
                <w:ilvl w:val="0"/>
                <w:numId w:val="1"/>
              </w:numPr>
              <w:pBdr>
                <w:top w:val="nil"/>
                <w:left w:val="nil"/>
                <w:bottom w:val="nil"/>
                <w:right w:val="nil"/>
                <w:between w:val="nil"/>
              </w:pBdr>
              <w:tabs>
                <w:tab w:val="right" w:pos="4824"/>
              </w:tabs>
            </w:pPr>
            <w:r>
              <w:rPr>
                <w:color w:val="000000"/>
              </w:rPr>
              <w:t>Additional Authorized Users may be added during the Subscription Period at a rate of USD $</w:t>
            </w:r>
            <w:r w:rsidR="00722CDF">
              <w:rPr>
                <w:color w:val="000000"/>
              </w:rPr>
              <w:t>{{price per user}}</w:t>
            </w:r>
            <w:r>
              <w:rPr>
                <w:color w:val="000000"/>
              </w:rPr>
              <w:t xml:space="preserve"> per user per year by emailing sales@rogo.ai or contacting Customer's designated Account Executive or Account Manager.</w:t>
            </w:r>
          </w:p>
          <w:p w14:paraId="0000001F" w14:textId="77777777" w:rsidR="00EA4A2A" w:rsidRDefault="00000000">
            <w:pPr>
              <w:numPr>
                <w:ilvl w:val="0"/>
                <w:numId w:val="1"/>
              </w:numPr>
              <w:pBdr>
                <w:top w:val="nil"/>
                <w:left w:val="nil"/>
                <w:bottom w:val="nil"/>
                <w:right w:val="nil"/>
                <w:between w:val="nil"/>
              </w:pBdr>
              <w:tabs>
                <w:tab w:val="right" w:pos="4824"/>
              </w:tabs>
            </w:pPr>
            <w:r>
              <w:rPr>
                <w:color w:val="000000"/>
              </w:rPr>
              <w:t>Any Authorized User added during a Subscription Period will be co-termed to the then-current Subscription Period, and the applicable fees for such additional user will be prorated for the remainder of such period and invoiced upon activation.</w:t>
            </w:r>
          </w:p>
          <w:p w14:paraId="00000020" w14:textId="77777777" w:rsidR="00EA4A2A" w:rsidRDefault="00EA4A2A">
            <w:pPr>
              <w:tabs>
                <w:tab w:val="right" w:pos="4824"/>
              </w:tabs>
            </w:pPr>
          </w:p>
          <w:p w14:paraId="00000021" w14:textId="007EEC7C" w:rsidR="00EA4A2A" w:rsidRDefault="00000000">
            <w:pPr>
              <w:tabs>
                <w:tab w:val="right" w:pos="4824"/>
              </w:tabs>
              <w:rPr>
                <w:b/>
                <w:bCs/>
              </w:rPr>
            </w:pPr>
            <w:r>
              <w:rPr>
                <w:b/>
                <w:bCs/>
              </w:rPr>
              <w:t xml:space="preserve">Credit Commitment: </w:t>
            </w:r>
            <w:r>
              <w:t>USD $</w:t>
            </w:r>
            <w:r w:rsidR="005539FE">
              <w:t>{{Credits Commit}}</w:t>
            </w:r>
            <w:r>
              <w:t xml:space="preserve"> per year for the Credit Allocation set forth above, payable annually in advance in accordance with the Terms &amp; Conditions.</w:t>
            </w:r>
            <w:r>
              <w:rPr>
                <w:b/>
                <w:bCs/>
              </w:rPr>
              <w:t xml:space="preserve"> </w:t>
            </w:r>
          </w:p>
          <w:p w14:paraId="00000022" w14:textId="77777777" w:rsidR="00EA4A2A" w:rsidRDefault="00000000">
            <w:pPr>
              <w:numPr>
                <w:ilvl w:val="0"/>
                <w:numId w:val="1"/>
              </w:numPr>
              <w:pBdr>
                <w:top w:val="nil"/>
                <w:left w:val="nil"/>
                <w:bottom w:val="nil"/>
                <w:right w:val="nil"/>
                <w:between w:val="nil"/>
              </w:pBdr>
              <w:tabs>
                <w:tab w:val="right" w:pos="4824"/>
              </w:tabs>
            </w:pPr>
            <w:r>
              <w:rPr>
                <w:color w:val="000000"/>
              </w:rPr>
              <w:t xml:space="preserve">Credits are usage fees associated with use of the Platform, including interactions with AI-enabled features and the generation of Outputs. </w:t>
            </w:r>
          </w:p>
          <w:p w14:paraId="00000023" w14:textId="37F98C01" w:rsidR="00EA4A2A" w:rsidRDefault="00000000">
            <w:pPr>
              <w:numPr>
                <w:ilvl w:val="0"/>
                <w:numId w:val="1"/>
              </w:numPr>
              <w:pBdr>
                <w:top w:val="nil"/>
                <w:left w:val="nil"/>
                <w:bottom w:val="nil"/>
                <w:right w:val="nil"/>
                <w:between w:val="nil"/>
              </w:pBdr>
              <w:tabs>
                <w:tab w:val="right" w:pos="4824"/>
              </w:tabs>
            </w:pPr>
            <w:r>
              <w:rPr>
                <w:color w:val="000000"/>
              </w:rPr>
              <w:t>Customer is responsible for monitoring its Credit balance through the Platform. If Customer’s usage of the Platform exceeds the Credit Allocation, Customer shall be liable to pay overage fees at USD $</w:t>
            </w:r>
            <w:r w:rsidR="00722CDF">
              <w:rPr>
                <w:color w:val="000000"/>
              </w:rPr>
              <w:t>0.03</w:t>
            </w:r>
            <w:r>
              <w:rPr>
                <w:color w:val="000000"/>
              </w:rPr>
              <w:t xml:space="preserve"> per Credit. Rogo will invoice Customer for any overage fees in arrears.</w:t>
            </w:r>
          </w:p>
          <w:p w14:paraId="00000024" w14:textId="77777777" w:rsidR="00EA4A2A" w:rsidRDefault="00000000">
            <w:pPr>
              <w:numPr>
                <w:ilvl w:val="0"/>
                <w:numId w:val="1"/>
              </w:numPr>
              <w:pBdr>
                <w:top w:val="nil"/>
                <w:left w:val="nil"/>
                <w:bottom w:val="nil"/>
                <w:right w:val="nil"/>
                <w:between w:val="nil"/>
              </w:pBdr>
              <w:tabs>
                <w:tab w:val="right" w:pos="4824"/>
              </w:tabs>
            </w:pPr>
            <w:r>
              <w:rPr>
                <w:color w:val="000000"/>
              </w:rPr>
              <w:t xml:space="preserve">Use of Credits is further subject to the Credit Addendum attached hereto as </w:t>
            </w:r>
            <w:r>
              <w:rPr>
                <w:color w:val="000000"/>
                <w:u w:val="single"/>
              </w:rPr>
              <w:t>Exhibit A</w:t>
            </w:r>
            <w:r>
              <w:rPr>
                <w:color w:val="000000"/>
              </w:rPr>
              <w:t>.</w:t>
            </w:r>
          </w:p>
          <w:p w14:paraId="00000025" w14:textId="77777777" w:rsidR="00EA4A2A" w:rsidRDefault="00EA4A2A">
            <w:pPr>
              <w:tabs>
                <w:tab w:val="right" w:pos="4824"/>
              </w:tabs>
            </w:pPr>
          </w:p>
          <w:p w14:paraId="00000026" w14:textId="401E031E" w:rsidR="00EA4A2A" w:rsidRDefault="00000000">
            <w:pPr>
              <w:tabs>
                <w:tab w:val="right" w:pos="4824"/>
              </w:tabs>
            </w:pPr>
            <w:r>
              <w:rPr>
                <w:b/>
                <w:bCs/>
                <w:color w:val="000000"/>
              </w:rPr>
              <w:t>Hosting Fee</w:t>
            </w:r>
            <w:r>
              <w:rPr>
                <w:color w:val="000000"/>
              </w:rPr>
              <w:t>: USD $</w:t>
            </w:r>
            <w:r w:rsidR="00722CDF">
              <w:rPr>
                <w:color w:val="000000"/>
              </w:rPr>
              <w:t>{{</w:t>
            </w:r>
            <w:r w:rsidR="005539FE">
              <w:rPr>
                <w:color w:val="000000"/>
              </w:rPr>
              <w:t>Hosting</w:t>
            </w:r>
            <w:r w:rsidR="00722CDF">
              <w:rPr>
                <w:color w:val="000000"/>
              </w:rPr>
              <w:t xml:space="preserve"> Fee}} </w:t>
            </w:r>
            <w:r>
              <w:rPr>
                <w:color w:val="000000"/>
              </w:rPr>
              <w:t xml:space="preserve"> per year for a single-tenant deployment of the Platform, payable annually in advance in accordance with the Terms &amp; Conditions.</w:t>
            </w:r>
          </w:p>
        </w:tc>
      </w:tr>
      <w:tr w:rsidR="00EA4A2A" w14:paraId="2E392411" w14:textId="77777777">
        <w:trPr>
          <w:trHeight w:val="255"/>
        </w:trPr>
        <w:tc>
          <w:tcPr>
            <w:tcW w:w="9395" w:type="dxa"/>
          </w:tcPr>
          <w:p w14:paraId="00000027" w14:textId="77777777" w:rsidR="00EA4A2A" w:rsidRDefault="00000000">
            <w:pPr>
              <w:rPr>
                <w:b/>
                <w:bCs/>
              </w:rPr>
            </w:pPr>
            <w:r>
              <w:rPr>
                <w:b/>
                <w:bCs/>
              </w:rPr>
              <w:t>Professional Services:</w:t>
            </w:r>
            <w:r>
              <w:t xml:space="preserve"> [</w:t>
            </w:r>
            <w:r>
              <w:rPr>
                <w:highlight w:val="yellow"/>
              </w:rPr>
              <w:t>N/A</w:t>
            </w:r>
            <w:r>
              <w:t>][</w:t>
            </w:r>
            <w:r>
              <w:rPr>
                <w:highlight w:val="yellow"/>
              </w:rPr>
              <w:t>If applicable</w:t>
            </w:r>
            <w:r>
              <w:t>: Training, implementation, and ongoing support provided by Rogo’s forward deployed bankers and engineers.</w:t>
            </w:r>
            <w:r>
              <w:rPr>
                <w:highlight w:val="yellow"/>
              </w:rPr>
              <w:t>]</w:t>
            </w:r>
            <w:r>
              <w:rPr>
                <w:b/>
                <w:bCs/>
              </w:rPr>
              <w:br/>
            </w:r>
            <w:r>
              <w:rPr>
                <w:b/>
                <w:bCs/>
              </w:rPr>
              <w:br/>
              <w:t>Professional Services Fees:</w:t>
            </w:r>
            <w:r>
              <w:t xml:space="preserve"> </w:t>
            </w:r>
            <w:sdt>
              <w:sdtPr>
                <w:tag w:val="goog_rdk_2"/>
                <w:id w:val="375559308"/>
              </w:sdtPr>
              <w:sdtContent>
                <w:commentRangeStart w:id="0"/>
              </w:sdtContent>
            </w:sdt>
            <w:r>
              <w:t>[</w:t>
            </w:r>
            <w:r>
              <w:rPr>
                <w:highlight w:val="yellow"/>
              </w:rPr>
              <w:t>N/A</w:t>
            </w:r>
            <w:r>
              <w:t>]</w:t>
            </w:r>
            <w:commentRangeEnd w:id="0"/>
            <w:r>
              <w:rPr>
                <w:rStyle w:val="CommentReference"/>
                <w:sz w:val="18"/>
                <w:szCs w:val="18"/>
              </w:rPr>
              <w:commentReference w:id="0"/>
            </w:r>
            <w:r>
              <w:t>[</w:t>
            </w:r>
            <w:r>
              <w:rPr>
                <w:highlight w:val="yellow"/>
              </w:rPr>
              <w:t>If applicable</w:t>
            </w:r>
            <w:r>
              <w:t>: Time-and-materials basis at the following hourly rates: (a) forward deployed banker: USD $[</w:t>
            </w:r>
            <w:r>
              <w:rPr>
                <w:highlight w:val="yellow"/>
              </w:rPr>
              <w:t>INSERT RATE</w:t>
            </w:r>
            <w:r>
              <w:t>] per hour; (b) engineering resources: USD $</w:t>
            </w:r>
            <w:r>
              <w:rPr>
                <w:highlight w:val="yellow"/>
              </w:rPr>
              <w:t>[INSERT RATE</w:t>
            </w:r>
            <w:r>
              <w:t>] per hour.]</w:t>
            </w:r>
          </w:p>
        </w:tc>
      </w:tr>
    </w:tbl>
    <w:p w14:paraId="00000028" w14:textId="77777777" w:rsidR="00EA4A2A" w:rsidRDefault="00EA4A2A">
      <w:pPr>
        <w:widowControl w:val="0"/>
        <w:pBdr>
          <w:top w:val="nil"/>
          <w:left w:val="nil"/>
          <w:bottom w:val="nil"/>
          <w:right w:val="nil"/>
          <w:between w:val="nil"/>
        </w:pBdr>
        <w:spacing w:after="120"/>
        <w:rPr>
          <w:color w:val="000000"/>
        </w:rPr>
      </w:pPr>
    </w:p>
    <w:p w14:paraId="00000029" w14:textId="77777777" w:rsidR="00EA4A2A" w:rsidRDefault="00000000">
      <w:pPr>
        <w:spacing w:before="220" w:line="230" w:lineRule="auto"/>
        <w:ind w:right="80"/>
      </w:pPr>
      <w:r>
        <w:lastRenderedPageBreak/>
        <w:t xml:space="preserve">The individuals signing below represent and warrant that they are duly authorized to execute this Order Form as of the date signed, and to bind the entities listed below to the terms of this Order Form and the Terms &amp; Conditions. </w:t>
      </w:r>
      <w:r>
        <w:rPr>
          <w:color w:val="000000"/>
        </w:rPr>
        <w:t>This Order Form may be executed in a number of identical counterparts which, taken together, constitute collectively one and the same agreement.</w:t>
      </w:r>
    </w:p>
    <w:p w14:paraId="0000002A" w14:textId="77777777" w:rsidR="00EA4A2A" w:rsidRDefault="00EA4A2A">
      <w:pPr>
        <w:widowControl w:val="0"/>
        <w:pBdr>
          <w:top w:val="nil"/>
          <w:left w:val="nil"/>
          <w:bottom w:val="nil"/>
          <w:right w:val="nil"/>
          <w:between w:val="nil"/>
        </w:pBdr>
        <w:spacing w:after="120"/>
        <w:rPr>
          <w:color w:val="000000"/>
        </w:rPr>
      </w:pPr>
    </w:p>
    <w:p w14:paraId="0000002B" w14:textId="77777777" w:rsidR="00EA4A2A" w:rsidRDefault="00000000">
      <w:pPr>
        <w:widowControl w:val="0"/>
        <w:pBdr>
          <w:top w:val="nil"/>
          <w:left w:val="nil"/>
          <w:bottom w:val="nil"/>
          <w:right w:val="nil"/>
          <w:between w:val="nil"/>
        </w:pBdr>
        <w:spacing w:after="120"/>
        <w:rPr>
          <w:b/>
          <w:bCs/>
          <w:color w:val="000000"/>
          <w:u w:val="single"/>
        </w:rPr>
      </w:pPr>
      <w:r>
        <w:rPr>
          <w:b/>
          <w:bCs/>
          <w:color w:val="000000"/>
        </w:rPr>
        <w:t>Rogo Technologies, Inc.</w:t>
      </w:r>
      <w:r>
        <w:rPr>
          <w:b/>
          <w:bCs/>
          <w:color w:val="000000"/>
        </w:rPr>
        <w:tab/>
      </w:r>
      <w:r>
        <w:rPr>
          <w:b/>
          <w:bCs/>
          <w:color w:val="000000"/>
        </w:rPr>
        <w:tab/>
      </w:r>
      <w:r>
        <w:rPr>
          <w:b/>
          <w:bCs/>
          <w:color w:val="000000"/>
        </w:rPr>
        <w:tab/>
      </w:r>
      <w:r>
        <w:rPr>
          <w:b/>
          <w:bCs/>
          <w:color w:val="000000"/>
        </w:rPr>
        <w:tab/>
        <w:t>Customer</w:t>
      </w:r>
    </w:p>
    <w:p w14:paraId="0000002C" w14:textId="77777777" w:rsidR="00EA4A2A" w:rsidRDefault="00EA4A2A">
      <w:pPr>
        <w:widowControl w:val="0"/>
        <w:pBdr>
          <w:top w:val="nil"/>
          <w:left w:val="nil"/>
          <w:bottom w:val="nil"/>
          <w:right w:val="nil"/>
          <w:between w:val="nil"/>
        </w:pBdr>
        <w:spacing w:after="120"/>
        <w:rPr>
          <w:color w:val="000000"/>
        </w:rPr>
      </w:pPr>
    </w:p>
    <w:p w14:paraId="0000002D" w14:textId="77777777" w:rsidR="00EA4A2A" w:rsidRDefault="00000000">
      <w:pPr>
        <w:widowControl w:val="0"/>
        <w:pBdr>
          <w:top w:val="nil"/>
          <w:left w:val="nil"/>
          <w:bottom w:val="nil"/>
          <w:right w:val="nil"/>
          <w:between w:val="nil"/>
        </w:pBdr>
        <w:spacing w:after="120"/>
        <w:rPr>
          <w:color w:val="000000"/>
        </w:rPr>
      </w:pPr>
      <w:r>
        <w:rPr>
          <w:color w:val="000000"/>
        </w:rPr>
        <w:t>By:</w:t>
      </w:r>
      <w:r>
        <w:rPr>
          <w:color w:val="000000"/>
          <w:u w:val="single"/>
        </w:rPr>
        <w:tab/>
      </w:r>
      <w:r>
        <w:rPr>
          <w:color w:val="000000"/>
          <w:u w:val="single"/>
        </w:rPr>
        <w:tab/>
      </w:r>
      <w:r>
        <w:rPr>
          <w:color w:val="000000"/>
          <w:u w:val="single"/>
        </w:rPr>
        <w:tab/>
      </w:r>
      <w:r>
        <w:rPr>
          <w:color w:val="000000"/>
          <w:u w:val="single"/>
        </w:rPr>
        <w:tab/>
      </w:r>
      <w:r>
        <w:rPr>
          <w:color w:val="000000"/>
          <w:u w:val="single"/>
        </w:rPr>
        <w:tab/>
      </w:r>
      <w:r>
        <w:rPr>
          <w:color w:val="000000"/>
        </w:rPr>
        <w:tab/>
        <w:t xml:space="preserve">By: </w:t>
      </w:r>
      <w:r>
        <w:rPr>
          <w:color w:val="000000"/>
          <w:u w:val="single"/>
        </w:rPr>
        <w:tab/>
      </w:r>
      <w:r>
        <w:rPr>
          <w:color w:val="000000"/>
          <w:u w:val="single"/>
        </w:rPr>
        <w:tab/>
      </w:r>
      <w:r>
        <w:rPr>
          <w:color w:val="000000"/>
          <w:u w:val="single"/>
        </w:rPr>
        <w:tab/>
      </w:r>
      <w:r>
        <w:rPr>
          <w:color w:val="000000"/>
          <w:u w:val="single"/>
        </w:rPr>
        <w:tab/>
      </w:r>
      <w:r>
        <w:rPr>
          <w:color w:val="000000"/>
          <w:u w:val="single"/>
        </w:rPr>
        <w:tab/>
      </w:r>
      <w:r>
        <w:rPr>
          <w:color w:val="000000"/>
          <w:u w:val="single"/>
        </w:rPr>
        <w:tab/>
      </w:r>
    </w:p>
    <w:p w14:paraId="0000002E" w14:textId="77777777" w:rsidR="00EA4A2A" w:rsidRDefault="00EA4A2A">
      <w:pPr>
        <w:widowControl w:val="0"/>
        <w:pBdr>
          <w:top w:val="nil"/>
          <w:left w:val="nil"/>
          <w:bottom w:val="nil"/>
          <w:right w:val="nil"/>
          <w:between w:val="nil"/>
        </w:pBdr>
        <w:spacing w:after="120"/>
        <w:rPr>
          <w:color w:val="000000"/>
        </w:rPr>
      </w:pPr>
    </w:p>
    <w:p w14:paraId="0000002F" w14:textId="77777777" w:rsidR="00EA4A2A" w:rsidRDefault="00000000">
      <w:pPr>
        <w:widowControl w:val="0"/>
        <w:pBdr>
          <w:top w:val="nil"/>
          <w:left w:val="nil"/>
          <w:bottom w:val="nil"/>
          <w:right w:val="nil"/>
          <w:between w:val="nil"/>
        </w:pBdr>
        <w:spacing w:after="120"/>
        <w:rPr>
          <w:color w:val="000000"/>
          <w:u w:val="single"/>
        </w:rPr>
      </w:pPr>
      <w:r>
        <w:rPr>
          <w:color w:val="000000"/>
        </w:rPr>
        <w:t>Name:</w:t>
      </w:r>
      <w:r>
        <w:rPr>
          <w:color w:val="000000"/>
          <w:u w:val="single"/>
        </w:rPr>
        <w:tab/>
      </w:r>
      <w:r>
        <w:rPr>
          <w:color w:val="000000"/>
          <w:u w:val="single"/>
        </w:rPr>
        <w:tab/>
      </w:r>
      <w:r>
        <w:rPr>
          <w:color w:val="000000"/>
          <w:u w:val="single"/>
        </w:rPr>
        <w:tab/>
      </w:r>
      <w:r>
        <w:rPr>
          <w:color w:val="000000"/>
          <w:u w:val="single"/>
        </w:rPr>
        <w:tab/>
      </w:r>
      <w:r>
        <w:rPr>
          <w:color w:val="000000"/>
          <w:u w:val="single"/>
        </w:rPr>
        <w:tab/>
      </w:r>
      <w:r>
        <w:rPr>
          <w:color w:val="000000"/>
        </w:rPr>
        <w:tab/>
        <w:t>Name:</w:t>
      </w:r>
      <w:r>
        <w:rPr>
          <w:color w:val="000000"/>
          <w:u w:val="single"/>
        </w:rPr>
        <w:tab/>
      </w:r>
      <w:r>
        <w:rPr>
          <w:color w:val="000000"/>
          <w:u w:val="single"/>
        </w:rPr>
        <w:tab/>
      </w:r>
      <w:r>
        <w:rPr>
          <w:color w:val="000000"/>
          <w:u w:val="single"/>
        </w:rPr>
        <w:tab/>
      </w:r>
      <w:r>
        <w:rPr>
          <w:color w:val="000000"/>
          <w:u w:val="single"/>
        </w:rPr>
        <w:tab/>
      </w:r>
      <w:r>
        <w:rPr>
          <w:color w:val="000000"/>
          <w:u w:val="single"/>
        </w:rPr>
        <w:tab/>
      </w:r>
      <w:r>
        <w:rPr>
          <w:color w:val="000000"/>
          <w:u w:val="single"/>
        </w:rPr>
        <w:tab/>
      </w:r>
    </w:p>
    <w:p w14:paraId="00000030" w14:textId="77777777" w:rsidR="00EA4A2A" w:rsidRDefault="00EA4A2A">
      <w:pPr>
        <w:widowControl w:val="0"/>
        <w:pBdr>
          <w:top w:val="nil"/>
          <w:left w:val="nil"/>
          <w:bottom w:val="nil"/>
          <w:right w:val="nil"/>
          <w:between w:val="nil"/>
        </w:pBdr>
        <w:spacing w:after="120"/>
        <w:rPr>
          <w:color w:val="000000"/>
          <w:u w:val="single"/>
        </w:rPr>
      </w:pPr>
    </w:p>
    <w:p w14:paraId="00000031" w14:textId="77777777" w:rsidR="00EA4A2A" w:rsidRDefault="00000000">
      <w:pPr>
        <w:widowControl w:val="0"/>
        <w:pBdr>
          <w:top w:val="nil"/>
          <w:left w:val="nil"/>
          <w:bottom w:val="nil"/>
          <w:right w:val="nil"/>
          <w:between w:val="nil"/>
        </w:pBdr>
        <w:spacing w:after="120"/>
        <w:rPr>
          <w:color w:val="000000"/>
          <w:u w:val="single"/>
        </w:rPr>
      </w:pPr>
      <w:r>
        <w:rPr>
          <w:color w:val="000000"/>
        </w:rPr>
        <w:t>Title:</w:t>
      </w:r>
      <w:r>
        <w:rPr>
          <w:color w:val="000000"/>
          <w:u w:val="single"/>
        </w:rPr>
        <w:tab/>
      </w:r>
      <w:r>
        <w:rPr>
          <w:color w:val="000000"/>
          <w:u w:val="single"/>
        </w:rPr>
        <w:tab/>
      </w:r>
      <w:r>
        <w:rPr>
          <w:color w:val="000000"/>
          <w:u w:val="single"/>
        </w:rPr>
        <w:tab/>
      </w:r>
      <w:r>
        <w:rPr>
          <w:color w:val="000000"/>
          <w:u w:val="single"/>
        </w:rPr>
        <w:tab/>
      </w:r>
      <w:r>
        <w:rPr>
          <w:color w:val="000000"/>
          <w:u w:val="single"/>
        </w:rPr>
        <w:tab/>
      </w:r>
      <w:r>
        <w:rPr>
          <w:color w:val="000000"/>
        </w:rPr>
        <w:tab/>
        <w:t>Title:</w:t>
      </w:r>
      <w:r>
        <w:rPr>
          <w:color w:val="000000"/>
          <w:u w:val="single"/>
        </w:rPr>
        <w:t xml:space="preserve"> </w:t>
      </w:r>
      <w:r>
        <w:rPr>
          <w:color w:val="000000"/>
          <w:u w:val="single"/>
        </w:rPr>
        <w:tab/>
      </w:r>
      <w:r>
        <w:rPr>
          <w:color w:val="000000"/>
          <w:u w:val="single"/>
        </w:rPr>
        <w:tab/>
      </w:r>
      <w:r>
        <w:rPr>
          <w:color w:val="000000"/>
          <w:u w:val="single"/>
        </w:rPr>
        <w:tab/>
      </w:r>
      <w:r>
        <w:rPr>
          <w:color w:val="000000"/>
          <w:u w:val="single"/>
        </w:rPr>
        <w:tab/>
      </w:r>
      <w:r>
        <w:rPr>
          <w:color w:val="000000"/>
          <w:u w:val="single"/>
        </w:rPr>
        <w:tab/>
      </w:r>
      <w:r>
        <w:rPr>
          <w:color w:val="000000"/>
          <w:u w:val="single"/>
        </w:rPr>
        <w:tab/>
      </w:r>
    </w:p>
    <w:p w14:paraId="00000032" w14:textId="77777777" w:rsidR="00EA4A2A" w:rsidRDefault="00EA4A2A">
      <w:pPr>
        <w:widowControl w:val="0"/>
        <w:pBdr>
          <w:top w:val="nil"/>
          <w:left w:val="nil"/>
          <w:bottom w:val="nil"/>
          <w:right w:val="nil"/>
          <w:between w:val="nil"/>
        </w:pBdr>
        <w:spacing w:after="120"/>
        <w:rPr>
          <w:color w:val="000000"/>
          <w:u w:val="single"/>
        </w:rPr>
      </w:pPr>
    </w:p>
    <w:p w14:paraId="00000033" w14:textId="77777777" w:rsidR="00EA4A2A" w:rsidRDefault="00000000">
      <w:pPr>
        <w:widowControl w:val="0"/>
        <w:pBdr>
          <w:top w:val="nil"/>
          <w:left w:val="nil"/>
          <w:bottom w:val="nil"/>
          <w:right w:val="nil"/>
          <w:between w:val="nil"/>
        </w:pBdr>
        <w:spacing w:after="120"/>
        <w:rPr>
          <w:color w:val="000000"/>
        </w:rPr>
        <w:sectPr w:rsidR="00EA4A2A">
          <w:footerReference w:type="first" r:id="rId12"/>
          <w:pgSz w:w="12240" w:h="15840"/>
          <w:pgMar w:top="1440" w:right="1440" w:bottom="1440" w:left="1440" w:header="720" w:footer="720" w:gutter="0"/>
          <w:pgNumType w:start="1"/>
          <w:cols w:space="720"/>
          <w:titlePg/>
        </w:sectPr>
      </w:pPr>
      <w:r>
        <w:rPr>
          <w:color w:val="000000"/>
        </w:rPr>
        <w:t>Date:</w:t>
      </w:r>
      <w:r>
        <w:rPr>
          <w:color w:val="000000"/>
          <w:u w:val="single"/>
        </w:rPr>
        <w:tab/>
      </w:r>
      <w:r>
        <w:rPr>
          <w:color w:val="000000"/>
          <w:u w:val="single"/>
        </w:rPr>
        <w:tab/>
      </w:r>
      <w:r>
        <w:rPr>
          <w:color w:val="000000"/>
          <w:u w:val="single"/>
        </w:rPr>
        <w:tab/>
      </w:r>
      <w:r>
        <w:rPr>
          <w:color w:val="000000"/>
          <w:u w:val="single"/>
        </w:rPr>
        <w:tab/>
      </w:r>
      <w:r>
        <w:rPr>
          <w:color w:val="000000"/>
          <w:u w:val="single"/>
        </w:rPr>
        <w:tab/>
      </w:r>
      <w:r>
        <w:rPr>
          <w:color w:val="000000"/>
        </w:rPr>
        <w:tab/>
        <w:t xml:space="preserve">Date: </w:t>
      </w:r>
      <w:r>
        <w:rPr>
          <w:color w:val="000000"/>
          <w:u w:val="single"/>
        </w:rPr>
        <w:tab/>
      </w:r>
      <w:r>
        <w:rPr>
          <w:color w:val="000000"/>
          <w:u w:val="single"/>
        </w:rPr>
        <w:tab/>
      </w:r>
      <w:r>
        <w:rPr>
          <w:color w:val="000000"/>
          <w:u w:val="single"/>
        </w:rPr>
        <w:tab/>
      </w:r>
      <w:r>
        <w:rPr>
          <w:color w:val="000000"/>
          <w:u w:val="single"/>
        </w:rPr>
        <w:tab/>
      </w:r>
      <w:r>
        <w:rPr>
          <w:color w:val="000000"/>
          <w:u w:val="single"/>
        </w:rPr>
        <w:tab/>
      </w:r>
      <w:r>
        <w:rPr>
          <w:color w:val="000000"/>
          <w:u w:val="single"/>
        </w:rPr>
        <w:tab/>
      </w:r>
    </w:p>
    <w:p w14:paraId="00000034" w14:textId="77777777" w:rsidR="00EA4A2A" w:rsidRDefault="00000000">
      <w:pPr>
        <w:spacing w:line="276" w:lineRule="auto"/>
        <w:jc w:val="center"/>
        <w:rPr>
          <w:b/>
          <w:bCs/>
          <w:u w:val="single"/>
        </w:rPr>
      </w:pPr>
      <w:r>
        <w:rPr>
          <w:b/>
          <w:bCs/>
          <w:u w:val="single"/>
        </w:rPr>
        <w:lastRenderedPageBreak/>
        <w:t>EXHIBIT A</w:t>
      </w:r>
    </w:p>
    <w:p w14:paraId="00000035" w14:textId="77777777" w:rsidR="00EA4A2A" w:rsidRDefault="00000000">
      <w:pPr>
        <w:spacing w:after="240" w:line="276" w:lineRule="auto"/>
        <w:jc w:val="center"/>
        <w:rPr>
          <w:b/>
          <w:bCs/>
          <w:u w:val="single"/>
        </w:rPr>
      </w:pPr>
      <w:r>
        <w:rPr>
          <w:b/>
          <w:bCs/>
          <w:u w:val="single"/>
        </w:rPr>
        <w:t>Credit Addendum</w:t>
      </w:r>
    </w:p>
    <w:p w14:paraId="00000036" w14:textId="77777777" w:rsidR="00EA4A2A" w:rsidRDefault="00000000">
      <w:pPr>
        <w:tabs>
          <w:tab w:val="right" w:pos="4824"/>
        </w:tabs>
      </w:pPr>
      <w:r>
        <w:rPr>
          <w:u w:val="single"/>
        </w:rPr>
        <w:t>Credit Commitment</w:t>
      </w:r>
      <w:r>
        <w:t xml:space="preserve">: Customer’s access to the Platform includes a Credit Allocation as set forth in the Order Form, which will be applied against Customer’s and its Authorized Users’ use of the Platform. The Credit Allocation constitutes a Customer-wide pool available to Customer and its Authorized Users. </w:t>
      </w:r>
    </w:p>
    <w:p w14:paraId="00000037" w14:textId="77777777" w:rsidR="00EA4A2A" w:rsidRDefault="00EA4A2A"/>
    <w:p w14:paraId="00000038" w14:textId="77777777" w:rsidR="00EA4A2A" w:rsidRDefault="00000000">
      <w:r>
        <w:rPr>
          <w:u w:val="single"/>
        </w:rPr>
        <w:t>Credit Consumption</w:t>
      </w:r>
      <w:r>
        <w:t>: The number of Credits consumed by a particular action or feature will vary based on factors determined by Rogo, including the complexity and resource intensity of the applicable action or workflows. Customer will have the option to configure the rate of Credit consumption by choosing between different models within the Platform.</w:t>
      </w:r>
    </w:p>
    <w:p w14:paraId="00000039" w14:textId="77777777" w:rsidR="00EA4A2A" w:rsidRDefault="00EA4A2A">
      <w:pPr>
        <w:rPr>
          <w:u w:val="single"/>
        </w:rPr>
      </w:pPr>
    </w:p>
    <w:p w14:paraId="0000003A" w14:textId="77777777" w:rsidR="00EA4A2A" w:rsidRDefault="00000000">
      <w:r>
        <w:rPr>
          <w:u w:val="single"/>
        </w:rPr>
        <w:t>Utilization Notice</w:t>
      </w:r>
      <w:r>
        <w:t>: Upon Customer reaching approximately eighty percent (80%) utilization of its Credit Allocation during any annual period, Rogo shall use reasonable efforts to notify Customer. At either party’s request, the parties shall engage in a good-faith commercial discussion regarding Customer’s anticipated usage requirements and potential options include adjustment of the subscription plan (and associated Credit Allocation) and/or acquisition of additional Credits based on Customer’s anticipated use on an ongoing basis, and the fees associated therewith.</w:t>
      </w:r>
    </w:p>
    <w:p w14:paraId="0000003B" w14:textId="77777777" w:rsidR="00EA4A2A" w:rsidRDefault="00EA4A2A"/>
    <w:p w14:paraId="0000003C" w14:textId="77777777" w:rsidR="00EA4A2A" w:rsidRDefault="00000000">
      <w:r>
        <w:rPr>
          <w:u w:val="single"/>
        </w:rPr>
        <w:t>Credit Expiration and Restrictions</w:t>
      </w:r>
      <w:r>
        <w:t>: Unused Credits will expire at the end of each annual period and will not roll over to any subsequent period. Credits have no cash value, are not redeemable for cash, are not transferable, and may not be sold, resold, assigned, sublicensed, or otherwise transferred to any third party. Credits may only be used by Customer in connection with Customer’s access to the Platform. All fees paid for credits are non-refundable except as expressly set forth in this Agreement. Credits will automatically expire if this Agreement expires or is terminated.</w:t>
      </w:r>
    </w:p>
    <w:p w14:paraId="0000003D" w14:textId="77777777" w:rsidR="00EA4A2A" w:rsidRDefault="00EA4A2A"/>
    <w:p w14:paraId="0000003E" w14:textId="77777777" w:rsidR="00EA4A2A" w:rsidRDefault="00EA4A2A">
      <w:pPr>
        <w:spacing w:after="240" w:line="276" w:lineRule="auto"/>
        <w:rPr>
          <w:b/>
          <w:bCs/>
          <w:u w:val="single"/>
        </w:rPr>
      </w:pPr>
    </w:p>
    <w:p w14:paraId="0000003F" w14:textId="77777777" w:rsidR="00EA4A2A" w:rsidRDefault="00EA4A2A">
      <w:pPr>
        <w:rPr>
          <w:b/>
          <w:bCs/>
          <w:u w:val="single"/>
        </w:rPr>
      </w:pPr>
    </w:p>
    <w:sectPr w:rsidR="00EA4A2A">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uisi Shang" w:date="2026-05-18T22:06:00Z" w:initials="">
    <w:p w14:paraId="00000048" w14:textId="77777777" w:rsidR="00EA4A2A" w:rsidRDefault="000E0E55">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why would we ever "N/A" this? at a minimum should the language be like "we will cover [X] hours of resources" or something if they want it to be "free" but we should always have the legal option to bill them if needed?</w:t>
      </w:r>
    </w:p>
    <w:p w14:paraId="00000049" w14:textId="77777777" w:rsidR="00EA4A2A" w:rsidRDefault="00EA4A2A">
      <w:pPr>
        <w:widowControl w:val="0"/>
        <w:pBdr>
          <w:top w:val="nil"/>
          <w:left w:val="nil"/>
          <w:bottom w:val="nil"/>
          <w:right w:val="nil"/>
          <w:between w:val="nil"/>
        </w:pBdr>
        <w:rPr>
          <w:rFonts w:ascii="Arial" w:eastAsia="Arial" w:hAnsi="Arial" w:cs="Arial"/>
          <w:color w:val="000000"/>
          <w:sz w:val="22"/>
          <w:szCs w:val="22"/>
        </w:rPr>
      </w:pPr>
    </w:p>
    <w:p w14:paraId="0000004A" w14:textId="77777777" w:rsidR="00EA4A2A"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cc - @rahul_francis@rogo.ai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4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4A" w16cid:durableId="0000004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5ED58" w14:textId="77777777" w:rsidR="00BF1C1E" w:rsidRDefault="00BF1C1E">
      <w:r>
        <w:separator/>
      </w:r>
    </w:p>
  </w:endnote>
  <w:endnote w:type="continuationSeparator" w:id="0">
    <w:p w14:paraId="2063583F" w14:textId="77777777" w:rsidR="00BF1C1E" w:rsidRDefault="00BF1C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embedRegular r:id="rId1" w:fontKey="{25951245-607C-9444-A404-B70EFD554EC3}"/>
  </w:font>
  <w:font w:name="Calibri">
    <w:panose1 w:val="020F0502020204030204"/>
    <w:charset w:val="00"/>
    <w:family w:val="swiss"/>
    <w:pitch w:val="variable"/>
    <w:sig w:usb0="E0002AFF" w:usb1="C000247B" w:usb2="00000009" w:usb3="00000000" w:csb0="000001FF" w:csb1="00000000"/>
    <w:embedRegular r:id="rId2" w:fontKey="{33DB2A26-0763-E746-BA18-B063659FD944}"/>
    <w:embedBold r:id="rId3" w:fontKey="{BF737CF3-9F51-E148-A028-8DFE2BE51958}"/>
    <w:embedBoldItalic r:id="rId4" w:fontKey="{AD726D3A-BB47-5F4B-B689-02CA613B3093}"/>
  </w:font>
  <w:font w:name="Times New Roman">
    <w:panose1 w:val="02020603050405020304"/>
    <w:charset w:val="00"/>
    <w:family w:val="roman"/>
    <w:pitch w:val="variable"/>
    <w:sig w:usb0="E0002EFF" w:usb1="C000785B" w:usb2="00000009" w:usb3="00000000" w:csb0="000001FF" w:csb1="00000000"/>
    <w:embedRegular r:id="rId5" w:fontKey="{6A6896FC-117C-4A47-B855-3FA9C68CD2AC}"/>
  </w:font>
  <w:font w:name="Arial">
    <w:panose1 w:val="020B0604020202020204"/>
    <w:charset w:val="00"/>
    <w:family w:val="swiss"/>
    <w:pitch w:val="variable"/>
    <w:sig w:usb0="E0002AFF" w:usb1="C0007843" w:usb2="00000009" w:usb3="00000000" w:csb0="000001FF" w:csb1="00000000"/>
    <w:embedRegular r:id="rId6" w:fontKey="{604F2966-164D-8843-9D83-AE31981743BE}"/>
  </w:font>
  <w:font w:name="Cambria">
    <w:panose1 w:val="02040503050406030204"/>
    <w:charset w:val="00"/>
    <w:family w:val="roman"/>
    <w:notTrueType/>
    <w:pitch w:val="variable"/>
    <w:sig w:usb0="E00002FF" w:usb1="400004FF" w:usb2="00000000" w:usb3="00000000" w:csb0="0000019F" w:csb1="00000000"/>
    <w:embedRegular r:id="rId7" w:fontKey="{D6DE0328-51C2-A448-9823-3FF9F4F4254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3" w14:textId="77777777" w:rsidR="00EA4A2A" w:rsidRDefault="00EA4A2A">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4" w14:textId="77777777" w:rsidR="00EA4A2A" w:rsidRDefault="00EA4A2A">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 w:name="_heading=h.e972mupfas1e" w:colFirst="0" w:colLast="0"/>
  <w:bookmarkEnd w:id="1"/>
  <w:p w14:paraId="00000045" w14:textId="77777777" w:rsidR="00EA4A2A" w:rsidRDefault="00000000">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0000046" w14:textId="77777777" w:rsidR="00EA4A2A" w:rsidRDefault="00EA4A2A">
    <w:pPr>
      <w:pBdr>
        <w:top w:val="nil"/>
        <w:left w:val="nil"/>
        <w:bottom w:val="nil"/>
        <w:right w:val="nil"/>
        <w:between w:val="nil"/>
      </w:pBdr>
      <w:tabs>
        <w:tab w:val="center" w:pos="4680"/>
        <w:tab w:val="right" w:pos="9360"/>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7" w14:textId="77777777" w:rsidR="00EA4A2A" w:rsidRDefault="00EA4A2A">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166E0" w14:textId="77777777" w:rsidR="00BF1C1E" w:rsidRDefault="00BF1C1E">
      <w:r>
        <w:separator/>
      </w:r>
    </w:p>
  </w:footnote>
  <w:footnote w:type="continuationSeparator" w:id="0">
    <w:p w14:paraId="7E015FFA" w14:textId="77777777" w:rsidR="00BF1C1E" w:rsidRDefault="00BF1C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0" w14:textId="77777777" w:rsidR="00EA4A2A" w:rsidRDefault="00EA4A2A">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1" w14:textId="77777777" w:rsidR="00EA4A2A" w:rsidRDefault="00EA4A2A">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2" w14:textId="77777777" w:rsidR="00EA4A2A" w:rsidRDefault="00EA4A2A">
    <w:pPr>
      <w:pBdr>
        <w:top w:val="nil"/>
        <w:left w:val="nil"/>
        <w:bottom w:val="nil"/>
        <w:right w:val="nil"/>
        <w:between w:val="nil"/>
      </w:pBdr>
      <w:spacing w:after="240"/>
      <w:jc w:val="right"/>
      <w:rPr>
        <w:color w:val="000000"/>
      </w:rPr>
    </w:pPr>
    <w:bookmarkStart w:id="2" w:name="_heading=h.cjbsjlq1bai0" w:colFirst="0" w:colLast="0"/>
    <w:bookmarkEnd w:id="2"/>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C240D9"/>
    <w:multiLevelType w:val="multilevel"/>
    <w:tmpl w:val="9190E4C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2076975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A2A"/>
    <w:rsid w:val="000E0E55"/>
    <w:rsid w:val="002F497F"/>
    <w:rsid w:val="00462895"/>
    <w:rsid w:val="00522497"/>
    <w:rsid w:val="005539FE"/>
    <w:rsid w:val="00704DD9"/>
    <w:rsid w:val="00722CDF"/>
    <w:rsid w:val="00783773"/>
    <w:rsid w:val="007F2CDC"/>
    <w:rsid w:val="00873DCB"/>
    <w:rsid w:val="00AC4184"/>
    <w:rsid w:val="00B05E7F"/>
    <w:rsid w:val="00BF1C1E"/>
    <w:rsid w:val="00DC7174"/>
    <w:rsid w:val="00EA4A2A"/>
    <w:rsid w:val="00F449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8998DF"/>
  <w15:docId w15:val="{6B81EF68-97A7-2041-A84F-F429403BE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8"/>
        <w:szCs w:val="18"/>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after="240"/>
      <w:outlineLvl w:val="0"/>
    </w:pPr>
  </w:style>
  <w:style w:type="paragraph" w:styleId="Heading2">
    <w:name w:val="heading 2"/>
    <w:basedOn w:val="Normal"/>
    <w:next w:val="Normal"/>
    <w:uiPriority w:val="9"/>
    <w:unhideWhenUsed/>
    <w:qFormat/>
    <w:pPr>
      <w:spacing w:after="240"/>
      <w:outlineLvl w:val="1"/>
    </w:pPr>
  </w:style>
  <w:style w:type="paragraph" w:styleId="Heading3">
    <w:name w:val="heading 3"/>
    <w:basedOn w:val="Normal"/>
    <w:next w:val="Normal"/>
    <w:uiPriority w:val="9"/>
    <w:semiHidden/>
    <w:unhideWhenUsed/>
    <w:qFormat/>
    <w:pPr>
      <w:spacing w:after="240"/>
      <w:outlineLvl w:val="2"/>
    </w:pPr>
  </w:style>
  <w:style w:type="paragraph" w:styleId="Heading4">
    <w:name w:val="heading 4"/>
    <w:basedOn w:val="Normal"/>
    <w:next w:val="Normal"/>
    <w:uiPriority w:val="9"/>
    <w:semiHidden/>
    <w:unhideWhenUsed/>
    <w:qFormat/>
    <w:pPr>
      <w:spacing w:after="240"/>
      <w:outlineLvl w:val="3"/>
    </w:pPr>
  </w:style>
  <w:style w:type="paragraph" w:styleId="Heading5">
    <w:name w:val="heading 5"/>
    <w:basedOn w:val="Normal"/>
    <w:next w:val="Normal"/>
    <w:uiPriority w:val="9"/>
    <w:semiHidden/>
    <w:unhideWhenUsed/>
    <w:qFormat/>
    <w:pPr>
      <w:spacing w:after="240"/>
      <w:outlineLvl w:val="4"/>
    </w:pPr>
  </w:style>
  <w:style w:type="paragraph" w:styleId="Heading6">
    <w:name w:val="heading 6"/>
    <w:basedOn w:val="Normal"/>
    <w:next w:val="Normal"/>
    <w:uiPriority w:val="9"/>
    <w:semiHidden/>
    <w:unhideWhenUsed/>
    <w:qFormat/>
    <w:pPr>
      <w:spacing w:after="240"/>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spacing w:after="240"/>
      <w:jc w:val="center"/>
    </w:pPr>
    <w:rPr>
      <w:b/>
      <w:bCs/>
      <w:smallCaps/>
    </w:rPr>
  </w:style>
  <w:style w:type="paragraph" w:styleId="Subtitle">
    <w:name w:val="Subtitle"/>
    <w:basedOn w:val="Normal"/>
    <w:next w:val="Normal"/>
    <w:uiPriority w:val="11"/>
    <w:qFormat/>
    <w:pPr>
      <w:keepNext/>
      <w:spacing w:after="240"/>
      <w:jc w:val="center"/>
    </w:pPr>
    <w:rPr>
      <w:b/>
      <w:bCs/>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LBUlozHQyEQDRTxA4aXxB86zbg==">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869</Words>
  <Characters>4976</Characters>
  <Application>Microsoft Office Word</Application>
  <DocSecurity>0</DocSecurity>
  <Lines>93</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Raheel Alam</cp:lastModifiedBy>
  <cp:revision>7</cp:revision>
  <dcterms:created xsi:type="dcterms:W3CDTF">2026-05-18T22:09:00Z</dcterms:created>
  <dcterms:modified xsi:type="dcterms:W3CDTF">2026-05-21T19:09:00Z</dcterms:modified>
</cp:coreProperties>
</file>