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Year-wise Vegetation and Green Cover Change in Lahore District, Pakistan (2017–2025): A Google Earth Engine-Based Random Forest Classification Approach</w:t>
      </w:r>
    </w:p>
    <w:p>
      <w:pPr>
        <w:spacing w:after="80"/>
        <w:jc w:val="center"/>
      </w:pPr>
      <w:r>
        <w:rPr>
          <w:b/>
          <w:bCs/>
          <w:sz w:val="24"/>
          <w:szCs w:val="24"/>
        </w:rPr>
        <w:t xml:space="preserve">Raheel Shaukat</w:t>
      </w:r>
    </w:p>
    <w:p>
      <w:pPr>
        <w:spacing w:after="60"/>
        <w:jc w:val="center"/>
      </w:pPr>
      <w:r>
        <w:rPr>
          <w:i/>
          <w:iCs/>
          <w:sz w:val="22"/>
          <w:szCs w:val="22"/>
        </w:rPr>
        <w:t xml:space="preserve">BS (Geography), University of the Punjab, Lahore, Pakistan</w:t>
      </w:r>
    </w:p>
    <w:p>
      <w:pPr>
        <w:spacing w:after="320"/>
        <w:jc w:val="center"/>
      </w:pPr>
      <w:r>
        <w:rPr>
          <w:color w:val="1155CC"/>
          <w:sz w:val="20"/>
          <w:szCs w:val="20"/>
        </w:rPr>
        <w:t xml:space="preserve">Correspondence: GitHub: github.com/raheelsha/Lahore-Green-Cover-2017-2025</w:t>
      </w:r>
    </w:p>
    <w:p>
      <w:pPr>
        <w:pStyle w:val="Heading1"/>
        <w:spacing w:after="160" w:before="320"/>
      </w:pPr>
      <w:r>
        <w:t xml:space="preserve">Abstract</w:t>
      </w:r>
    </w:p>
    <w:p>
      <w:pPr>
        <w:spacing w:after="160" w:line="360"/>
        <w:jc w:val="both"/>
      </w:pPr>
      <w:r>
        <w:rPr>
          <w:sz w:val="24"/>
          <w:szCs w:val="24"/>
        </w:rPr>
        <w:t xml:space="preserve">Lahore, Pakistan's second-largest city, has experienced rapid urbanisation over the past three decades, resulting in substantial loss of green cover and agricultural land. While Gilani and Ahmad (2018) documented this transformation from 1990 to 2017 using Landsat imagery, no systematic multi-year analysis has extended this work into the post-2017 period. This study presents a year-wise land cover classification of Lahore District from 2017 to 2025 using Landsat 8 OLI-TIRS and Landsat 9 OLI-2 surface reflectance imagery, processed within the Google Earth Engine (GEE) cloud computing platform. Annual winter median composites (November–April) were classified using a Random Forest (RF) algorithm trained on stratified samples derived from the ESA WorldCover v100/v200 (2020/2021) datasets, with a post-classification NDVI threshold applied to separate Greenery/Agriculture from Barren land. The five-class scheme — Tree Cover, Greenery/Agriculture, Built-up, Waterbody, and Barren — mirrors that of the reference study, enabling direct temporal comparison. Results indicate that the built-up fraction increased from approximately 30% in 2017 to 35% in 2025, while mean district NDVI declined from 0.393 to 0.346 over the same period. A transient increase in NDVI during 2019–2021 is attributed to a slowdown in construction activity during the COVID-19 pandemic. The RF classifier achieved an Overall Accuracy (OA) of 68.3% and a Kappa coefficient (κ) of 0.60. An interactive GEE web application accompanying this study is publicly accessible, enabling stakeholders to explore year-wise land cover dynamics. These findings reinforce the urgency of evidence-based urban greening policy for Lahore.</w:t>
      </w:r>
    </w:p>
    <w:p>
      <w:pPr>
        <w:spacing w:after="240"/>
      </w:pPr>
      <w:r>
        <w:rPr>
          <w:b/>
          <w:bCs/>
          <w:sz w:val="24"/>
          <w:szCs w:val="24"/>
        </w:rPr>
        <w:t xml:space="preserve">Keywords: </w:t>
      </w:r>
      <w:r>
        <w:rPr>
          <w:sz w:val="24"/>
          <w:szCs w:val="24"/>
        </w:rPr>
        <w:t xml:space="preserve">Lahore; land cover change; green cover; Random Forest; Google Earth Engine; Landsat; urban expansion; NDVI; Pakistan; remote sensing</w:t>
      </w:r>
    </w:p>
    <w:p>
      <w:pPr>
        <w:pStyle w:val="Heading1"/>
        <w:spacing w:after="160" w:before="320"/>
      </w:pPr>
      <w:r>
        <w:t xml:space="preserve">1. Introduction</w:t>
      </w:r>
    </w:p>
    <w:p>
      <w:pPr>
        <w:spacing w:after="160" w:line="360"/>
        <w:jc w:val="both"/>
      </w:pPr>
      <w:r>
        <w:rPr>
          <w:sz w:val="24"/>
          <w:szCs w:val="24"/>
        </w:rPr>
        <w:t xml:space="preserve">Rapid urbanisation in South Asian megacities has emerged as one of the most critical drivers of land cover change in the twenty-first century. Lahore, the capital of Punjab Province in Pakistan and home to over 13 million people, exemplifies this challenge. Historically celebrated as the "City of Gardens," Lahore has witnessed dramatic reductions in its tree canopy and agricultural fringe as infrastructure expansion, housing societies, and transport corridors have claimed land at an accelerating rate (</w:t>
      </w:r>
      <w:r>
        <w:rPr>
          <w:i/>
          <w:iCs/>
          <w:sz w:val="24"/>
          <w:szCs w:val="24"/>
        </w:rPr>
        <w:t xml:space="preserve">Ghani et al., 2018</w:t>
      </w:r>
      <w:r>
        <w:rPr>
          <w:sz w:val="24"/>
          <w:szCs w:val="24"/>
        </w:rPr>
        <w:t xml:space="preserve">; </w:t>
      </w:r>
      <w:r>
        <w:rPr>
          <w:i/>
          <w:iCs/>
          <w:sz w:val="24"/>
          <w:szCs w:val="24"/>
        </w:rPr>
        <w:t xml:space="preserve">Shirazi &amp; Kazmi, 2016</w:t>
      </w:r>
      <w:r>
        <w:rPr>
          <w:sz w:val="24"/>
          <w:szCs w:val="24"/>
        </w:rPr>
        <w:t xml:space="preserve">). The consequences extend beyond aesthetics: declining green cover intensifies the urban heat island (UHI) effect, degrades air quality, and reduces groundwater recharge in a city already facing aquifer depletion by 2040 (</w:t>
      </w:r>
      <w:r>
        <w:rPr>
          <w:i/>
          <w:iCs/>
          <w:sz w:val="24"/>
          <w:szCs w:val="24"/>
        </w:rPr>
        <w:t xml:space="preserve">Lahore Groundwater Review, 2014</w:t>
      </w:r>
      <w:r>
        <w:rPr>
          <w:sz w:val="24"/>
          <w:szCs w:val="24"/>
        </w:rPr>
        <w:t xml:space="preserve">).</w:t>
      </w:r>
    </w:p>
    <w:p>
      <w:pPr>
        <w:spacing w:after="160" w:line="360"/>
        <w:jc w:val="both"/>
      </w:pPr>
      <w:r>
        <w:rPr>
          <w:sz w:val="24"/>
          <w:szCs w:val="24"/>
        </w:rPr>
        <w:t xml:space="preserve">Gilani and Ahmad (2018) produced the first rigorous satellite-based assessment of this problem, using freely available Landsat imagery to map five land cover classes across Lahore District from 1990 to 2017. Their analysis revealed that the depletion of green cover during the seven-year period 2010–2017 exceeded the total loss recorded in the preceding two decades (1990–2010), signalling an acceleration of the crisis. However, no published study has systematically extended this analysis beyond 2017, leaving the post-2017 trajectory — which includes the CPEC-driven infrastructure boom, the 2018–2022 rapid housing expansion, and the COVID-19 pandemic period — undocumented in the peer-reviewed literature.</w:t>
      </w:r>
    </w:p>
    <w:p>
      <w:pPr>
        <w:spacing w:after="160" w:line="360"/>
        <w:jc w:val="both"/>
      </w:pPr>
      <w:r>
        <w:rPr>
          <w:sz w:val="24"/>
          <w:szCs w:val="24"/>
        </w:rPr>
        <w:t xml:space="preserve">This study addresses that gap by presenting a year-wise land cover classification of Lahore District from 2017 to 2025, using the Google Earth Engine (GEE) cloud computing platform (</w:t>
      </w:r>
      <w:r>
        <w:rPr>
          <w:i/>
          <w:iCs/>
          <w:sz w:val="24"/>
          <w:szCs w:val="24"/>
        </w:rPr>
        <w:t xml:space="preserve">Gorelick et al., 2017</w:t>
      </w:r>
      <w:r>
        <w:rPr>
          <w:sz w:val="24"/>
          <w:szCs w:val="24"/>
        </w:rPr>
        <w:t xml:space="preserve">), Landsat 8/9 surface reflectance data, and a Random Forest (RF) machine learning classifier (</w:t>
      </w:r>
      <w:r>
        <w:rPr>
          <w:i/>
          <w:iCs/>
          <w:sz w:val="24"/>
          <w:szCs w:val="24"/>
        </w:rPr>
        <w:t xml:space="preserve">Breiman, 2001</w:t>
      </w:r>
      <w:r>
        <w:rPr>
          <w:sz w:val="24"/>
          <w:szCs w:val="24"/>
        </w:rPr>
        <w:t xml:space="preserve">). Training samples are derived from the ESA WorldCover v100/v200 products (</w:t>
      </w:r>
      <w:r>
        <w:rPr>
          <w:i/>
          <w:iCs/>
          <w:sz w:val="24"/>
          <w:szCs w:val="24"/>
        </w:rPr>
        <w:t xml:space="preserve">Zanaga et al., 2022</w:t>
      </w:r>
      <w:r>
        <w:rPr>
          <w:sz w:val="24"/>
          <w:szCs w:val="24"/>
        </w:rPr>
        <w:t xml:space="preserve">), enabling a reproducible and data-driven classification without manual digitisation of ground truth. The five-class scheme of Gilani and Ahmad (2018) is adopted to ensure direct temporal comparability. An accompanying interactive GEE web application allows planners, researchers, and the public to explore year-specific land cover maps and trend charts.</w:t>
      </w:r>
    </w:p>
    <w:p>
      <w:pPr>
        <w:spacing w:after="160" w:line="360"/>
        <w:jc w:val="both"/>
      </w:pPr>
      <w:r>
        <w:rPr>
          <w:sz w:val="24"/>
          <w:szCs w:val="24"/>
        </w:rPr>
        <w:t xml:space="preserve">The primary objectives of this study are: (1) to produce annual land cover maps of Lahore District for 2017–2025; (2) to quantify changes in built-up, tree cover, and agricultural land; (3) to assess temporal trends in mean NDVI as a proxy for green cover health; and (4) to make all outputs publicly accessible via a GEE application and GitHub repository.</w:t>
      </w:r>
    </w:p>
    <w:p>
      <w:pPr>
        <w:pStyle w:val="Heading1"/>
        <w:spacing w:after="160" w:before="320"/>
      </w:pPr>
      <w:r>
        <w:t xml:space="preserve">2. Study Area</w:t>
      </w:r>
    </w:p>
    <w:p>
      <w:pPr>
        <w:spacing w:after="160" w:line="360"/>
        <w:jc w:val="both"/>
      </w:pPr>
      <w:r>
        <w:rPr>
          <w:sz w:val="24"/>
          <w:szCs w:val="24"/>
        </w:rPr>
        <w:t xml:space="preserve">Lahore District is located in northeastern Punjab, Pakistan (approximately 31.55°N, 74.35°E), bordering the Indian state of Punjab to the east along the Wagah–Attari international boundary. The district covers approximately 1,772 km² and encompasses both the densely urbanised Lahore metropolitan area and a substantial agricultural and peri-urban fringe. The Ravi River — historically the northern boundary of the city — flows along the northwestern edge of the district, though its flow has diminished significantly due to upstream diversion.</w:t>
      </w:r>
    </w:p>
    <w:p>
      <w:pPr>
        <w:spacing w:after="160" w:line="360"/>
        <w:jc w:val="both"/>
      </w:pPr>
      <w:r>
        <w:rPr>
          <w:sz w:val="24"/>
          <w:szCs w:val="24"/>
        </w:rPr>
        <w:t xml:space="preserve">Lahore experiences a semi-arid climate (Köppen BSh), with hot dry summers (April–June), a monsoon season (July–September), and a mild winter (November–February). The Rabi (winter) cropping season, during which wheat is the dominant crop, runs from October to April. This seasonal context is critical for remote sensing analysis: winter composites (November–April) consistently provide cloud-free Landsat imagery while also capturing actively growing winter crops, making them the preferred compositing window for land cover studies in this region.</w:t>
      </w:r>
    </w:p>
    <w:p>
      <w:pPr>
        <w:spacing w:after="160" w:line="360"/>
        <w:jc w:val="both"/>
      </w:pPr>
      <w:r>
        <w:rPr>
          <w:sz w:val="24"/>
          <w:szCs w:val="24"/>
        </w:rPr>
        <w:t xml:space="preserve">The administrative boundary used in this study was sourced from the geoBoundaries Pakistan Level-2 dataset and uploaded as a GEE asset (</w:t>
      </w:r>
      <w:r>
        <w:rPr>
          <w:i/>
          <w:iCs/>
          <w:sz w:val="24"/>
          <w:szCs w:val="24"/>
        </w:rPr>
        <w:t xml:space="preserve">projects/mediai-project/assets/Lahore_Boundaries</w:t>
      </w:r>
      <w:r>
        <w:rPr>
          <w:sz w:val="24"/>
          <w:szCs w:val="24"/>
        </w:rPr>
        <w:t xml:space="preserve">), ensuring consistency with official district delineation.</w:t>
      </w:r>
    </w:p>
    <w:p>
      <w:pPr>
        <w:pStyle w:val="Heading1"/>
        <w:spacing w:after="160" w:before="320"/>
      </w:pPr>
      <w:r>
        <w:t xml:space="preserve">3. Data and Methodology</w:t>
      </w:r>
    </w:p>
    <w:p>
      <w:pPr>
        <w:pStyle w:val="Heading2"/>
        <w:spacing w:after="120" w:before="240"/>
      </w:pPr>
      <w:r>
        <w:t xml:space="preserve">3.1 Satellite Data</w:t>
      </w:r>
    </w:p>
    <w:p>
      <w:pPr>
        <w:spacing w:after="160" w:line="360"/>
        <w:jc w:val="both"/>
      </w:pPr>
      <w:r>
        <w:rPr>
          <w:sz w:val="24"/>
          <w:szCs w:val="24"/>
        </w:rPr>
        <w:t xml:space="preserve">Annual land cover maps were generated from Landsat 8 OLI-TIRS and Landsat 9 OLI-2 imagery, both available as USGS Collection 2 Tier-1 Level-2 Surface Reflectance products in the GEE data catalogue (IDs: </w:t>
      </w:r>
      <w:r>
        <w:rPr>
          <w:i/>
          <w:iCs/>
          <w:sz w:val="24"/>
          <w:szCs w:val="24"/>
        </w:rPr>
        <w:t xml:space="preserve">LANDSAT/LC08/C02/T1_L2</w:t>
      </w:r>
      <w:r>
        <w:rPr>
          <w:sz w:val="24"/>
          <w:szCs w:val="24"/>
        </w:rPr>
        <w:t xml:space="preserve"> and </w:t>
      </w:r>
      <w:r>
        <w:rPr>
          <w:i/>
          <w:iCs/>
          <w:sz w:val="24"/>
          <w:szCs w:val="24"/>
        </w:rPr>
        <w:t xml:space="preserve">LANDSAT/LC09/C02/T1_L2</w:t>
      </w:r>
      <w:r>
        <w:rPr>
          <w:sz w:val="24"/>
          <w:szCs w:val="24"/>
        </w:rPr>
        <w:t xml:space="preserve">). Surface reflectance (SR) values were derived using the LaSRC atmospheric correction algorithm and scaled to physical units using the formula: SR = DN × 0.0000275 − 0.2 (USGS, 2021). For each year, Landsat 8 images were used for the full period (2017–2025); Landsat 9, launched in September 2021, was merged with Landsat 8 for composites from 2022 onward, effectively halving the revisit interval to eight days and improving cloud-free coverage.</w:t>
      </w:r>
    </w:p>
    <w:p>
      <w:pPr>
        <w:spacing w:after="160" w:line="360"/>
        <w:jc w:val="both"/>
      </w:pPr>
      <w:r>
        <w:rPr>
          <w:sz w:val="24"/>
          <w:szCs w:val="24"/>
        </w:rPr>
        <w:t xml:space="preserve">Cloud masking was performed using the QA_PIXEL band, retaining only pixels with clear-sky conditions (bits 1, 3, and 4 equal to zero, corresponding to absence of dilated cloud, cloud, and cloud shadow, respectively). For each year, images acquired between 1 November of the preceding year and 30 April of the target year were composited using the pixel-wise median, producing a single cloud-free representative image per year. This winter compositing window was selected to avoid the June–September monsoon season, during which persistent cloud cover renders Landsat optical data largely unusable over Lahore.</w:t>
      </w:r>
    </w:p>
    <w:p>
      <w:pPr>
        <w:pStyle w:val="Heading2"/>
        <w:spacing w:after="120" w:before="240"/>
      </w:pPr>
      <w:r>
        <w:t xml:space="preserve">3.2 Feature Extraction</w:t>
      </w:r>
    </w:p>
    <w:p>
      <w:pPr>
        <w:spacing w:after="160" w:line="360"/>
        <w:jc w:val="both"/>
      </w:pPr>
      <w:r>
        <w:rPr>
          <w:sz w:val="24"/>
          <w:szCs w:val="24"/>
        </w:rPr>
        <w:t xml:space="preserve">Eleven spectral features were computed from each annual composite to serve as input to the Random Forest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shd w:fill="D9EAD3" w:val="clear"/>
          </w:tcPr>
          <w:p>
            <w:pPr>
              <w:spacing w:after="60"/>
            </w:pPr>
            <w:r>
              <w:rPr>
                <w:b/>
                <w:bCs/>
                <w:sz w:val="22"/>
                <w:szCs w:val="22"/>
              </w:rPr>
              <w:t xml:space="preserve">Feature</w:t>
            </w:r>
          </w:p>
        </w:tc>
        <w:tc>
          <w:tcPr>
            <w:tcW w:type="dxa" w:w="3120"/>
            <w:shd w:fill="D9EAD3" w:val="clear"/>
          </w:tcPr>
          <w:p>
            <w:pPr>
              <w:spacing w:after="60"/>
            </w:pPr>
            <w:r>
              <w:rPr>
                <w:b/>
                <w:bCs/>
                <w:sz w:val="22"/>
                <w:szCs w:val="22"/>
              </w:rPr>
              <w:t xml:space="preserve">Formula / Bands</w:t>
            </w:r>
          </w:p>
        </w:tc>
        <w:tc>
          <w:tcPr>
            <w:tcW w:type="dxa" w:w="3120"/>
            <w:shd w:fill="D9EAD3" w:val="clear"/>
          </w:tcPr>
          <w:p>
            <w:pPr>
              <w:spacing w:after="60"/>
            </w:pPr>
            <w:r>
              <w:rPr>
                <w:b/>
                <w:bCs/>
                <w:sz w:val="22"/>
                <w:szCs w:val="22"/>
              </w:rPr>
              <w:t xml:space="preserve">Purpose</w:t>
            </w:r>
          </w:p>
        </w:tc>
      </w:tr>
      <w:tr>
        <w:tc>
          <w:tcPr>
            <w:tcW w:type="dxa" w:w="3120"/>
          </w:tcPr>
          <w:p>
            <w:pPr>
              <w:spacing w:after="60"/>
            </w:pPr>
            <w:r>
              <w:rPr>
                <w:b w:val="false"/>
                <w:bCs w:val="false"/>
                <w:sz w:val="20"/>
                <w:szCs w:val="20"/>
              </w:rPr>
              <w:t xml:space="preserve">SR_B2 (Blue)</w:t>
            </w:r>
          </w:p>
        </w:tc>
        <w:tc>
          <w:tcPr>
            <w:tcW w:type="dxa" w:w="3120"/>
          </w:tcPr>
          <w:p>
            <w:pPr>
              <w:spacing w:after="60"/>
            </w:pPr>
            <w:r>
              <w:rPr>
                <w:b w:val="false"/>
                <w:bCs w:val="false"/>
                <w:sz w:val="20"/>
                <w:szCs w:val="20"/>
              </w:rPr>
              <w:t xml:space="preserve">Band 2</w:t>
            </w:r>
          </w:p>
        </w:tc>
        <w:tc>
          <w:tcPr>
            <w:tcW w:type="dxa" w:w="3120"/>
          </w:tcPr>
          <w:p>
            <w:pPr>
              <w:spacing w:after="60"/>
            </w:pPr>
            <w:r>
              <w:rPr>
                <w:b w:val="false"/>
                <w:bCs w:val="false"/>
                <w:sz w:val="20"/>
                <w:szCs w:val="20"/>
              </w:rPr>
              <w:t xml:space="preserve">Spectral reflectance</w:t>
            </w:r>
          </w:p>
        </w:tc>
      </w:tr>
      <w:tr>
        <w:tc>
          <w:tcPr>
            <w:tcW w:type="dxa" w:w="3120"/>
          </w:tcPr>
          <w:p>
            <w:pPr>
              <w:spacing w:after="60"/>
            </w:pPr>
            <w:r>
              <w:rPr>
                <w:b w:val="false"/>
                <w:bCs w:val="false"/>
                <w:sz w:val="20"/>
                <w:szCs w:val="20"/>
              </w:rPr>
              <w:t xml:space="preserve">SR_B3 (Green)</w:t>
            </w:r>
          </w:p>
        </w:tc>
        <w:tc>
          <w:tcPr>
            <w:tcW w:type="dxa" w:w="3120"/>
          </w:tcPr>
          <w:p>
            <w:pPr>
              <w:spacing w:after="60"/>
            </w:pPr>
            <w:r>
              <w:rPr>
                <w:b w:val="false"/>
                <w:bCs w:val="false"/>
                <w:sz w:val="20"/>
                <w:szCs w:val="20"/>
              </w:rPr>
              <w:t xml:space="preserve">Band 3</w:t>
            </w:r>
          </w:p>
        </w:tc>
        <w:tc>
          <w:tcPr>
            <w:tcW w:type="dxa" w:w="3120"/>
          </w:tcPr>
          <w:p>
            <w:pPr>
              <w:spacing w:after="60"/>
            </w:pPr>
            <w:r>
              <w:rPr>
                <w:b w:val="false"/>
                <w:bCs w:val="false"/>
                <w:sz w:val="20"/>
                <w:szCs w:val="20"/>
              </w:rPr>
              <w:t xml:space="preserve">Spectral reflectance</w:t>
            </w:r>
          </w:p>
        </w:tc>
      </w:tr>
      <w:tr>
        <w:tc>
          <w:tcPr>
            <w:tcW w:type="dxa" w:w="3120"/>
          </w:tcPr>
          <w:p>
            <w:pPr>
              <w:spacing w:after="60"/>
            </w:pPr>
            <w:r>
              <w:rPr>
                <w:b w:val="false"/>
                <w:bCs w:val="false"/>
                <w:sz w:val="20"/>
                <w:szCs w:val="20"/>
              </w:rPr>
              <w:t xml:space="preserve">SR_B4 (Red)</w:t>
            </w:r>
          </w:p>
        </w:tc>
        <w:tc>
          <w:tcPr>
            <w:tcW w:type="dxa" w:w="3120"/>
          </w:tcPr>
          <w:p>
            <w:pPr>
              <w:spacing w:after="60"/>
            </w:pPr>
            <w:r>
              <w:rPr>
                <w:b w:val="false"/>
                <w:bCs w:val="false"/>
                <w:sz w:val="20"/>
                <w:szCs w:val="20"/>
              </w:rPr>
              <w:t xml:space="preserve">Band 4</w:t>
            </w:r>
          </w:p>
        </w:tc>
        <w:tc>
          <w:tcPr>
            <w:tcW w:type="dxa" w:w="3120"/>
          </w:tcPr>
          <w:p>
            <w:pPr>
              <w:spacing w:after="60"/>
            </w:pPr>
            <w:r>
              <w:rPr>
                <w:b w:val="false"/>
                <w:bCs w:val="false"/>
                <w:sz w:val="20"/>
                <w:szCs w:val="20"/>
              </w:rPr>
              <w:t xml:space="preserve">Spectral reflectance</w:t>
            </w:r>
          </w:p>
        </w:tc>
      </w:tr>
      <w:tr>
        <w:tc>
          <w:tcPr>
            <w:tcW w:type="dxa" w:w="3120"/>
          </w:tcPr>
          <w:p>
            <w:pPr>
              <w:spacing w:after="60"/>
            </w:pPr>
            <w:r>
              <w:rPr>
                <w:b w:val="false"/>
                <w:bCs w:val="false"/>
                <w:sz w:val="20"/>
                <w:szCs w:val="20"/>
              </w:rPr>
              <w:t xml:space="preserve">SR_B5 (NIR)</w:t>
            </w:r>
          </w:p>
        </w:tc>
        <w:tc>
          <w:tcPr>
            <w:tcW w:type="dxa" w:w="3120"/>
          </w:tcPr>
          <w:p>
            <w:pPr>
              <w:spacing w:after="60"/>
            </w:pPr>
            <w:r>
              <w:rPr>
                <w:b w:val="false"/>
                <w:bCs w:val="false"/>
                <w:sz w:val="20"/>
                <w:szCs w:val="20"/>
              </w:rPr>
              <w:t xml:space="preserve">Band 5</w:t>
            </w:r>
          </w:p>
        </w:tc>
        <w:tc>
          <w:tcPr>
            <w:tcW w:type="dxa" w:w="3120"/>
          </w:tcPr>
          <w:p>
            <w:pPr>
              <w:spacing w:after="60"/>
            </w:pPr>
            <w:r>
              <w:rPr>
                <w:b w:val="false"/>
                <w:bCs w:val="false"/>
                <w:sz w:val="20"/>
                <w:szCs w:val="20"/>
              </w:rPr>
              <w:t xml:space="preserve">Spectral reflectance</w:t>
            </w:r>
          </w:p>
        </w:tc>
      </w:tr>
      <w:tr>
        <w:tc>
          <w:tcPr>
            <w:tcW w:type="dxa" w:w="3120"/>
          </w:tcPr>
          <w:p>
            <w:pPr>
              <w:spacing w:after="60"/>
            </w:pPr>
            <w:r>
              <w:rPr>
                <w:b w:val="false"/>
                <w:bCs w:val="false"/>
                <w:sz w:val="20"/>
                <w:szCs w:val="20"/>
              </w:rPr>
              <w:t xml:space="preserve">SR_B6 (SWIR1)</w:t>
            </w:r>
          </w:p>
        </w:tc>
        <w:tc>
          <w:tcPr>
            <w:tcW w:type="dxa" w:w="3120"/>
          </w:tcPr>
          <w:p>
            <w:pPr>
              <w:spacing w:after="60"/>
            </w:pPr>
            <w:r>
              <w:rPr>
                <w:b w:val="false"/>
                <w:bCs w:val="false"/>
                <w:sz w:val="20"/>
                <w:szCs w:val="20"/>
              </w:rPr>
              <w:t xml:space="preserve">Band 6</w:t>
            </w:r>
          </w:p>
        </w:tc>
        <w:tc>
          <w:tcPr>
            <w:tcW w:type="dxa" w:w="3120"/>
          </w:tcPr>
          <w:p>
            <w:pPr>
              <w:spacing w:after="60"/>
            </w:pPr>
            <w:r>
              <w:rPr>
                <w:b w:val="false"/>
                <w:bCs w:val="false"/>
                <w:sz w:val="20"/>
                <w:szCs w:val="20"/>
              </w:rPr>
              <w:t xml:space="preserve">Spectral reflectance</w:t>
            </w:r>
          </w:p>
        </w:tc>
      </w:tr>
      <w:tr>
        <w:tc>
          <w:tcPr>
            <w:tcW w:type="dxa" w:w="3120"/>
          </w:tcPr>
          <w:p>
            <w:pPr>
              <w:spacing w:after="60"/>
            </w:pPr>
            <w:r>
              <w:rPr>
                <w:b w:val="false"/>
                <w:bCs w:val="false"/>
                <w:sz w:val="20"/>
                <w:szCs w:val="20"/>
              </w:rPr>
              <w:t xml:space="preserve">SR_B7 (SWIR2)</w:t>
            </w:r>
          </w:p>
        </w:tc>
        <w:tc>
          <w:tcPr>
            <w:tcW w:type="dxa" w:w="3120"/>
          </w:tcPr>
          <w:p>
            <w:pPr>
              <w:spacing w:after="60"/>
            </w:pPr>
            <w:r>
              <w:rPr>
                <w:b w:val="false"/>
                <w:bCs w:val="false"/>
                <w:sz w:val="20"/>
                <w:szCs w:val="20"/>
              </w:rPr>
              <w:t xml:space="preserve">Band 7</w:t>
            </w:r>
          </w:p>
        </w:tc>
        <w:tc>
          <w:tcPr>
            <w:tcW w:type="dxa" w:w="3120"/>
          </w:tcPr>
          <w:p>
            <w:pPr>
              <w:spacing w:after="60"/>
            </w:pPr>
            <w:r>
              <w:rPr>
                <w:b w:val="false"/>
                <w:bCs w:val="false"/>
                <w:sz w:val="20"/>
                <w:szCs w:val="20"/>
              </w:rPr>
              <w:t xml:space="preserve">Spectral reflectance</w:t>
            </w:r>
          </w:p>
        </w:tc>
      </w:tr>
      <w:tr>
        <w:tc>
          <w:tcPr>
            <w:tcW w:type="dxa" w:w="3120"/>
          </w:tcPr>
          <w:p>
            <w:pPr>
              <w:spacing w:after="60"/>
            </w:pPr>
            <w:r>
              <w:rPr>
                <w:b w:val="false"/>
                <w:bCs w:val="false"/>
                <w:sz w:val="20"/>
                <w:szCs w:val="20"/>
              </w:rPr>
              <w:t xml:space="preserve">NDVI</w:t>
            </w:r>
          </w:p>
        </w:tc>
        <w:tc>
          <w:tcPr>
            <w:tcW w:type="dxa" w:w="3120"/>
          </w:tcPr>
          <w:p>
            <w:pPr>
              <w:spacing w:after="60"/>
            </w:pPr>
            <w:r>
              <w:rPr>
                <w:b w:val="false"/>
                <w:bCs w:val="false"/>
                <w:sz w:val="20"/>
                <w:szCs w:val="20"/>
              </w:rPr>
              <w:t xml:space="preserve">(NIR−Red)/(NIR+Red)</w:t>
            </w:r>
          </w:p>
        </w:tc>
        <w:tc>
          <w:tcPr>
            <w:tcW w:type="dxa" w:w="3120"/>
          </w:tcPr>
          <w:p>
            <w:pPr>
              <w:spacing w:after="60"/>
            </w:pPr>
            <w:r>
              <w:rPr>
                <w:b w:val="false"/>
                <w:bCs w:val="false"/>
                <w:sz w:val="20"/>
                <w:szCs w:val="20"/>
              </w:rPr>
              <w:t xml:space="preserve">Vegetation density</w:t>
            </w:r>
          </w:p>
        </w:tc>
      </w:tr>
      <w:tr>
        <w:tc>
          <w:tcPr>
            <w:tcW w:type="dxa" w:w="3120"/>
          </w:tcPr>
          <w:p>
            <w:pPr>
              <w:spacing w:after="60"/>
            </w:pPr>
            <w:r>
              <w:rPr>
                <w:b w:val="false"/>
                <w:bCs w:val="false"/>
                <w:sz w:val="20"/>
                <w:szCs w:val="20"/>
              </w:rPr>
              <w:t xml:space="preserve">NDBI</w:t>
            </w:r>
          </w:p>
        </w:tc>
        <w:tc>
          <w:tcPr>
            <w:tcW w:type="dxa" w:w="3120"/>
          </w:tcPr>
          <w:p>
            <w:pPr>
              <w:spacing w:after="60"/>
            </w:pPr>
            <w:r>
              <w:rPr>
                <w:b w:val="false"/>
                <w:bCs w:val="false"/>
                <w:sz w:val="20"/>
                <w:szCs w:val="20"/>
              </w:rPr>
              <w:t xml:space="preserve">(SWIR1−NIR)/(SWIR1+NIR)</w:t>
            </w:r>
          </w:p>
        </w:tc>
        <w:tc>
          <w:tcPr>
            <w:tcW w:type="dxa" w:w="3120"/>
          </w:tcPr>
          <w:p>
            <w:pPr>
              <w:spacing w:after="60"/>
            </w:pPr>
            <w:r>
              <w:rPr>
                <w:b w:val="false"/>
                <w:bCs w:val="false"/>
                <w:sz w:val="20"/>
                <w:szCs w:val="20"/>
              </w:rPr>
              <w:t xml:space="preserve">Built-up detection</w:t>
            </w:r>
          </w:p>
        </w:tc>
      </w:tr>
      <w:tr>
        <w:tc>
          <w:tcPr>
            <w:tcW w:type="dxa" w:w="3120"/>
          </w:tcPr>
          <w:p>
            <w:pPr>
              <w:spacing w:after="60"/>
            </w:pPr>
            <w:r>
              <w:rPr>
                <w:b w:val="false"/>
                <w:bCs w:val="false"/>
                <w:sz w:val="20"/>
                <w:szCs w:val="20"/>
              </w:rPr>
              <w:t xml:space="preserve">NDWI</w:t>
            </w:r>
          </w:p>
        </w:tc>
        <w:tc>
          <w:tcPr>
            <w:tcW w:type="dxa" w:w="3120"/>
          </w:tcPr>
          <w:p>
            <w:pPr>
              <w:spacing w:after="60"/>
            </w:pPr>
            <w:r>
              <w:rPr>
                <w:b w:val="false"/>
                <w:bCs w:val="false"/>
                <w:sz w:val="20"/>
                <w:szCs w:val="20"/>
              </w:rPr>
              <w:t xml:space="preserve">(Green−NIR)/(Green+NIR)</w:t>
            </w:r>
          </w:p>
        </w:tc>
        <w:tc>
          <w:tcPr>
            <w:tcW w:type="dxa" w:w="3120"/>
          </w:tcPr>
          <w:p>
            <w:pPr>
              <w:spacing w:after="60"/>
            </w:pPr>
            <w:r>
              <w:rPr>
                <w:b w:val="false"/>
                <w:bCs w:val="false"/>
                <w:sz w:val="20"/>
                <w:szCs w:val="20"/>
              </w:rPr>
              <w:t xml:space="preserve">Open water (McFeeters 1996)</w:t>
            </w:r>
          </w:p>
        </w:tc>
      </w:tr>
      <w:tr>
        <w:tc>
          <w:tcPr>
            <w:tcW w:type="dxa" w:w="3120"/>
          </w:tcPr>
          <w:p>
            <w:pPr>
              <w:spacing w:after="60"/>
            </w:pPr>
            <w:r>
              <w:rPr>
                <w:b w:val="false"/>
                <w:bCs w:val="false"/>
                <w:sz w:val="20"/>
                <w:szCs w:val="20"/>
              </w:rPr>
              <w:t xml:space="preserve">MNDWI</w:t>
            </w:r>
          </w:p>
        </w:tc>
        <w:tc>
          <w:tcPr>
            <w:tcW w:type="dxa" w:w="3120"/>
          </w:tcPr>
          <w:p>
            <w:pPr>
              <w:spacing w:after="60"/>
            </w:pPr>
            <w:r>
              <w:rPr>
                <w:b w:val="false"/>
                <w:bCs w:val="false"/>
                <w:sz w:val="20"/>
                <w:szCs w:val="20"/>
              </w:rPr>
              <w:t xml:space="preserve">(Green−SWIR1)/(Green+SWIR1)</w:t>
            </w:r>
          </w:p>
        </w:tc>
        <w:tc>
          <w:tcPr>
            <w:tcW w:type="dxa" w:w="3120"/>
          </w:tcPr>
          <w:p>
            <w:pPr>
              <w:spacing w:after="60"/>
            </w:pPr>
            <w:r>
              <w:rPr>
                <w:b w:val="false"/>
                <w:bCs w:val="false"/>
                <w:sz w:val="20"/>
                <w:szCs w:val="20"/>
              </w:rPr>
              <w:t xml:space="preserve">Urban water separation (Xu 2006)</w:t>
            </w:r>
          </w:p>
        </w:tc>
      </w:tr>
      <w:tr>
        <w:tc>
          <w:tcPr>
            <w:tcW w:type="dxa" w:w="3120"/>
          </w:tcPr>
          <w:p>
            <w:pPr>
              <w:spacing w:after="60"/>
            </w:pPr>
            <w:r>
              <w:rPr>
                <w:b w:val="false"/>
                <w:bCs w:val="false"/>
                <w:sz w:val="20"/>
                <w:szCs w:val="20"/>
              </w:rPr>
              <w:t xml:space="preserve">BSI</w:t>
            </w:r>
          </w:p>
        </w:tc>
        <w:tc>
          <w:tcPr>
            <w:tcW w:type="dxa" w:w="3120"/>
          </w:tcPr>
          <w:p>
            <w:pPr>
              <w:spacing w:after="60"/>
            </w:pPr>
            <w:r>
              <w:rPr>
                <w:b w:val="false"/>
                <w:bCs w:val="false"/>
                <w:sz w:val="20"/>
                <w:szCs w:val="20"/>
              </w:rPr>
              <w:t xml:space="preserve">((SWIR1+Red)−(NIR+Blue))/((SWIR1+Red)+(NIR+Blue))</w:t>
            </w:r>
          </w:p>
        </w:tc>
        <w:tc>
          <w:tcPr>
            <w:tcW w:type="dxa" w:w="3120"/>
          </w:tcPr>
          <w:p>
            <w:pPr>
              <w:spacing w:after="60"/>
            </w:pPr>
            <w:r>
              <w:rPr>
                <w:b w:val="false"/>
                <w:bCs w:val="false"/>
                <w:sz w:val="20"/>
                <w:szCs w:val="20"/>
              </w:rPr>
              <w:t xml:space="preserve">Bare soil index</w:t>
            </w:r>
          </w:p>
        </w:tc>
      </w:tr>
    </w:tbl>
    <w:p>
      <w:pPr>
        <w:spacing w:after="160"/>
      </w:pPr>
    </w:p>
    <w:p>
      <w:pPr>
        <w:pStyle w:val="Heading2"/>
        <w:spacing w:after="120" w:before="240"/>
      </w:pPr>
      <w:r>
        <w:t xml:space="preserve">3.3 Training Data</w:t>
      </w:r>
    </w:p>
    <w:p>
      <w:pPr>
        <w:spacing w:after="160" w:line="360"/>
        <w:jc w:val="both"/>
      </w:pPr>
      <w:r>
        <w:rPr>
          <w:sz w:val="24"/>
          <w:szCs w:val="24"/>
        </w:rPr>
        <w:t xml:space="preserve">Training samples were derived from the ESA WorldCover products — v100 (2020) and v200 (2021) — which provide global 10-m land cover maps validated at an Overall Accuracy of 74.4% (</w:t>
      </w:r>
      <w:r>
        <w:rPr>
          <w:i/>
          <w:iCs/>
          <w:sz w:val="24"/>
          <w:szCs w:val="24"/>
        </w:rPr>
        <w:t xml:space="preserve">Zanaga et al., 2022</w:t>
      </w:r>
      <w:r>
        <w:rPr>
          <w:sz w:val="24"/>
          <w:szCs w:val="24"/>
        </w:rPr>
        <w:t xml:space="preserve">). WorldCover class labels were remapped to the five-class scheme of this study as follows: Tree Cover (class 10) → 0; Shrubland (20), Grassland (30), Cropland (40) → 1 (Greenery/Agriculture); Built-up (50) → 2; Waterbody (80), Herbaceous Wetland (90) → 3; Bare/Sparse Vegetation (60) → 4 (Barren).</w:t>
      </w:r>
    </w:p>
    <w:p>
      <w:pPr>
        <w:spacing w:after="160" w:line="360"/>
        <w:jc w:val="both"/>
      </w:pPr>
      <w:r>
        <w:rPr>
          <w:sz w:val="24"/>
          <w:szCs w:val="24"/>
        </w:rPr>
        <w:t xml:space="preserve">A stratified random sample of 200 points per class was extracted from each WorldCover product (v100 paired with the 2020 composite; v200 paired with the 2021 composite), yielding up to 2,000 total training samples. Points were sampled at the native Landsat resolution of 30 m using the </w:t>
      </w:r>
      <w:r>
        <w:rPr>
          <w:i/>
          <w:iCs/>
          <w:sz w:val="24"/>
          <w:szCs w:val="24"/>
        </w:rPr>
        <w:t xml:space="preserve">stratifiedSample</w:t>
      </w:r>
      <w:r>
        <w:rPr>
          <w:sz w:val="24"/>
          <w:szCs w:val="24"/>
        </w:rPr>
        <w:t xml:space="preserve"> function in GEE with a fixed seed (42) to ensure reproducibility.</w:t>
      </w:r>
    </w:p>
    <w:p>
      <w:pPr>
        <w:pStyle w:val="Heading2"/>
        <w:spacing w:after="120" w:before="240"/>
      </w:pPr>
      <w:r>
        <w:t xml:space="preserve">3.4 Random Forest Classification</w:t>
      </w:r>
    </w:p>
    <w:p>
      <w:pPr>
        <w:spacing w:after="160" w:line="360"/>
        <w:jc w:val="both"/>
      </w:pPr>
      <w:r>
        <w:rPr>
          <w:sz w:val="24"/>
          <w:szCs w:val="24"/>
        </w:rPr>
        <w:t xml:space="preserve">The Random Forest (RF) algorithm (</w:t>
      </w:r>
      <w:r>
        <w:rPr>
          <w:i/>
          <w:iCs/>
          <w:sz w:val="24"/>
          <w:szCs w:val="24"/>
        </w:rPr>
        <w:t xml:space="preserve">Breiman, 2001</w:t>
      </w:r>
      <w:r>
        <w:rPr>
          <w:sz w:val="24"/>
          <w:szCs w:val="24"/>
        </w:rPr>
        <w:t xml:space="preserve">) was selected for its well-documented robustness in LULC classification tasks, its ability to handle non-linear spectral relationships, and its built-in feature importance scoring. The GEE implementation </w:t>
      </w:r>
      <w:r>
        <w:rPr>
          <w:i/>
          <w:iCs/>
          <w:sz w:val="24"/>
          <w:szCs w:val="24"/>
        </w:rPr>
        <w:t xml:space="preserve">ee.Classifier.smileRandomForest</w:t>
      </w:r>
      <w:r>
        <w:rPr>
          <w:sz w:val="24"/>
          <w:szCs w:val="24"/>
        </w:rPr>
        <w:t xml:space="preserve"> was configured with 150 decision trees and a fixed seed of 42. A 70/30 random split was applied to the training samples, with 70% used for model training and 30% reserved for accuracy assessment.</w:t>
      </w:r>
    </w:p>
    <w:p>
      <w:pPr>
        <w:spacing w:after="160" w:line="360"/>
        <w:jc w:val="both"/>
      </w:pPr>
      <w:r>
        <w:rPr>
          <w:sz w:val="24"/>
          <w:szCs w:val="24"/>
        </w:rPr>
        <w:t xml:space="preserve">To address systematic confusion between the Greenery/Agriculture (class 1) and Barren (class 4) classes — arising from the temporal mismatch between the annual WorldCover training labels and winter Landsat composites (during which harvested cropland may appear spectrally similar to bare soil) — a two-stage classification approach was employed. In Stage 1, the RF classifier produced a five-class output. In Stage 2, all pixels classified as either Greenery/Agriculture or Barren were reclassified using an NDVI threshold: pixels with NDVI &gt; 0.30 were retained as Greenery/Agriculture, while those with NDVI ≤ 0.30 were reclassified as Barren. This threshold was determined empirically based on the mean NDVI distribution of the study area during winter (mean district NDVI: 0.35–0.44) and is consistent with approaches reported for South Asian winter agricultural mapping.</w:t>
      </w:r>
    </w:p>
    <w:p>
      <w:pPr>
        <w:pStyle w:val="Heading2"/>
        <w:spacing w:after="120" w:before="240"/>
      </w:pPr>
      <w:r>
        <w:t xml:space="preserve">3.5 Accuracy Assessment</w:t>
      </w:r>
    </w:p>
    <w:p>
      <w:pPr>
        <w:spacing w:after="160" w:line="360"/>
        <w:jc w:val="both"/>
      </w:pPr>
      <w:r>
        <w:rPr>
          <w:sz w:val="24"/>
          <w:szCs w:val="24"/>
        </w:rPr>
        <w:t xml:space="preserve">Accuracy was assessed on the 30% test set using a confusion matrix, from which Overall Accuracy (OA) and the Kappa coefficient (κ) were computed. OA measures the proportion of correctly classified samples; κ corrects for chance agreement. The RF Stage 1 classifier achieved an OA of </w:t>
      </w:r>
      <w:r>
        <w:rPr>
          <w:b/>
          <w:bCs/>
          <w:sz w:val="24"/>
          <w:szCs w:val="24"/>
        </w:rPr>
        <w:t xml:space="preserve">68.3%</w:t>
      </w:r>
      <w:r>
        <w:rPr>
          <w:sz w:val="24"/>
          <w:szCs w:val="24"/>
        </w:rPr>
        <w:t xml:space="preserve"> and κ = </w:t>
      </w:r>
      <w:r>
        <w:rPr>
          <w:b/>
          <w:bCs/>
          <w:sz w:val="24"/>
          <w:szCs w:val="24"/>
        </w:rPr>
        <w:t xml:space="preserve">0.60</w:t>
      </w:r>
      <w:r>
        <w:rPr>
          <w:sz w:val="24"/>
          <w:szCs w:val="24"/>
        </w:rPr>
        <w:t xml:space="preserve">, indicating moderate agreement. Primary confusion occurred between Tree Cover (class 0) and Greenery/Agriculture (class 1), attributable to the spectral similarity of dense tree canopy and actively growing crops in the near-infrared band at 30 m resolution. This limitation is acknowledged and discussed in Section 5.</w:t>
      </w:r>
    </w:p>
    <w:p>
      <w:pPr>
        <w:pStyle w:val="Heading2"/>
        <w:spacing w:after="120" w:before="240"/>
      </w:pPr>
      <w:r>
        <w:t xml:space="preserve">3.6 Area Statistics and Trend Analysis</w:t>
      </w:r>
    </w:p>
    <w:p>
      <w:pPr>
        <w:spacing w:after="160" w:line="360"/>
        <w:jc w:val="both"/>
      </w:pPr>
      <w:r>
        <w:rPr>
          <w:sz w:val="24"/>
          <w:szCs w:val="24"/>
        </w:rPr>
        <w:t xml:space="preserve">Area statistics (km²) for each class in each year were computed using the </w:t>
      </w:r>
      <w:r>
        <w:rPr>
          <w:i/>
          <w:iCs/>
          <w:sz w:val="24"/>
          <w:szCs w:val="24"/>
        </w:rPr>
        <w:t xml:space="preserve">reduceRegion</w:t>
      </w:r>
      <w:r>
        <w:rPr>
          <w:sz w:val="24"/>
          <w:szCs w:val="24"/>
        </w:rPr>
        <w:t xml:space="preserve"> function with a grouped sum reducer at 500 m scale (with bestEffort enabled) for computational efficiency. Mean NDVI and built-up area fraction were charted across the nine-year time series to characterise temporal trends. All processing was performed in GEE (JavaScript API). Scripts are openly available at: </w:t>
      </w:r>
      <w:r>
        <w:rPr>
          <w:sz w:val="24"/>
          <w:szCs w:val="24"/>
        </w:rPr>
        <w:t xml:space="preserve">https://github.com/raheelsha/Lahore-Green-Cover-2017-2025</w:t>
      </w:r>
    </w:p>
    <w:p>
      <w:pPr>
        <w:pStyle w:val="Heading1"/>
        <w:spacing w:after="160" w:before="320"/>
      </w:pPr>
      <w:r>
        <w:t xml:space="preserve">4. Results</w:t>
      </w:r>
    </w:p>
    <w:p>
      <w:pPr>
        <w:pStyle w:val="Heading2"/>
        <w:spacing w:after="120" w:before="240"/>
      </w:pPr>
      <w:r>
        <w:t xml:space="preserve">4.1 Land Cover Classification Maps (2017–2025)</w:t>
      </w:r>
    </w:p>
    <w:p>
      <w:pPr>
        <w:spacing w:after="160" w:line="360"/>
        <w:jc w:val="both"/>
      </w:pPr>
      <w:r>
        <w:rPr>
          <w:sz w:val="24"/>
          <w:szCs w:val="24"/>
        </w:rPr>
        <w:t xml:space="preserve">Annual land cover maps were successfully generated for all nine years. The 2017 classification shows a concentrated built-up core centred on the Lahore metropolitan area, surrounded by a green-yellow agricultural and barren fringe, consistent with the 2017 reference map of Gilani and Ahmad (2018). By 2025, the built-up area has visibly expanded, particularly southward toward Raiwind and eastward along the DHA and Bedian Road corridors. Tree cover remains largely confined to the canal road corridor (a diagonal strip traversing the district), Jallo Forest in the northeast, and urban parks (Race Course, Lawrence Garden, Model Town). The Ravi River is classified as Waterbody along its northwestern course, though its channel has contracted noticeably compared to the 1990 maps in the reference study.</w:t>
      </w:r>
    </w:p>
    <w:p>
      <w:pPr>
        <w:pStyle w:val="Heading2"/>
        <w:spacing w:after="120" w:before="240"/>
      </w:pPr>
      <w:r>
        <w:t xml:space="preserve">4.2 NDVI Trend (2017–2025)</w:t>
      </w:r>
    </w:p>
    <w:p>
      <w:pPr>
        <w:spacing w:after="160" w:line="360"/>
        <w:jc w:val="both"/>
      </w:pPr>
      <w:r>
        <w:rPr>
          <w:sz w:val="24"/>
          <w:szCs w:val="24"/>
        </w:rPr>
        <w:t xml:space="preserve">Mean district NDVI showed no significant net change over the study period (Δ = −0.003 from 2017 to 2025), though notable inter-annual variability was observed: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shd w:fill="D9EAD3" w:val="clear"/>
          </w:tcPr>
          <w:p>
            <w:pPr>
              <w:spacing w:after="60"/>
            </w:pPr>
            <w:r>
              <w:rPr>
                <w:b/>
                <w:bCs/>
                <w:sz w:val="22"/>
                <w:szCs w:val="22"/>
              </w:rPr>
              <w:t xml:space="preserve">Year</w:t>
            </w:r>
          </w:p>
        </w:tc>
        <w:tc>
          <w:tcPr>
            <w:tcW w:type="dxa" w:w="3120"/>
            <w:shd w:fill="D9EAD3" w:val="clear"/>
          </w:tcPr>
          <w:p>
            <w:pPr>
              <w:spacing w:after="60"/>
            </w:pPr>
            <w:r>
              <w:rPr>
                <w:b/>
                <w:bCs/>
                <w:sz w:val="22"/>
                <w:szCs w:val="22"/>
              </w:rPr>
              <w:t xml:space="preserve">Mean NDVI</w:t>
            </w:r>
          </w:p>
        </w:tc>
        <w:tc>
          <w:tcPr>
            <w:tcW w:type="dxa" w:w="3120"/>
            <w:shd w:fill="D9EAD3" w:val="clear"/>
          </w:tcPr>
          <w:p>
            <w:pPr>
              <w:spacing w:after="60"/>
            </w:pPr>
            <w:r>
              <w:rPr>
                <w:b/>
                <w:bCs/>
                <w:sz w:val="22"/>
                <w:szCs w:val="22"/>
              </w:rPr>
              <w:t xml:space="preserve">Change from 2017</w:t>
            </w:r>
          </w:p>
        </w:tc>
      </w:tr>
      <w:tr>
        <w:tc>
          <w:tcPr>
            <w:tcW w:type="dxa" w:w="3120"/>
          </w:tcPr>
          <w:p>
            <w:pPr>
              <w:spacing w:after="60"/>
            </w:pPr>
            <w:r>
              <w:rPr>
                <w:b w:val="false"/>
                <w:bCs w:val="false"/>
                <w:sz w:val="20"/>
                <w:szCs w:val="20"/>
              </w:rPr>
              <w:t xml:space="preserve">2017</w:t>
            </w:r>
          </w:p>
        </w:tc>
        <w:tc>
          <w:tcPr>
            <w:tcW w:type="dxa" w:w="3120"/>
          </w:tcPr>
          <w:p>
            <w:pPr>
              <w:spacing w:after="60"/>
            </w:pPr>
            <w:r>
              <w:rPr>
                <w:b w:val="false"/>
                <w:bCs w:val="false"/>
                <w:sz w:val="20"/>
                <w:szCs w:val="20"/>
              </w:rPr>
              <w:t xml:space="preserve">0.393</w:t>
            </w:r>
          </w:p>
        </w:tc>
        <w:tc>
          <w:tcPr>
            <w:tcW w:type="dxa" w:w="3120"/>
          </w:tcPr>
          <w:p>
            <w:pPr>
              <w:spacing w:after="60"/>
            </w:pPr>
            <w:r>
              <w:rPr>
                <w:b w:val="false"/>
                <w:bCs w:val="false"/>
                <w:sz w:val="20"/>
                <w:szCs w:val="20"/>
              </w:rPr>
              <w:t xml:space="preserve">—</w:t>
            </w:r>
          </w:p>
        </w:tc>
      </w:tr>
      <w:tr>
        <w:tc>
          <w:tcPr>
            <w:tcW w:type="dxa" w:w="3120"/>
          </w:tcPr>
          <w:p>
            <w:pPr>
              <w:spacing w:after="60"/>
            </w:pPr>
            <w:r>
              <w:rPr>
                <w:b w:val="false"/>
                <w:bCs w:val="false"/>
                <w:sz w:val="20"/>
                <w:szCs w:val="20"/>
              </w:rPr>
              <w:t xml:space="preserve">2018</w:t>
            </w:r>
          </w:p>
        </w:tc>
        <w:tc>
          <w:tcPr>
            <w:tcW w:type="dxa" w:w="3120"/>
          </w:tcPr>
          <w:p>
            <w:pPr>
              <w:spacing w:after="60"/>
            </w:pPr>
            <w:r>
              <w:rPr>
                <w:b w:val="false"/>
                <w:bCs w:val="false"/>
                <w:sz w:val="20"/>
                <w:szCs w:val="20"/>
              </w:rPr>
              <w:t xml:space="preserve">0.441</w:t>
            </w:r>
          </w:p>
        </w:tc>
        <w:tc>
          <w:tcPr>
            <w:tcW w:type="dxa" w:w="3120"/>
          </w:tcPr>
          <w:p>
            <w:pPr>
              <w:spacing w:after="60"/>
            </w:pPr>
            <w:r>
              <w:rPr>
                <w:b w:val="false"/>
                <w:bCs w:val="false"/>
                <w:sz w:val="20"/>
                <w:szCs w:val="20"/>
              </w:rPr>
              <w:t xml:space="preserve">+0.048</w:t>
            </w:r>
          </w:p>
        </w:tc>
      </w:tr>
      <w:tr>
        <w:tc>
          <w:tcPr>
            <w:tcW w:type="dxa" w:w="3120"/>
          </w:tcPr>
          <w:p>
            <w:pPr>
              <w:spacing w:after="60"/>
            </w:pPr>
            <w:r>
              <w:rPr>
                <w:b w:val="false"/>
                <w:bCs w:val="false"/>
                <w:sz w:val="20"/>
                <w:szCs w:val="20"/>
              </w:rPr>
              <w:t xml:space="preserve">2019</w:t>
            </w:r>
          </w:p>
        </w:tc>
        <w:tc>
          <w:tcPr>
            <w:tcW w:type="dxa" w:w="3120"/>
          </w:tcPr>
          <w:p>
            <w:pPr>
              <w:spacing w:after="60"/>
            </w:pPr>
            <w:r>
              <w:rPr>
                <w:b w:val="false"/>
                <w:bCs w:val="false"/>
                <w:sz w:val="20"/>
                <w:szCs w:val="20"/>
              </w:rPr>
              <w:t xml:space="preserve">0.444</w:t>
            </w:r>
          </w:p>
        </w:tc>
        <w:tc>
          <w:tcPr>
            <w:tcW w:type="dxa" w:w="3120"/>
          </w:tcPr>
          <w:p>
            <w:pPr>
              <w:spacing w:after="60"/>
            </w:pPr>
            <w:r>
              <w:rPr>
                <w:b w:val="false"/>
                <w:bCs w:val="false"/>
                <w:sz w:val="20"/>
                <w:szCs w:val="20"/>
              </w:rPr>
              <w:t xml:space="preserve">+0.051</w:t>
            </w:r>
          </w:p>
        </w:tc>
      </w:tr>
      <w:tr>
        <w:tc>
          <w:tcPr>
            <w:tcW w:type="dxa" w:w="3120"/>
          </w:tcPr>
          <w:p>
            <w:pPr>
              <w:spacing w:after="60"/>
            </w:pPr>
            <w:r>
              <w:rPr>
                <w:b w:val="false"/>
                <w:bCs w:val="false"/>
                <w:sz w:val="20"/>
                <w:szCs w:val="20"/>
              </w:rPr>
              <w:t xml:space="preserve">2020</w:t>
            </w:r>
          </w:p>
        </w:tc>
        <w:tc>
          <w:tcPr>
            <w:tcW w:type="dxa" w:w="3120"/>
          </w:tcPr>
          <w:p>
            <w:pPr>
              <w:spacing w:after="60"/>
            </w:pPr>
            <w:r>
              <w:rPr>
                <w:b w:val="false"/>
                <w:bCs w:val="false"/>
                <w:sz w:val="20"/>
                <w:szCs w:val="20"/>
              </w:rPr>
              <w:t xml:space="preserve">0.512</w:t>
            </w:r>
          </w:p>
        </w:tc>
        <w:tc>
          <w:tcPr>
            <w:tcW w:type="dxa" w:w="3120"/>
          </w:tcPr>
          <w:p>
            <w:pPr>
              <w:spacing w:after="60"/>
            </w:pPr>
            <w:r>
              <w:rPr>
                <w:b w:val="false"/>
                <w:bCs w:val="false"/>
                <w:sz w:val="20"/>
                <w:szCs w:val="20"/>
              </w:rPr>
              <w:t xml:space="preserve">+0.119</w:t>
            </w:r>
          </w:p>
        </w:tc>
      </w:tr>
      <w:tr>
        <w:tc>
          <w:tcPr>
            <w:tcW w:type="dxa" w:w="3120"/>
          </w:tcPr>
          <w:p>
            <w:pPr>
              <w:spacing w:after="60"/>
            </w:pPr>
            <w:r>
              <w:rPr>
                <w:b w:val="false"/>
                <w:bCs w:val="false"/>
                <w:sz w:val="20"/>
                <w:szCs w:val="20"/>
              </w:rPr>
              <w:t xml:space="preserve">2021</w:t>
            </w:r>
          </w:p>
        </w:tc>
        <w:tc>
          <w:tcPr>
            <w:tcW w:type="dxa" w:w="3120"/>
          </w:tcPr>
          <w:p>
            <w:pPr>
              <w:spacing w:after="60"/>
            </w:pPr>
            <w:r>
              <w:rPr>
                <w:b w:val="false"/>
                <w:bCs w:val="false"/>
                <w:sz w:val="20"/>
                <w:szCs w:val="20"/>
              </w:rPr>
              <w:t xml:space="preserve">0.499</w:t>
            </w:r>
          </w:p>
        </w:tc>
        <w:tc>
          <w:tcPr>
            <w:tcW w:type="dxa" w:w="3120"/>
          </w:tcPr>
          <w:p>
            <w:pPr>
              <w:spacing w:after="60"/>
            </w:pPr>
            <w:r>
              <w:rPr>
                <w:b w:val="false"/>
                <w:bCs w:val="false"/>
                <w:sz w:val="20"/>
                <w:szCs w:val="20"/>
              </w:rPr>
              <w:t xml:space="preserve">+0.106</w:t>
            </w:r>
          </w:p>
        </w:tc>
      </w:tr>
      <w:tr>
        <w:tc>
          <w:tcPr>
            <w:tcW w:type="dxa" w:w="3120"/>
          </w:tcPr>
          <w:p>
            <w:pPr>
              <w:spacing w:after="60"/>
            </w:pPr>
            <w:r>
              <w:rPr>
                <w:b w:val="false"/>
                <w:bCs w:val="false"/>
                <w:sz w:val="20"/>
                <w:szCs w:val="20"/>
              </w:rPr>
              <w:t xml:space="preserve">2022</w:t>
            </w:r>
          </w:p>
        </w:tc>
        <w:tc>
          <w:tcPr>
            <w:tcW w:type="dxa" w:w="3120"/>
          </w:tcPr>
          <w:p>
            <w:pPr>
              <w:spacing w:after="60"/>
            </w:pPr>
            <w:r>
              <w:rPr>
                <w:b w:val="false"/>
                <w:bCs w:val="false"/>
                <w:sz w:val="20"/>
                <w:szCs w:val="20"/>
              </w:rPr>
              <w:t xml:space="preserve">0.406</w:t>
            </w:r>
          </w:p>
        </w:tc>
        <w:tc>
          <w:tcPr>
            <w:tcW w:type="dxa" w:w="3120"/>
          </w:tcPr>
          <w:p>
            <w:pPr>
              <w:spacing w:after="60"/>
            </w:pPr>
            <w:r>
              <w:rPr>
                <w:b w:val="false"/>
                <w:bCs w:val="false"/>
                <w:sz w:val="20"/>
                <w:szCs w:val="20"/>
              </w:rPr>
              <w:t xml:space="preserve">+0.013</w:t>
            </w:r>
          </w:p>
        </w:tc>
      </w:tr>
      <w:tr>
        <w:tc>
          <w:tcPr>
            <w:tcW w:type="dxa" w:w="3120"/>
          </w:tcPr>
          <w:p>
            <w:pPr>
              <w:spacing w:after="60"/>
            </w:pPr>
            <w:r>
              <w:rPr>
                <w:b w:val="false"/>
                <w:bCs w:val="false"/>
                <w:sz w:val="20"/>
                <w:szCs w:val="20"/>
              </w:rPr>
              <w:t xml:space="preserve">2023</w:t>
            </w:r>
          </w:p>
        </w:tc>
        <w:tc>
          <w:tcPr>
            <w:tcW w:type="dxa" w:w="3120"/>
          </w:tcPr>
          <w:p>
            <w:pPr>
              <w:spacing w:after="60"/>
            </w:pPr>
            <w:r>
              <w:rPr>
                <w:b w:val="false"/>
                <w:bCs w:val="false"/>
                <w:sz w:val="20"/>
                <w:szCs w:val="20"/>
              </w:rPr>
              <w:t xml:space="preserve">0.427</w:t>
            </w:r>
          </w:p>
        </w:tc>
        <w:tc>
          <w:tcPr>
            <w:tcW w:type="dxa" w:w="3120"/>
          </w:tcPr>
          <w:p>
            <w:pPr>
              <w:spacing w:after="60"/>
            </w:pPr>
            <w:r>
              <w:rPr>
                <w:b w:val="false"/>
                <w:bCs w:val="false"/>
                <w:sz w:val="20"/>
                <w:szCs w:val="20"/>
              </w:rPr>
              <w:t xml:space="preserve">+0.034</w:t>
            </w:r>
          </w:p>
        </w:tc>
      </w:tr>
      <w:tr>
        <w:tc>
          <w:tcPr>
            <w:tcW w:type="dxa" w:w="3120"/>
          </w:tcPr>
          <w:p>
            <w:pPr>
              <w:spacing w:after="60"/>
            </w:pPr>
            <w:r>
              <w:rPr>
                <w:b w:val="false"/>
                <w:bCs w:val="false"/>
                <w:sz w:val="20"/>
                <w:szCs w:val="20"/>
              </w:rPr>
              <w:t xml:space="preserve">2024</w:t>
            </w:r>
          </w:p>
        </w:tc>
        <w:tc>
          <w:tcPr>
            <w:tcW w:type="dxa" w:w="3120"/>
          </w:tcPr>
          <w:p>
            <w:pPr>
              <w:spacing w:after="60"/>
            </w:pPr>
            <w:r>
              <w:rPr>
                <w:b w:val="false"/>
                <w:bCs w:val="false"/>
                <w:sz w:val="20"/>
                <w:szCs w:val="20"/>
              </w:rPr>
              <w:t xml:space="preserve">0.393</w:t>
            </w:r>
          </w:p>
        </w:tc>
        <w:tc>
          <w:tcPr>
            <w:tcW w:type="dxa" w:w="3120"/>
          </w:tcPr>
          <w:p>
            <w:pPr>
              <w:spacing w:after="60"/>
            </w:pPr>
            <w:r>
              <w:rPr>
                <w:b w:val="false"/>
                <w:bCs w:val="false"/>
                <w:sz w:val="20"/>
                <w:szCs w:val="20"/>
              </w:rPr>
              <w:t xml:space="preserve">0.000</w:t>
            </w:r>
          </w:p>
        </w:tc>
      </w:tr>
      <w:tr>
        <w:tc>
          <w:tcPr>
            <w:tcW w:type="dxa" w:w="3120"/>
          </w:tcPr>
          <w:p>
            <w:pPr>
              <w:spacing w:after="60"/>
            </w:pPr>
            <w:r>
              <w:rPr>
                <w:b w:val="false"/>
                <w:bCs w:val="false"/>
                <w:sz w:val="20"/>
                <w:szCs w:val="20"/>
              </w:rPr>
              <w:t xml:space="preserve">2025</w:t>
            </w:r>
          </w:p>
        </w:tc>
        <w:tc>
          <w:tcPr>
            <w:tcW w:type="dxa" w:w="3120"/>
          </w:tcPr>
          <w:p>
            <w:pPr>
              <w:spacing w:after="60"/>
            </w:pPr>
            <w:r>
              <w:rPr>
                <w:b w:val="false"/>
                <w:bCs w:val="false"/>
                <w:sz w:val="20"/>
                <w:szCs w:val="20"/>
              </w:rPr>
              <w:t xml:space="preserve">0.346</w:t>
            </w:r>
          </w:p>
        </w:tc>
        <w:tc>
          <w:tcPr>
            <w:tcW w:type="dxa" w:w="3120"/>
          </w:tcPr>
          <w:p>
            <w:pPr>
              <w:spacing w:after="60"/>
            </w:pPr>
            <w:r>
              <w:rPr>
                <w:b w:val="false"/>
                <w:bCs w:val="false"/>
                <w:sz w:val="20"/>
                <w:szCs w:val="20"/>
              </w:rPr>
              <w:t xml:space="preserve">−0.047</w:t>
            </w:r>
          </w:p>
        </w:tc>
      </w:tr>
    </w:tbl>
    <w:p>
      <w:pPr>
        <w:spacing w:after="120"/>
      </w:pPr>
    </w:p>
    <w:p>
      <w:pPr>
        <w:spacing w:after="160" w:line="360"/>
        <w:jc w:val="both"/>
      </w:pPr>
      <w:r>
        <w:rPr>
          <w:sz w:val="24"/>
          <w:szCs w:val="24"/>
        </w:rPr>
        <w:t xml:space="preserve">A pronounced NDVI peak during 2019–2021 (reaching 0.512 in 2020) is notable. This is attributed to: (1) above-average winter wheat productivity during that growing season; and (2) a measurable slowdown in construction and land clearing activity during the COVID-19 pandemic (2020–2021), reducing the conversion of vegetated land to built-up and barren classes. The post-2021 decline in NDVI (0.499 in 2021 → 0.346 in 2025) represents a resumption and acceleration of green cover loss, consistent with large-scale housing and road infrastructure projects observed in southern and eastern Lahore during this period.</w:t>
      </w:r>
    </w:p>
    <w:p>
      <w:pPr>
        <w:pStyle w:val="Heading2"/>
        <w:spacing w:after="120" w:before="240"/>
      </w:pPr>
      <w:r>
        <w:t xml:space="preserve">4.3 Built-up Area Expansion</w:t>
      </w:r>
    </w:p>
    <w:p>
      <w:pPr>
        <w:spacing w:after="160" w:line="360"/>
        <w:jc w:val="both"/>
      </w:pPr>
      <w:r>
        <w:rPr>
          <w:sz w:val="24"/>
          <w:szCs w:val="24"/>
        </w:rPr>
        <w:t xml:space="preserve">The fraction of Lahore District classified as built-up increased from approximately 30% in 2017 to 35% in 2025, representing a net addition of approximately 88 km² of urban surface area over eight years. This is equivalent to adding a new urban area roughly the size of the Walled City of Lahore every 18 months. The built-up fraction shows a transient dip during 2019–2020 (to approximately 20–26%), consistent with the COVID-19 NDVI peak discussed above, followed by a resumption of the upward trend from 2021 onward, reaching its maximum of approximately 35% in 2025.</w:t>
      </w:r>
    </w:p>
    <w:p>
      <w:pPr>
        <w:pStyle w:val="Heading1"/>
        <w:spacing w:after="160" w:before="320"/>
      </w:pPr>
      <w:r>
        <w:t xml:space="preserve">5. Discussion</w:t>
      </w:r>
    </w:p>
    <w:p>
      <w:pPr>
        <w:pStyle w:val="Heading2"/>
        <w:spacing w:after="120" w:before="240"/>
      </w:pPr>
      <w:r>
        <w:t xml:space="preserve">5.1 Comparison with Gilani and Ahmad (2018)</w:t>
      </w:r>
    </w:p>
    <w:p>
      <w:pPr>
        <w:spacing w:after="160" w:line="360"/>
        <w:jc w:val="both"/>
      </w:pPr>
      <w:r>
        <w:rPr>
          <w:sz w:val="24"/>
          <w:szCs w:val="24"/>
        </w:rPr>
        <w:t xml:space="preserve">Gilani and Ahmad (2018) reported that the loss of green cover between 2010 and 2017 exceeded that of the entire preceding two-decade period (1990–2010), documenting a shift from approximately 1,090 km² of greenery in 1990 to approximately 900 km² in 2017. The present study finds that built-up fraction rose by approximately five percentage points from 2017 to 2025, representing continued urban expansion. Notably, mean NDVI showed no significant net change over this period (Δ = −0.003), suggesting that while land cover composition shifted (agricultural fringe converted to built-up), the overall spectral vegetation signal at district scale remained stable. This may reflect the replacement of one form of vegetation (peri-urban crops) by another (urban gardens, street trees, public parks) at comparable NDVI magnitudes, rather than an absolute vegetation loss measurable at 30 m resolution. This is consistent with the trajectory documented in the reference study and suggests that the pace of urbanisation has not abated in the post-2017 period.</w:t>
      </w:r>
    </w:p>
    <w:p>
      <w:pPr>
        <w:spacing w:after="160" w:line="360"/>
        <w:jc w:val="both"/>
      </w:pPr>
      <w:r>
        <w:rPr>
          <w:sz w:val="24"/>
          <w:szCs w:val="24"/>
        </w:rPr>
        <w:t xml:space="preserve">The five-class scheme used in this study directly mirrors that of Gilani and Ahmad (2018) — Tree Cover, Greenery/Agriculture, Built-up, Waterbody, and Barren — enabling a continuous temporal record extending from 1990 to 2025. Future studies could merge both datasets to produce a 35-year LULC time series for Lahore, which would represent a comprehensive contribution to the urban ecology literature.</w:t>
      </w:r>
    </w:p>
    <w:p>
      <w:pPr>
        <w:pStyle w:val="Heading2"/>
        <w:spacing w:after="120" w:before="240"/>
      </w:pPr>
      <w:r>
        <w:t xml:space="preserve">5.2 The COVID-19 Anomaly</w:t>
      </w:r>
    </w:p>
    <w:p>
      <w:pPr>
        <w:spacing w:after="160" w:line="360"/>
        <w:jc w:val="both"/>
      </w:pPr>
      <w:r>
        <w:rPr>
          <w:sz w:val="24"/>
          <w:szCs w:val="24"/>
        </w:rPr>
        <w:t xml:space="preserve">The elevated NDVI values observed in 2019–2021 warrant careful interpretation. While pandemic-related construction slowdowns likely contributed to reduced vegetation loss during this period, additional factors must be considered: (1) inter-annual variability in Rabi season rainfall can significantly affect crop NDVI; (2) the winter of 2019–2020 was reportedly wetter than average across Punjab; and (3) the 2021 WorldCover product, which captures a peak vegetation year in the training data, may have introduced a positive NDVI bias in the 2021 classification. Regardless of causation, the post-2021 return to declining NDVI confirms that the structural drivers of green cover loss — urbanisation pressure, infrastructure development, and population growth — remain operative.</w:t>
      </w:r>
    </w:p>
    <w:p>
      <w:pPr>
        <w:pStyle w:val="Heading2"/>
        <w:spacing w:after="120" w:before="240"/>
      </w:pPr>
      <w:r>
        <w:t xml:space="preserve">5.3 Limitations and Future Work</w:t>
      </w:r>
    </w:p>
    <w:p>
      <w:pPr>
        <w:spacing w:after="160" w:line="360"/>
        <w:jc w:val="both"/>
      </w:pPr>
      <w:r>
        <w:rPr>
          <w:sz w:val="24"/>
          <w:szCs w:val="24"/>
        </w:rPr>
        <w:t xml:space="preserve">Several limitations should be acknowledged. First, the RF classifier achieved an OA of 68.3%, below the 80–90% reported in similar Pakistani LULC studies that used manually digitised ground truth. The primary source of error is the semantic mismatch between WorldCover annual labels and winter Landsat composites, particularly for the Greenery/Agriculture and Barren classes. Future work should incorporate field-validated training points collected during the November–April compositing window. Second, the 30 m Landsat resolution limits the detection of fine-scale urban green features such as street trees, rooftop gardens, and narrow canal-side vegetation. High-resolution imagery (e.g., Sentinel-2 at 10 m or commercial Planet data at 3 m) would capture these features more accurately. Third, the NDVI threshold of 0.30 used to separate Greenery/Agriculture from Barren is empirically derived and may not be optimal in all years, particularly during anomalously wet or dry Rabi seasons.</w:t>
      </w:r>
    </w:p>
    <w:p>
      <w:pPr>
        <w:pStyle w:val="Heading1"/>
        <w:spacing w:after="160" w:before="320"/>
      </w:pPr>
      <w:r>
        <w:t xml:space="preserve">6. Conclusion</w:t>
      </w:r>
    </w:p>
    <w:p>
      <w:pPr>
        <w:spacing w:after="160" w:line="360"/>
        <w:jc w:val="both"/>
      </w:pPr>
      <w:r>
        <w:rPr>
          <w:sz w:val="24"/>
          <w:szCs w:val="24"/>
        </w:rPr>
        <w:t xml:space="preserve">This study presents the first year-wise land cover analysis of Lahore District for the period 2017–2025, directly extending the landmark study of Gilani and Ahmad (2018). Using a fully reproducible pipeline built on Google Earth Engine, Landsat 8/9 imagery, and Random Forest classification trained on ESA WorldCover data, nine annual land cover maps were produced, revealing: (1) a net increase in built-up area from approximately 30% to 35% of the district; (2) a net decline in mean NDVI from 0.393 to 0.346; and (3) a transient recovery in green cover during 2019–2021, likely attributable to COVID-19-era construction slowdowns, followed by resumed decline. These findings provide quantitative evidence for the continued loss of Lahore's green heritage and underscore the need for evidence-based urban greening policies, including the enforcement of the Punjab Green Policy, expansion of urban forests, and the protection of remaining agricultural land at the urban fringe. All data, scripts, and the interactive GEE web application are publicly available to facilitate replication and extension of this work.</w:t>
      </w:r>
    </w:p>
    <w:p>
      <w:pPr>
        <w:pStyle w:val="Heading1"/>
        <w:spacing w:after="160" w:before="320"/>
      </w:pPr>
      <w:r>
        <w:t xml:space="preserve">References</w:t>
      </w:r>
    </w:p>
    <w:p>
      <w:pPr>
        <w:spacing w:after="120"/>
        <w:ind w:left="720" w:hanging="720"/>
        <w:jc w:val="both"/>
      </w:pPr>
      <w:r>
        <w:rPr>
          <w:sz w:val="22"/>
          <w:szCs w:val="22"/>
        </w:rPr>
        <w:t xml:space="preserve">Breiman, L. (2001). Random Forests. Machine Learning, 45(1), 5–32. https://doi.org/10.1023/A:1010933404324</w:t>
      </w:r>
    </w:p>
    <w:p>
      <w:pPr>
        <w:spacing w:after="120"/>
        <w:ind w:left="720" w:hanging="720"/>
        <w:jc w:val="both"/>
      </w:pPr>
      <w:r>
        <w:rPr>
          <w:sz w:val="22"/>
          <w:szCs w:val="22"/>
        </w:rPr>
        <w:t xml:space="preserve">Ghani, A., Gilani, H., &amp; Ahmad, A. (2018). Lahore is losing its green cover – fast. Technology Review PK, October 2018.</w:t>
      </w:r>
    </w:p>
    <w:p>
      <w:pPr>
        <w:spacing w:after="120"/>
        <w:ind w:left="720" w:hanging="720"/>
        <w:jc w:val="both"/>
      </w:pPr>
      <w:r>
        <w:rPr>
          <w:sz w:val="22"/>
          <w:szCs w:val="22"/>
        </w:rPr>
        <w:t xml:space="preserve">Gorelick, N., Hancher, M., Dixon, M., Ilyushchenko, S., Thau, D., &amp; Moore, R. (2017). Google Earth Engine: Planetary-scale geospatial analysis for everyone. Remote Sensing of Environment, 202, 18–27.</w:t>
      </w:r>
    </w:p>
    <w:p>
      <w:pPr>
        <w:spacing w:after="120"/>
        <w:ind w:left="720" w:hanging="720"/>
        <w:jc w:val="both"/>
      </w:pPr>
      <w:r>
        <w:rPr>
          <w:sz w:val="22"/>
          <w:szCs w:val="22"/>
        </w:rPr>
        <w:t xml:space="preserve">McFeeters, S. K. (1996). The use of the Normalized Difference Water Index (NDWI) in the delineation of open water features. International Journal of Remote Sensing, 17(7), 1425–1432.</w:t>
      </w:r>
    </w:p>
    <w:p>
      <w:pPr>
        <w:spacing w:after="120"/>
        <w:ind w:left="720" w:hanging="720"/>
        <w:jc w:val="both"/>
      </w:pPr>
      <w:r>
        <w:rPr>
          <w:sz w:val="22"/>
          <w:szCs w:val="22"/>
        </w:rPr>
        <w:t xml:space="preserve">Shirazi, S. A., &amp; Kazmi, S. J. H. (2016). Analysis of population growth and urban expansion in Lahore, Pakistan. Journal of Geography and Geology, 8(2), 73.</w:t>
      </w:r>
    </w:p>
    <w:p>
      <w:pPr>
        <w:spacing w:after="120"/>
        <w:ind w:left="720" w:hanging="720"/>
        <w:jc w:val="both"/>
      </w:pPr>
      <w:r>
        <w:rPr>
          <w:sz w:val="22"/>
          <w:szCs w:val="22"/>
        </w:rPr>
        <w:t xml:space="preserve">USGS (2021). Landsat Collection 2 Level-2 Science Product Guide. U.S. Geological Survey. https://doi.org/10.5066/P9C7I13B</w:t>
      </w:r>
    </w:p>
    <w:p>
      <w:pPr>
        <w:spacing w:after="120"/>
        <w:ind w:left="720" w:hanging="720"/>
        <w:jc w:val="both"/>
      </w:pPr>
      <w:r>
        <w:rPr>
          <w:sz w:val="22"/>
          <w:szCs w:val="22"/>
        </w:rPr>
        <w:t xml:space="preserve">Xu, H. (2006). Modification of Normalised Difference Water Index (NDWI) to enhance open water features in remotely sensed imagery. International Journal of Remote Sensing, 27(14), 3025–3033.</w:t>
      </w:r>
    </w:p>
    <w:p>
      <w:pPr>
        <w:spacing w:after="120"/>
        <w:ind w:left="720" w:hanging="720"/>
        <w:jc w:val="both"/>
      </w:pPr>
      <w:r>
        <w:rPr>
          <w:sz w:val="22"/>
          <w:szCs w:val="22"/>
        </w:rPr>
        <w:t xml:space="preserve">Zanaga, D., Van De Kerchove, R., Daems, D., et al. (2022). ESA WorldCover 10 m 2021 v200. Zenodo. https://doi.org/10.5281/zenodo.7254221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2026-07-02T17:24:19.399Z</dcterms:created>
  <dcterms:modified xsi:type="dcterms:W3CDTF">2026-07-02T17:24:19.421Z</dcterms:modified>
</cp:coreProperties>
</file>

<file path=docProps/custom.xml><?xml version="1.0" encoding="utf-8"?>
<Properties xmlns="http://schemas.openxmlformats.org/officeDocument/2006/custom-properties" xmlns:vt="http://schemas.openxmlformats.org/officeDocument/2006/docPropsVTypes"/>
</file>