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8C1F4">
      <w:pPr>
        <w:jc w:val="center"/>
        <w:rPr>
          <w:color w:val="C00000"/>
          <w:sz w:val="72"/>
          <w:szCs w:val="72"/>
        </w:rPr>
      </w:pPr>
      <w:r>
        <w:rPr>
          <w:b/>
          <w:color w:val="C00000"/>
          <w:sz w:val="72"/>
          <w:szCs w:val="72"/>
        </w:rPr>
        <w:t>PRODUCT SALES ANALYSIS PROJECT</w:t>
      </w:r>
    </w:p>
    <w:p w14:paraId="7425A42D">
      <w:pPr>
        <w:jc w:val="center"/>
        <w:rPr>
          <w:sz w:val="36"/>
          <w:szCs w:val="36"/>
        </w:rPr>
      </w:pPr>
      <w:r>
        <w:rPr>
          <w:sz w:val="36"/>
          <w:szCs w:val="36"/>
        </w:rPr>
        <w:t>Power BI Dashboard Documentation</w:t>
      </w:r>
    </w:p>
    <w:p w14:paraId="5BE978D4">
      <w:pPr>
        <w:jc w:val="center"/>
        <w:rPr>
          <w:sz w:val="32"/>
          <w:szCs w:val="32"/>
        </w:rPr>
      </w:pPr>
      <w:r>
        <w:rPr>
          <w:sz w:val="32"/>
          <w:szCs w:val="32"/>
        </w:rPr>
        <w:t>Project file:</w:t>
      </w:r>
    </w:p>
    <w:p w14:paraId="631839D2">
      <w:pPr>
        <w:jc w:val="center"/>
        <w:rPr>
          <w:sz w:val="32"/>
          <w:szCs w:val="32"/>
        </w:rPr>
      </w:pPr>
      <w:r>
        <w:rPr>
          <w:sz w:val="32"/>
          <w:szCs w:val="32"/>
        </w:rPr>
        <w:t>PRODUCT SALES PROJECT 2026.pbix</w:t>
      </w:r>
      <w:r>
        <w:rPr>
          <w:sz w:val="32"/>
          <w:szCs w:val="32"/>
        </w:rPr>
        <w:br w:type="textWrapping"/>
      </w:r>
      <w:r>
        <w:rPr>
          <w:sz w:val="32"/>
          <w:szCs w:val="32"/>
        </w:rPr>
        <w:t>Prepared: October 2026</w:t>
      </w:r>
    </w:p>
    <w:p w14:paraId="336F27A6">
      <w:r>
        <w:br w:type="page"/>
      </w:r>
    </w:p>
    <w:p w14:paraId="142F8560">
      <w:pPr>
        <w:numPr>
          <w:ilvl w:val="0"/>
          <w:numId w:val="1"/>
        </w:numPr>
        <w:rPr>
          <w:b/>
          <w:bCs/>
        </w:rPr>
      </w:pPr>
      <w:r>
        <w:rPr>
          <w:b/>
          <w:bCs/>
        </w:rPr>
        <w:t>Executive Summary</w:t>
      </w:r>
    </w:p>
    <w:p w14:paraId="1A430756">
      <w:pPr>
        <w:ind w:firstLine="720" w:firstLineChars="0"/>
      </w:pPr>
      <w:bookmarkStart w:id="0" w:name="_GoBack"/>
      <w:bookmarkEnd w:id="0"/>
      <w:r>
        <w:rPr>
          <w:rFonts w:hint="default"/>
          <w:lang w:val="en-US"/>
        </w:rPr>
        <w:t xml:space="preserve">The source file for the project is </w:t>
      </w:r>
      <w:r>
        <w:rPr>
          <w:rFonts w:ascii="SimSun" w:hAnsi="SimSun" w:eastAsia="SimSun" w:cs="SimSun"/>
          <w:sz w:val="24"/>
          <w:szCs w:val="24"/>
        </w:rPr>
        <w:fldChar w:fldCharType="begin"/>
      </w:r>
      <w:r>
        <w:rPr>
          <w:rFonts w:ascii="SimSun" w:hAnsi="SimSun" w:eastAsia="SimSun" w:cs="SimSun"/>
          <w:sz w:val="24"/>
          <w:szCs w:val="24"/>
        </w:rPr>
        <w:instrText xml:space="preserve"> HYPERLINK "https://view.officeapps.live.com/op/view.aspx?src=https://excelx.com/wp-content/uploads/2025/06/Product-Sales-Region.xlsx&amp;wdOrigin=BROWSELINK" </w:instrText>
      </w:r>
      <w:r>
        <w:rPr>
          <w:rFonts w:ascii="SimSun" w:hAnsi="SimSun" w:eastAsia="SimSun" w:cs="SimSun"/>
          <w:sz w:val="24"/>
          <w:szCs w:val="24"/>
        </w:rPr>
        <w:fldChar w:fldCharType="separate"/>
      </w:r>
      <w:r>
        <w:rPr>
          <w:rStyle w:val="13"/>
          <w:rFonts w:ascii="SimSun" w:hAnsi="SimSun" w:eastAsia="SimSun" w:cs="SimSun"/>
          <w:sz w:val="24"/>
          <w:szCs w:val="24"/>
        </w:rPr>
        <w:t>Product-Sales-Region.xlsx</w:t>
      </w:r>
      <w:r>
        <w:rPr>
          <w:rFonts w:ascii="SimSun" w:hAnsi="SimSun" w:eastAsia="SimSun" w:cs="SimSun"/>
          <w:sz w:val="24"/>
          <w:szCs w:val="24"/>
        </w:rPr>
        <w:fldChar w:fldCharType="end"/>
      </w:r>
      <w:r>
        <w:rPr>
          <w:rFonts w:hint="default" w:ascii="SimSun" w:hAnsi="SimSun" w:eastAsia="SimSun" w:cs="SimSun"/>
          <w:sz w:val="24"/>
          <w:szCs w:val="24"/>
          <w:lang w:val="en-US"/>
        </w:rPr>
        <w:t>.</w:t>
      </w:r>
      <w:r>
        <w:t>This project uses Microsoft EXCEL and Power BI to analyse product sales and present the results in an interactive, multi-page dashboard. The report is designed to help users review sales performance, compare periods, explore monthly and yearly trends, and investigate order, product, region, and payment-related patterns.</w:t>
      </w:r>
    </w:p>
    <w:p w14:paraId="187D1F3F">
      <w:r>
        <w:t>The data model separates descriptive information into dimension tables and keeps transaction-level records in a fact table. Report navigation and interactivity are supported through slicers, bookmarks, drill-through, and hyperlinks where configured.</w:t>
      </w:r>
    </w:p>
    <w:p w14:paraId="132485C9">
      <w:pPr>
        <w:rPr>
          <w:b/>
          <w:bCs/>
        </w:rPr>
      </w:pPr>
      <w:r>
        <w:rPr>
          <w:b/>
          <w:bCs/>
        </w:rPr>
        <w:t>2. Project Objectives</w:t>
      </w:r>
    </w:p>
    <w:p w14:paraId="7B2D37F3">
      <w:pPr>
        <w:numPr>
          <w:ilvl w:val="0"/>
          <w:numId w:val="2"/>
        </w:numPr>
      </w:pPr>
      <w:r>
        <w:t>Prepare and structure the source sales data for analysis.</w:t>
      </w:r>
    </w:p>
    <w:p w14:paraId="10C84D81">
      <w:pPr>
        <w:numPr>
          <w:ilvl w:val="0"/>
          <w:numId w:val="2"/>
        </w:numPr>
      </w:pPr>
      <w:r>
        <w:t>Create a normalized model with a central fact table and reusable dimension tables.</w:t>
      </w:r>
    </w:p>
    <w:p w14:paraId="6F521AD0">
      <w:pPr>
        <w:numPr>
          <w:ilvl w:val="0"/>
          <w:numId w:val="2"/>
        </w:numPr>
      </w:pPr>
      <w:r>
        <w:t>Build relationships between the fact and dimension tables.</w:t>
      </w:r>
    </w:p>
    <w:p w14:paraId="3BDB8C4F">
      <w:pPr>
        <w:numPr>
          <w:ilvl w:val="0"/>
          <w:numId w:val="2"/>
        </w:numPr>
      </w:pPr>
      <w:r>
        <w:t>Create measures and visuals to monitor sales and order performance.</w:t>
      </w:r>
    </w:p>
    <w:p w14:paraId="70A27828">
      <w:pPr>
        <w:numPr>
          <w:ilvl w:val="0"/>
          <w:numId w:val="2"/>
        </w:numPr>
      </w:pPr>
      <w:r>
        <w:t>Compare sales by month and year and identify patterns over time.</w:t>
      </w:r>
    </w:p>
    <w:p w14:paraId="23E87EFC">
      <w:pPr>
        <w:numPr>
          <w:ilvl w:val="0"/>
          <w:numId w:val="2"/>
        </w:numPr>
      </w:pPr>
      <w:r>
        <w:t>Enable users to filter, navigate, and investigate detailed records interactively.</w:t>
      </w:r>
    </w:p>
    <w:p w14:paraId="295C451E">
      <w:pPr>
        <w:rPr>
          <w:b/>
          <w:bCs/>
        </w:rPr>
      </w:pPr>
      <w:r>
        <w:rPr>
          <w:b/>
          <w:bCs/>
        </w:rPr>
        <w:t>3. Tools and Technologies</w:t>
      </w:r>
    </w:p>
    <w:tbl>
      <w:tblPr>
        <w:tblStyle w:val="16"/>
        <w:tblW w:w="0" w:type="auto"/>
        <w:jc w:val="center"/>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0"/>
        <w:gridCol w:w="4622"/>
      </w:tblGrid>
      <w:tr w14:paraId="2CCAF29E">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68" w:type="dxa"/>
            <w:tcBorders>
              <w:top w:val="single" w:color="4F81BD" w:sz="8" w:space="0"/>
              <w:left w:val="nil"/>
              <w:bottom w:val="nil"/>
              <w:right w:val="nil"/>
              <w:insideV w:val="nil"/>
            </w:tcBorders>
          </w:tcPr>
          <w:p w14:paraId="53D452E2">
            <w:pPr>
              <w:spacing w:before="0" w:after="160" w:line="278" w:lineRule="auto"/>
              <w:rPr>
                <w:b/>
                <w:bCs/>
                <w:color w:val="104862" w:themeColor="accent1" w:themeShade="BF"/>
              </w:rPr>
            </w:pPr>
            <w:r>
              <w:rPr>
                <w:b/>
                <w:bCs/>
                <w:color w:val="104862" w:themeColor="accent1" w:themeShade="BF"/>
              </w:rPr>
              <w:t>Tool / component</w:t>
            </w:r>
          </w:p>
        </w:tc>
        <w:tc>
          <w:tcPr>
            <w:tcW w:w="4968" w:type="dxa"/>
            <w:tcBorders>
              <w:top w:val="single" w:color="4F81BD" w:sz="8" w:space="0"/>
              <w:bottom w:val="nil"/>
              <w:right w:val="nil"/>
              <w:insideV w:val="nil"/>
            </w:tcBorders>
          </w:tcPr>
          <w:p w14:paraId="137C90C8">
            <w:pPr>
              <w:spacing w:before="0" w:after="160" w:line="278" w:lineRule="auto"/>
              <w:rPr>
                <w:b/>
                <w:bCs/>
                <w:color w:val="104862" w:themeColor="accent1" w:themeShade="BF"/>
              </w:rPr>
            </w:pPr>
            <w:r>
              <w:rPr>
                <w:b/>
                <w:bCs/>
                <w:color w:val="104862" w:themeColor="accent1" w:themeShade="BF"/>
              </w:rPr>
              <w:t>Purpose</w:t>
            </w:r>
          </w:p>
        </w:tc>
      </w:tr>
      <w:tr w14:paraId="1048EE84">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68" w:type="dxa"/>
            <w:tcBorders>
              <w:top w:val="nil"/>
              <w:left w:val="nil"/>
              <w:bottom w:val="nil"/>
              <w:right w:val="nil"/>
              <w:insideV w:val="nil"/>
            </w:tcBorders>
            <w:shd w:val="clear" w:color="auto" w:fill="B2DEF2" w:themeFill="accent1" w:themeFillTint="3F"/>
          </w:tcPr>
          <w:p w14:paraId="00CA6674">
            <w:pPr>
              <w:spacing w:after="160" w:line="278" w:lineRule="auto"/>
              <w:rPr>
                <w:b/>
                <w:bCs/>
                <w:color w:val="104862" w:themeColor="accent1" w:themeShade="BF"/>
              </w:rPr>
            </w:pPr>
            <w:r>
              <w:rPr>
                <w:b/>
                <w:bCs/>
                <w:color w:val="104862" w:themeColor="accent1" w:themeShade="BF"/>
              </w:rPr>
              <w:t>Microsoft Power BI Desktop</w:t>
            </w:r>
          </w:p>
        </w:tc>
        <w:tc>
          <w:tcPr>
            <w:tcW w:w="4968" w:type="dxa"/>
            <w:tcBorders>
              <w:top w:val="nil"/>
              <w:bottom w:val="nil"/>
              <w:right w:val="nil"/>
              <w:insideV w:val="nil"/>
            </w:tcBorders>
            <w:shd w:val="clear" w:color="auto" w:fill="B2DEF2" w:themeFill="accent1" w:themeFillTint="3F"/>
          </w:tcPr>
          <w:p w14:paraId="6FC91574">
            <w:pPr>
              <w:spacing w:after="160" w:line="278" w:lineRule="auto"/>
              <w:rPr>
                <w:color w:val="104862" w:themeColor="accent1" w:themeShade="BF"/>
              </w:rPr>
            </w:pPr>
            <w:r>
              <w:rPr>
                <w:color w:val="104862" w:themeColor="accent1" w:themeShade="BF"/>
              </w:rPr>
              <w:t>Data modelling, DAX calculations, report design and interactivity</w:t>
            </w:r>
          </w:p>
        </w:tc>
      </w:tr>
      <w:tr w14:paraId="43821101">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68" w:type="dxa"/>
            <w:tcBorders>
              <w:top w:val="nil"/>
              <w:left w:val="nil"/>
              <w:bottom w:val="nil"/>
              <w:right w:val="nil"/>
            </w:tcBorders>
          </w:tcPr>
          <w:p w14:paraId="58F30835">
            <w:pPr>
              <w:spacing w:after="160" w:line="278" w:lineRule="auto"/>
              <w:rPr>
                <w:b/>
                <w:bCs/>
                <w:color w:val="104862" w:themeColor="accent1" w:themeShade="BF"/>
              </w:rPr>
            </w:pPr>
            <w:r>
              <w:rPr>
                <w:b/>
                <w:bCs/>
                <w:color w:val="104862" w:themeColor="accent1" w:themeShade="BF"/>
              </w:rPr>
              <w:t>Power Query</w:t>
            </w:r>
          </w:p>
        </w:tc>
        <w:tc>
          <w:tcPr>
            <w:tcW w:w="4968" w:type="dxa"/>
            <w:tcBorders>
              <w:top w:val="nil"/>
              <w:left w:val="nil"/>
              <w:bottom w:val="nil"/>
              <w:right w:val="nil"/>
            </w:tcBorders>
          </w:tcPr>
          <w:p w14:paraId="7E8EB350">
            <w:pPr>
              <w:spacing w:after="160" w:line="278" w:lineRule="auto"/>
              <w:rPr>
                <w:color w:val="104862" w:themeColor="accent1" w:themeShade="BF"/>
              </w:rPr>
            </w:pPr>
            <w:r>
              <w:rPr>
                <w:color w:val="104862" w:themeColor="accent1" w:themeShade="BF"/>
              </w:rPr>
              <w:t>Data cleaning, type correction and preparation before loading</w:t>
            </w:r>
          </w:p>
        </w:tc>
      </w:tr>
      <w:tr w14:paraId="0E0C1D4B">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68" w:type="dxa"/>
            <w:tcBorders>
              <w:top w:val="nil"/>
              <w:left w:val="nil"/>
              <w:bottom w:val="nil"/>
              <w:right w:val="nil"/>
              <w:insideV w:val="nil"/>
            </w:tcBorders>
            <w:shd w:val="clear" w:color="auto" w:fill="B2DEF2" w:themeFill="accent1" w:themeFillTint="3F"/>
          </w:tcPr>
          <w:p w14:paraId="6FD32076">
            <w:pPr>
              <w:spacing w:after="160" w:line="278" w:lineRule="auto"/>
              <w:rPr>
                <w:b/>
                <w:bCs/>
                <w:color w:val="104862" w:themeColor="accent1" w:themeShade="BF"/>
              </w:rPr>
            </w:pPr>
            <w:r>
              <w:rPr>
                <w:b/>
                <w:bCs/>
                <w:color w:val="104862" w:themeColor="accent1" w:themeShade="BF"/>
              </w:rPr>
              <w:t>DAX</w:t>
            </w:r>
          </w:p>
        </w:tc>
        <w:tc>
          <w:tcPr>
            <w:tcW w:w="4968" w:type="dxa"/>
            <w:tcBorders>
              <w:top w:val="nil"/>
              <w:bottom w:val="nil"/>
              <w:right w:val="nil"/>
              <w:insideV w:val="nil"/>
            </w:tcBorders>
            <w:shd w:val="clear" w:color="auto" w:fill="B2DEF2" w:themeFill="accent1" w:themeFillTint="3F"/>
          </w:tcPr>
          <w:p w14:paraId="11914B8D">
            <w:pPr>
              <w:spacing w:after="160" w:line="278" w:lineRule="auto"/>
              <w:rPr>
                <w:color w:val="104862" w:themeColor="accent1" w:themeShade="BF"/>
              </w:rPr>
            </w:pPr>
            <w:r>
              <w:rPr>
                <w:color w:val="104862" w:themeColor="accent1" w:themeShade="BF"/>
              </w:rPr>
              <w:t>Measures and time-based calculations used in report visuals</w:t>
            </w:r>
          </w:p>
        </w:tc>
      </w:tr>
      <w:tr w14:paraId="527E900D">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68" w:type="dxa"/>
            <w:tcBorders>
              <w:top w:val="nil"/>
              <w:left w:val="nil"/>
              <w:bottom w:val="nil"/>
              <w:right w:val="nil"/>
            </w:tcBorders>
          </w:tcPr>
          <w:p w14:paraId="01CC7B26">
            <w:pPr>
              <w:spacing w:after="160" w:line="278" w:lineRule="auto"/>
              <w:rPr>
                <w:b/>
                <w:bCs/>
                <w:color w:val="104862" w:themeColor="accent1" w:themeShade="BF"/>
              </w:rPr>
            </w:pPr>
            <w:r>
              <w:rPr>
                <w:b/>
                <w:bCs/>
                <w:color w:val="104862" w:themeColor="accent1" w:themeShade="BF"/>
              </w:rPr>
              <w:t>Fact table</w:t>
            </w:r>
          </w:p>
        </w:tc>
        <w:tc>
          <w:tcPr>
            <w:tcW w:w="4968" w:type="dxa"/>
            <w:tcBorders>
              <w:top w:val="nil"/>
              <w:left w:val="nil"/>
              <w:bottom w:val="nil"/>
              <w:right w:val="nil"/>
            </w:tcBorders>
          </w:tcPr>
          <w:p w14:paraId="1C9D1D6D">
            <w:pPr>
              <w:spacing w:after="160" w:line="278" w:lineRule="auto"/>
              <w:rPr>
                <w:color w:val="104862" w:themeColor="accent1" w:themeShade="BF"/>
              </w:rPr>
            </w:pPr>
            <w:r>
              <w:rPr>
                <w:color w:val="104862" w:themeColor="accent1" w:themeShade="BF"/>
              </w:rPr>
              <w:t>Stores transaction-level sales/order records and foreign keys</w:t>
            </w:r>
          </w:p>
        </w:tc>
      </w:tr>
      <w:tr w14:paraId="03D274EF">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68" w:type="dxa"/>
            <w:tcBorders>
              <w:top w:val="nil"/>
              <w:left w:val="nil"/>
              <w:bottom w:val="single" w:color="4F81BD" w:sz="8" w:space="0"/>
              <w:right w:val="nil"/>
              <w:insideV w:val="nil"/>
            </w:tcBorders>
            <w:shd w:val="clear" w:color="auto" w:fill="B2DEF2" w:themeFill="accent1" w:themeFillTint="3F"/>
          </w:tcPr>
          <w:p w14:paraId="5C692F11">
            <w:pPr>
              <w:spacing w:after="160" w:line="278" w:lineRule="auto"/>
              <w:rPr>
                <w:b/>
                <w:bCs/>
                <w:color w:val="104862" w:themeColor="accent1" w:themeShade="BF"/>
              </w:rPr>
            </w:pPr>
            <w:r>
              <w:rPr>
                <w:b/>
                <w:bCs/>
                <w:color w:val="104862" w:themeColor="accent1" w:themeShade="BF"/>
              </w:rPr>
              <w:t>Dimension tables</w:t>
            </w:r>
          </w:p>
        </w:tc>
        <w:tc>
          <w:tcPr>
            <w:tcW w:w="4968" w:type="dxa"/>
            <w:tcBorders>
              <w:top w:val="nil"/>
              <w:bottom w:val="single" w:color="4F81BD" w:sz="8" w:space="0"/>
              <w:right w:val="nil"/>
              <w:insideV w:val="nil"/>
            </w:tcBorders>
            <w:shd w:val="clear" w:color="auto" w:fill="B2DEF2" w:themeFill="accent1" w:themeFillTint="3F"/>
          </w:tcPr>
          <w:p w14:paraId="4A3F920A">
            <w:pPr>
              <w:spacing w:after="160" w:line="278" w:lineRule="auto"/>
              <w:rPr>
                <w:color w:val="104862" w:themeColor="accent1" w:themeShade="BF"/>
              </w:rPr>
            </w:pPr>
            <w:r>
              <w:rPr>
                <w:color w:val="104862" w:themeColor="accent1" w:themeShade="BF"/>
              </w:rPr>
              <w:t>Stores descriptive attributes used to filter and group sales</w:t>
            </w:r>
          </w:p>
        </w:tc>
      </w:tr>
    </w:tbl>
    <w:p w14:paraId="3BDCAC7F">
      <w:pPr>
        <w:rPr>
          <w:b/>
          <w:bCs/>
        </w:rPr>
      </w:pPr>
      <w:r>
        <w:rPr>
          <w:b/>
          <w:bCs/>
        </w:rPr>
        <w:t>4. Data Preparation and Normalisation</w:t>
      </w:r>
    </w:p>
    <w:p w14:paraId="1BD25C68">
      <w:r>
        <w:t>The source order/sales data was reviewed and organised before dashboard development. The preparation workflow should include the following checks; retain only the transformations that are present in the final PBIX file.</w:t>
      </w:r>
    </w:p>
    <w:p w14:paraId="702FB435">
      <w:pPr>
        <w:numPr>
          <w:ilvl w:val="0"/>
          <w:numId w:val="2"/>
        </w:numPr>
      </w:pPr>
      <w:r>
        <w:t>Check column names and assign appropriate data types (dates, text identifiers, numeric quantities and sales values).</w:t>
      </w:r>
    </w:p>
    <w:p w14:paraId="71213875">
      <w:pPr>
        <w:numPr>
          <w:ilvl w:val="0"/>
          <w:numId w:val="2"/>
        </w:numPr>
      </w:pPr>
      <w:r>
        <w:t>Check for blank rows, missing values, duplicate transaction identifiers and inconsistent category labels.</w:t>
      </w:r>
    </w:p>
    <w:p w14:paraId="227FCD3A">
      <w:pPr>
        <w:numPr>
          <w:ilvl w:val="0"/>
          <w:numId w:val="2"/>
        </w:numPr>
      </w:pPr>
      <w:r>
        <w:t>Standardise spelling and naming in fields such as region, product, and payment method.</w:t>
      </w:r>
    </w:p>
    <w:p w14:paraId="1BF0F321">
      <w:pPr>
        <w:numPr>
          <w:ilvl w:val="0"/>
          <w:numId w:val="2"/>
        </w:numPr>
      </w:pPr>
      <w:r>
        <w:t>Create or assign unique keys for dimension records.</w:t>
      </w:r>
    </w:p>
    <w:p w14:paraId="05ABF04A">
      <w:pPr>
        <w:numPr>
          <w:ilvl w:val="0"/>
          <w:numId w:val="2"/>
        </w:numPr>
      </w:pPr>
      <w:r>
        <w:t>Add the corresponding dimension keys to the fact table so that relationships can be created reliably.</w:t>
      </w:r>
    </w:p>
    <w:p w14:paraId="302DFC4F">
      <w:pPr>
        <w:numPr>
          <w:ilvl w:val="0"/>
          <w:numId w:val="2"/>
        </w:numPr>
      </w:pPr>
      <w:r>
        <w:t>Confirm that numeric sales fields are numeric and that date fields are recognised as dates.</w:t>
      </w:r>
    </w:p>
    <w:p w14:paraId="6F3529BB">
      <w:pPr>
        <w:rPr>
          <w:b/>
          <w:bCs/>
        </w:rPr>
      </w:pPr>
      <w:r>
        <w:rPr>
          <w:b/>
          <w:bCs/>
        </w:rPr>
        <w:t>5. Data Model and Relationships</w:t>
      </w:r>
    </w:p>
    <w:p w14:paraId="658ECC43">
      <w:r>
        <w:t>The model developed in this project includes a central fact table and the Region, Product, and Payment dimension tables. The dimension tables contain descriptive values; the fact table contains the sales/order records and the keys that connect each record to its dimensions.</w:t>
      </w:r>
    </w:p>
    <w:tbl>
      <w:tblPr>
        <w:tblStyle w:val="16"/>
        <w:tblW w:w="0" w:type="auto"/>
        <w:jc w:val="center"/>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9"/>
        <w:gridCol w:w="3077"/>
        <w:gridCol w:w="3066"/>
      </w:tblGrid>
      <w:tr w14:paraId="20EF0F73">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single" w:color="4F81BD" w:sz="8" w:space="0"/>
              <w:left w:val="nil"/>
              <w:bottom w:val="nil"/>
              <w:right w:val="nil"/>
              <w:insideV w:val="nil"/>
            </w:tcBorders>
          </w:tcPr>
          <w:p w14:paraId="323F24BF">
            <w:pPr>
              <w:spacing w:before="0" w:after="160" w:line="278" w:lineRule="auto"/>
              <w:rPr>
                <w:b/>
                <w:bCs/>
                <w:color w:val="104862" w:themeColor="accent1" w:themeShade="BF"/>
              </w:rPr>
            </w:pPr>
            <w:r>
              <w:rPr>
                <w:b/>
                <w:bCs/>
                <w:color w:val="104862" w:themeColor="accent1" w:themeShade="BF"/>
              </w:rPr>
              <w:t>Table</w:t>
            </w:r>
          </w:p>
        </w:tc>
        <w:tc>
          <w:tcPr>
            <w:tcW w:w="3312" w:type="dxa"/>
            <w:tcBorders>
              <w:top w:val="single" w:color="4F81BD" w:sz="8" w:space="0"/>
              <w:bottom w:val="nil"/>
              <w:right w:val="nil"/>
              <w:insideV w:val="nil"/>
            </w:tcBorders>
          </w:tcPr>
          <w:p w14:paraId="3B717746">
            <w:pPr>
              <w:spacing w:before="0" w:after="160" w:line="278" w:lineRule="auto"/>
              <w:rPr>
                <w:b/>
                <w:bCs/>
                <w:color w:val="104862" w:themeColor="accent1" w:themeShade="BF"/>
              </w:rPr>
            </w:pPr>
            <w:r>
              <w:rPr>
                <w:b/>
                <w:bCs/>
                <w:color w:val="104862" w:themeColor="accent1" w:themeShade="BF"/>
              </w:rPr>
              <w:t>Role</w:t>
            </w:r>
          </w:p>
        </w:tc>
        <w:tc>
          <w:tcPr>
            <w:tcW w:w="3312" w:type="dxa"/>
            <w:tcBorders>
              <w:top w:val="single" w:color="4F81BD" w:sz="8" w:space="0"/>
              <w:bottom w:val="nil"/>
              <w:right w:val="nil"/>
              <w:insideV w:val="nil"/>
            </w:tcBorders>
          </w:tcPr>
          <w:p w14:paraId="0AF981A3">
            <w:pPr>
              <w:spacing w:before="0" w:after="160" w:line="278" w:lineRule="auto"/>
              <w:rPr>
                <w:b/>
                <w:bCs/>
                <w:color w:val="104862" w:themeColor="accent1" w:themeShade="BF"/>
              </w:rPr>
            </w:pPr>
            <w:r>
              <w:rPr>
                <w:b/>
                <w:bCs/>
                <w:color w:val="104862" w:themeColor="accent1" w:themeShade="BF"/>
              </w:rPr>
              <w:t>Expected relationship</w:t>
            </w:r>
          </w:p>
        </w:tc>
      </w:tr>
      <w:tr w14:paraId="750B05BA">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nil"/>
              <w:right w:val="nil"/>
              <w:insideV w:val="nil"/>
            </w:tcBorders>
            <w:shd w:val="clear" w:color="auto" w:fill="B2DEF2" w:themeFill="accent1" w:themeFillTint="3F"/>
          </w:tcPr>
          <w:p w14:paraId="0E308253">
            <w:pPr>
              <w:spacing w:after="160" w:line="278" w:lineRule="auto"/>
              <w:rPr>
                <w:b/>
                <w:bCs/>
                <w:color w:val="104862" w:themeColor="accent1" w:themeShade="BF"/>
              </w:rPr>
            </w:pPr>
            <w:r>
              <w:rPr>
                <w:b/>
                <w:bCs/>
                <w:color w:val="104862" w:themeColor="accent1" w:themeShade="BF"/>
              </w:rPr>
              <w:t>Fact table (sales/orders)</w:t>
            </w:r>
          </w:p>
        </w:tc>
        <w:tc>
          <w:tcPr>
            <w:tcW w:w="3312" w:type="dxa"/>
            <w:tcBorders>
              <w:top w:val="nil"/>
              <w:bottom w:val="nil"/>
              <w:right w:val="nil"/>
              <w:insideV w:val="nil"/>
            </w:tcBorders>
            <w:shd w:val="clear" w:color="auto" w:fill="B2DEF2" w:themeFill="accent1" w:themeFillTint="3F"/>
          </w:tcPr>
          <w:p w14:paraId="760471EE">
            <w:pPr>
              <w:spacing w:after="160" w:line="278" w:lineRule="auto"/>
              <w:rPr>
                <w:color w:val="104862" w:themeColor="accent1" w:themeShade="BF"/>
              </w:rPr>
            </w:pPr>
            <w:r>
              <w:rPr>
                <w:color w:val="104862" w:themeColor="accent1" w:themeShade="BF"/>
              </w:rPr>
              <w:t>Transaction-level measures and dimension keys</w:t>
            </w:r>
          </w:p>
        </w:tc>
        <w:tc>
          <w:tcPr>
            <w:tcW w:w="3312" w:type="dxa"/>
            <w:tcBorders>
              <w:top w:val="nil"/>
              <w:bottom w:val="nil"/>
              <w:right w:val="nil"/>
              <w:insideV w:val="nil"/>
            </w:tcBorders>
            <w:shd w:val="clear" w:color="auto" w:fill="B2DEF2" w:themeFill="accent1" w:themeFillTint="3F"/>
          </w:tcPr>
          <w:p w14:paraId="2393B81D">
            <w:pPr>
              <w:spacing w:after="160" w:line="278" w:lineRule="auto"/>
              <w:rPr>
                <w:color w:val="104862" w:themeColor="accent1" w:themeShade="BF"/>
              </w:rPr>
            </w:pPr>
            <w:r>
              <w:rPr>
                <w:color w:val="104862" w:themeColor="accent1" w:themeShade="BF"/>
              </w:rPr>
              <w:t>Many fact rows to one dimension row</w:t>
            </w:r>
          </w:p>
        </w:tc>
      </w:tr>
      <w:tr w14:paraId="00903E33">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nil"/>
              <w:right w:val="nil"/>
            </w:tcBorders>
          </w:tcPr>
          <w:p w14:paraId="42E79E91">
            <w:pPr>
              <w:spacing w:after="160" w:line="278" w:lineRule="auto"/>
              <w:rPr>
                <w:b/>
                <w:bCs/>
                <w:color w:val="104862" w:themeColor="accent1" w:themeShade="BF"/>
              </w:rPr>
            </w:pPr>
            <w:r>
              <w:rPr>
                <w:b/>
                <w:bCs/>
                <w:color w:val="104862" w:themeColor="accent1" w:themeShade="BF"/>
              </w:rPr>
              <w:t>Region dimension</w:t>
            </w:r>
          </w:p>
        </w:tc>
        <w:tc>
          <w:tcPr>
            <w:tcW w:w="3312" w:type="dxa"/>
            <w:tcBorders>
              <w:top w:val="nil"/>
              <w:left w:val="nil"/>
              <w:bottom w:val="nil"/>
              <w:right w:val="nil"/>
            </w:tcBorders>
          </w:tcPr>
          <w:p w14:paraId="4ABAED07">
            <w:pPr>
              <w:spacing w:after="160" w:line="278" w:lineRule="auto"/>
              <w:rPr>
                <w:color w:val="104862" w:themeColor="accent1" w:themeShade="BF"/>
              </w:rPr>
            </w:pPr>
            <w:r>
              <w:rPr>
                <w:color w:val="104862" w:themeColor="accent1" w:themeShade="BF"/>
              </w:rPr>
              <w:t>Region or geographic grouping</w:t>
            </w:r>
          </w:p>
        </w:tc>
        <w:tc>
          <w:tcPr>
            <w:tcW w:w="3312" w:type="dxa"/>
            <w:tcBorders>
              <w:top w:val="nil"/>
              <w:left w:val="nil"/>
              <w:bottom w:val="nil"/>
              <w:right w:val="nil"/>
            </w:tcBorders>
          </w:tcPr>
          <w:p w14:paraId="002402E8">
            <w:pPr>
              <w:spacing w:after="160" w:line="278" w:lineRule="auto"/>
              <w:rPr>
                <w:color w:val="104862" w:themeColor="accent1" w:themeShade="BF"/>
              </w:rPr>
            </w:pPr>
            <w:r>
              <w:rPr>
                <w:color w:val="104862" w:themeColor="accent1" w:themeShade="BF"/>
              </w:rPr>
              <w:t>Region key → fact table region key</w:t>
            </w:r>
          </w:p>
        </w:tc>
      </w:tr>
      <w:tr w14:paraId="5178E8A4">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nil"/>
              <w:right w:val="nil"/>
              <w:insideV w:val="nil"/>
            </w:tcBorders>
            <w:shd w:val="clear" w:color="auto" w:fill="B2DEF2" w:themeFill="accent1" w:themeFillTint="3F"/>
          </w:tcPr>
          <w:p w14:paraId="38AEDBAF">
            <w:pPr>
              <w:spacing w:after="160" w:line="278" w:lineRule="auto"/>
              <w:rPr>
                <w:b/>
                <w:bCs/>
                <w:color w:val="104862" w:themeColor="accent1" w:themeShade="BF"/>
              </w:rPr>
            </w:pPr>
            <w:r>
              <w:rPr>
                <w:b/>
                <w:bCs/>
                <w:color w:val="104862" w:themeColor="accent1" w:themeShade="BF"/>
              </w:rPr>
              <w:t>Product dimension</w:t>
            </w:r>
          </w:p>
        </w:tc>
        <w:tc>
          <w:tcPr>
            <w:tcW w:w="3312" w:type="dxa"/>
            <w:tcBorders>
              <w:top w:val="nil"/>
              <w:bottom w:val="nil"/>
              <w:right w:val="nil"/>
              <w:insideV w:val="nil"/>
            </w:tcBorders>
            <w:shd w:val="clear" w:color="auto" w:fill="B2DEF2" w:themeFill="accent1" w:themeFillTint="3F"/>
          </w:tcPr>
          <w:p w14:paraId="272E906B">
            <w:pPr>
              <w:spacing w:after="160" w:line="278" w:lineRule="auto"/>
              <w:rPr>
                <w:color w:val="104862" w:themeColor="accent1" w:themeShade="BF"/>
              </w:rPr>
            </w:pPr>
            <w:r>
              <w:rPr>
                <w:color w:val="104862" w:themeColor="accent1" w:themeShade="BF"/>
              </w:rPr>
              <w:t>Product attributes and grouping</w:t>
            </w:r>
          </w:p>
        </w:tc>
        <w:tc>
          <w:tcPr>
            <w:tcW w:w="3312" w:type="dxa"/>
            <w:tcBorders>
              <w:top w:val="nil"/>
              <w:bottom w:val="nil"/>
              <w:right w:val="nil"/>
              <w:insideV w:val="nil"/>
            </w:tcBorders>
            <w:shd w:val="clear" w:color="auto" w:fill="B2DEF2" w:themeFill="accent1" w:themeFillTint="3F"/>
          </w:tcPr>
          <w:p w14:paraId="40672EBD">
            <w:pPr>
              <w:spacing w:after="160" w:line="278" w:lineRule="auto"/>
              <w:rPr>
                <w:color w:val="104862" w:themeColor="accent1" w:themeShade="BF"/>
              </w:rPr>
            </w:pPr>
            <w:r>
              <w:rPr>
                <w:color w:val="104862" w:themeColor="accent1" w:themeShade="BF"/>
              </w:rPr>
              <w:t>Product key → fact table product key</w:t>
            </w:r>
          </w:p>
        </w:tc>
      </w:tr>
      <w:tr w14:paraId="76ABB574">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single" w:color="4F81BD" w:sz="8" w:space="0"/>
              <w:right w:val="nil"/>
            </w:tcBorders>
          </w:tcPr>
          <w:p w14:paraId="2681CF92">
            <w:pPr>
              <w:spacing w:after="160" w:line="278" w:lineRule="auto"/>
              <w:rPr>
                <w:b/>
                <w:bCs/>
                <w:color w:val="104862" w:themeColor="accent1" w:themeShade="BF"/>
              </w:rPr>
            </w:pPr>
            <w:r>
              <w:rPr>
                <w:b/>
                <w:bCs/>
                <w:color w:val="104862" w:themeColor="accent1" w:themeShade="BF"/>
              </w:rPr>
              <w:t>Payment dimension</w:t>
            </w:r>
          </w:p>
        </w:tc>
        <w:tc>
          <w:tcPr>
            <w:tcW w:w="3312" w:type="dxa"/>
            <w:tcBorders>
              <w:top w:val="nil"/>
              <w:left w:val="nil"/>
              <w:bottom w:val="single" w:color="4F81BD" w:sz="8" w:space="0"/>
              <w:right w:val="nil"/>
            </w:tcBorders>
          </w:tcPr>
          <w:p w14:paraId="5D04CE68">
            <w:pPr>
              <w:spacing w:after="160" w:line="278" w:lineRule="auto"/>
              <w:rPr>
                <w:color w:val="104862" w:themeColor="accent1" w:themeShade="BF"/>
              </w:rPr>
            </w:pPr>
            <w:r>
              <w:rPr>
                <w:color w:val="104862" w:themeColor="accent1" w:themeShade="BF"/>
              </w:rPr>
              <w:t>Payment method/type attributes</w:t>
            </w:r>
          </w:p>
        </w:tc>
        <w:tc>
          <w:tcPr>
            <w:tcW w:w="3312" w:type="dxa"/>
            <w:tcBorders>
              <w:top w:val="nil"/>
              <w:left w:val="nil"/>
              <w:bottom w:val="single" w:color="4F81BD" w:sz="8" w:space="0"/>
              <w:right w:val="nil"/>
            </w:tcBorders>
          </w:tcPr>
          <w:p w14:paraId="1C6F58BB">
            <w:pPr>
              <w:spacing w:after="160" w:line="278" w:lineRule="auto"/>
              <w:rPr>
                <w:color w:val="104862" w:themeColor="accent1" w:themeShade="BF"/>
              </w:rPr>
            </w:pPr>
            <w:r>
              <w:rPr>
                <w:color w:val="104862" w:themeColor="accent1" w:themeShade="BF"/>
              </w:rPr>
              <w:t>Payment key → fact table payment key</w:t>
            </w:r>
          </w:p>
        </w:tc>
      </w:tr>
    </w:tbl>
    <w:p w14:paraId="345D13D5">
      <w:r>
        <w:t>Recommended relationship settings: one-to-many from each dimension to the fact table, with single-direction filtering from dimension to fact wherever possible. Ensure each dimension key is unique and that the data types of matching key columns are identical. A dedicated Date dimension was not part of the model at the point of the reported build; date comparisons therefore depend on the date fields and measures already configured in the PBIX.</w:t>
      </w:r>
    </w:p>
    <w:p w14:paraId="7CAFEC7C">
      <w:pPr>
        <w:rPr>
          <w:b/>
          <w:bCs/>
        </w:rPr>
      </w:pPr>
    </w:p>
    <w:p w14:paraId="71CEB369">
      <w:pPr>
        <w:rPr>
          <w:b/>
          <w:bCs/>
        </w:rPr>
      </w:pPr>
      <w:r>
        <w:rPr>
          <w:b/>
          <w:bCs/>
        </w:rPr>
        <w:t>6. Dashboard Pages and Visuals</w:t>
      </w:r>
    </w:p>
    <w:p w14:paraId="21C5A59A">
      <w:r>
        <w:t>The report was built progressively across multiple pages. The list below documents the known visuals and functionality from the project workflow. Page titles and exact visual placement should be checked against the final PBIX before submitting this document.</w:t>
      </w:r>
    </w:p>
    <w:tbl>
      <w:tblPr>
        <w:tblStyle w:val="16"/>
        <w:tblW w:w="0" w:type="auto"/>
        <w:jc w:val="center"/>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8"/>
        <w:gridCol w:w="3114"/>
        <w:gridCol w:w="3070"/>
      </w:tblGrid>
      <w:tr w14:paraId="732C3C45">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PrEx>
        <w:trPr>
          <w:jc w:val="center"/>
        </w:trPr>
        <w:tc>
          <w:tcPr>
            <w:tcW w:w="3312" w:type="dxa"/>
            <w:tcBorders>
              <w:top w:val="single" w:color="4F81BD" w:sz="8" w:space="0"/>
              <w:left w:val="nil"/>
              <w:bottom w:val="nil"/>
              <w:right w:val="nil"/>
              <w:insideV w:val="nil"/>
            </w:tcBorders>
          </w:tcPr>
          <w:p w14:paraId="366ED27F">
            <w:pPr>
              <w:spacing w:before="0" w:after="160" w:line="278" w:lineRule="auto"/>
              <w:rPr>
                <w:b/>
                <w:bCs/>
                <w:color w:val="104862" w:themeColor="accent1" w:themeShade="BF"/>
              </w:rPr>
            </w:pPr>
            <w:r>
              <w:rPr>
                <w:b/>
                <w:bCs/>
                <w:color w:val="104862" w:themeColor="accent1" w:themeShade="BF"/>
              </w:rPr>
              <w:t>Page/area</w:t>
            </w:r>
          </w:p>
        </w:tc>
        <w:tc>
          <w:tcPr>
            <w:tcW w:w="3312" w:type="dxa"/>
            <w:tcBorders>
              <w:top w:val="single" w:color="4F81BD" w:sz="8" w:space="0"/>
              <w:bottom w:val="nil"/>
              <w:right w:val="nil"/>
              <w:insideV w:val="nil"/>
            </w:tcBorders>
          </w:tcPr>
          <w:p w14:paraId="548E2BE6">
            <w:pPr>
              <w:spacing w:before="0" w:after="160" w:line="278" w:lineRule="auto"/>
              <w:rPr>
                <w:b/>
                <w:bCs/>
                <w:color w:val="104862" w:themeColor="accent1" w:themeShade="BF"/>
              </w:rPr>
            </w:pPr>
            <w:r>
              <w:rPr>
                <w:b/>
                <w:bCs/>
                <w:color w:val="104862" w:themeColor="accent1" w:themeShade="BF"/>
              </w:rPr>
              <w:t>Known content</w:t>
            </w:r>
          </w:p>
        </w:tc>
        <w:tc>
          <w:tcPr>
            <w:tcW w:w="3312" w:type="dxa"/>
            <w:tcBorders>
              <w:top w:val="single" w:color="4F81BD" w:sz="8" w:space="0"/>
              <w:bottom w:val="nil"/>
              <w:right w:val="nil"/>
              <w:insideV w:val="nil"/>
            </w:tcBorders>
          </w:tcPr>
          <w:p w14:paraId="6D37079E">
            <w:pPr>
              <w:spacing w:before="0" w:after="160" w:line="278" w:lineRule="auto"/>
              <w:rPr>
                <w:b/>
                <w:bCs/>
                <w:color w:val="104862" w:themeColor="accent1" w:themeShade="BF"/>
              </w:rPr>
            </w:pPr>
            <w:r>
              <w:rPr>
                <w:b/>
                <w:bCs/>
                <w:color w:val="104862" w:themeColor="accent1" w:themeShade="BF"/>
              </w:rPr>
              <w:t>Purpose</w:t>
            </w:r>
          </w:p>
        </w:tc>
      </w:tr>
      <w:tr w14:paraId="75843465">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nil"/>
              <w:right w:val="nil"/>
              <w:insideV w:val="nil"/>
            </w:tcBorders>
            <w:shd w:val="clear" w:color="auto" w:fill="B2DEF2" w:themeFill="accent1" w:themeFillTint="3F"/>
          </w:tcPr>
          <w:p w14:paraId="03111749">
            <w:pPr>
              <w:spacing w:after="160" w:line="278" w:lineRule="auto"/>
              <w:rPr>
                <w:b/>
                <w:bCs/>
                <w:color w:val="104862" w:themeColor="accent1" w:themeShade="BF"/>
              </w:rPr>
            </w:pPr>
            <w:r>
              <w:rPr>
                <w:b/>
                <w:bCs/>
                <w:color w:val="104862" w:themeColor="accent1" w:themeShade="BF"/>
              </w:rPr>
              <w:t>Page 1 – Overview</w:t>
            </w:r>
          </w:p>
        </w:tc>
        <w:tc>
          <w:tcPr>
            <w:tcW w:w="3312" w:type="dxa"/>
            <w:tcBorders>
              <w:top w:val="nil"/>
              <w:bottom w:val="nil"/>
              <w:right w:val="nil"/>
              <w:insideV w:val="nil"/>
            </w:tcBorders>
            <w:shd w:val="clear" w:color="auto" w:fill="B2DEF2" w:themeFill="accent1" w:themeFillTint="3F"/>
          </w:tcPr>
          <w:p w14:paraId="41B6F481">
            <w:pPr>
              <w:spacing w:after="160" w:line="278" w:lineRule="auto"/>
              <w:rPr>
                <w:color w:val="104862" w:themeColor="accent1" w:themeShade="BF"/>
              </w:rPr>
            </w:pPr>
            <w:r>
              <w:rPr>
                <w:color w:val="104862" w:themeColor="accent1" w:themeShade="BF"/>
              </w:rPr>
              <w:t>Initial overview page and summary visuals</w:t>
            </w:r>
          </w:p>
        </w:tc>
        <w:tc>
          <w:tcPr>
            <w:tcW w:w="3312" w:type="dxa"/>
            <w:tcBorders>
              <w:top w:val="nil"/>
              <w:bottom w:val="nil"/>
              <w:right w:val="nil"/>
              <w:insideV w:val="nil"/>
            </w:tcBorders>
            <w:shd w:val="clear" w:color="auto" w:fill="B2DEF2" w:themeFill="accent1" w:themeFillTint="3F"/>
          </w:tcPr>
          <w:p w14:paraId="22CEE06B">
            <w:pPr>
              <w:spacing w:after="160" w:line="278" w:lineRule="auto"/>
              <w:rPr>
                <w:color w:val="104862" w:themeColor="accent1" w:themeShade="BF"/>
              </w:rPr>
            </w:pPr>
            <w:r>
              <w:rPr>
                <w:color w:val="104862" w:themeColor="accent1" w:themeShade="BF"/>
              </w:rPr>
              <w:t>Provide a high-level view of sales performance</w:t>
            </w:r>
          </w:p>
        </w:tc>
      </w:tr>
      <w:tr w14:paraId="062E9992">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nil"/>
              <w:right w:val="nil"/>
            </w:tcBorders>
          </w:tcPr>
          <w:p w14:paraId="6BDB0A7D">
            <w:pPr>
              <w:spacing w:after="160" w:line="278" w:lineRule="auto"/>
              <w:rPr>
                <w:b/>
                <w:bCs/>
                <w:color w:val="104862" w:themeColor="accent1" w:themeShade="BF"/>
              </w:rPr>
            </w:pPr>
            <w:r>
              <w:rPr>
                <w:b/>
                <w:bCs/>
                <w:color w:val="104862" w:themeColor="accent1" w:themeShade="BF"/>
              </w:rPr>
              <w:t>Page 2 – Analysis</w:t>
            </w:r>
          </w:p>
        </w:tc>
        <w:tc>
          <w:tcPr>
            <w:tcW w:w="3312" w:type="dxa"/>
            <w:tcBorders>
              <w:top w:val="nil"/>
              <w:left w:val="nil"/>
              <w:bottom w:val="nil"/>
              <w:right w:val="nil"/>
            </w:tcBorders>
          </w:tcPr>
          <w:p w14:paraId="4D2E4ABB">
            <w:pPr>
              <w:spacing w:after="160" w:line="278" w:lineRule="auto"/>
              <w:rPr>
                <w:color w:val="104862" w:themeColor="accent1" w:themeShade="BF"/>
              </w:rPr>
            </w:pPr>
            <w:r>
              <w:rPr>
                <w:color w:val="104862" w:themeColor="accent1" w:themeShade="BF"/>
              </w:rPr>
              <w:t>Second report page with analysis visuals</w:t>
            </w:r>
          </w:p>
        </w:tc>
        <w:tc>
          <w:tcPr>
            <w:tcW w:w="3312" w:type="dxa"/>
            <w:tcBorders>
              <w:top w:val="nil"/>
              <w:left w:val="nil"/>
              <w:bottom w:val="nil"/>
              <w:right w:val="nil"/>
            </w:tcBorders>
          </w:tcPr>
          <w:p w14:paraId="03F5C260">
            <w:pPr>
              <w:spacing w:after="160" w:line="278" w:lineRule="auto"/>
              <w:rPr>
                <w:color w:val="104862" w:themeColor="accent1" w:themeShade="BF"/>
              </w:rPr>
            </w:pPr>
            <w:r>
              <w:rPr>
                <w:color w:val="104862" w:themeColor="accent1" w:themeShade="BF"/>
              </w:rPr>
              <w:t>Explore sales patterns and compare categories or groups</w:t>
            </w:r>
          </w:p>
        </w:tc>
      </w:tr>
      <w:tr w14:paraId="3FF3D890">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nil"/>
              <w:right w:val="nil"/>
              <w:insideV w:val="nil"/>
            </w:tcBorders>
            <w:shd w:val="clear" w:color="auto" w:fill="B2DEF2" w:themeFill="accent1" w:themeFillTint="3F"/>
          </w:tcPr>
          <w:p w14:paraId="44C62E76">
            <w:pPr>
              <w:spacing w:after="160" w:line="278" w:lineRule="auto"/>
              <w:rPr>
                <w:b/>
                <w:bCs/>
                <w:color w:val="104862" w:themeColor="accent1" w:themeShade="BF"/>
              </w:rPr>
            </w:pPr>
            <w:r>
              <w:rPr>
                <w:b/>
                <w:bCs/>
                <w:color w:val="104862" w:themeColor="accent1" w:themeShade="BF"/>
              </w:rPr>
              <w:t>Page 3 – Geographic / sales analysis</w:t>
            </w:r>
          </w:p>
        </w:tc>
        <w:tc>
          <w:tcPr>
            <w:tcW w:w="3312" w:type="dxa"/>
            <w:tcBorders>
              <w:top w:val="nil"/>
              <w:bottom w:val="nil"/>
              <w:right w:val="nil"/>
              <w:insideV w:val="nil"/>
            </w:tcBorders>
            <w:shd w:val="clear" w:color="auto" w:fill="B2DEF2" w:themeFill="accent1" w:themeFillTint="3F"/>
          </w:tcPr>
          <w:p w14:paraId="01F13618">
            <w:pPr>
              <w:spacing w:after="160" w:line="278" w:lineRule="auto"/>
              <w:rPr>
                <w:color w:val="104862" w:themeColor="accent1" w:themeShade="BF"/>
              </w:rPr>
            </w:pPr>
            <w:r>
              <w:rPr>
                <w:color w:val="104862" w:themeColor="accent1" w:themeShade="BF"/>
              </w:rPr>
              <w:t>Map visual and related sales analysis</w:t>
            </w:r>
          </w:p>
        </w:tc>
        <w:tc>
          <w:tcPr>
            <w:tcW w:w="3312" w:type="dxa"/>
            <w:tcBorders>
              <w:top w:val="nil"/>
              <w:bottom w:val="nil"/>
              <w:right w:val="nil"/>
              <w:insideV w:val="nil"/>
            </w:tcBorders>
            <w:shd w:val="clear" w:color="auto" w:fill="B2DEF2" w:themeFill="accent1" w:themeFillTint="3F"/>
          </w:tcPr>
          <w:p w14:paraId="1DB4E64D">
            <w:pPr>
              <w:spacing w:after="160" w:line="278" w:lineRule="auto"/>
              <w:rPr>
                <w:color w:val="104862" w:themeColor="accent1" w:themeShade="BF"/>
              </w:rPr>
            </w:pPr>
            <w:r>
              <w:rPr>
                <w:color w:val="104862" w:themeColor="accent1" w:themeShade="BF"/>
              </w:rPr>
              <w:t>Explore sales by location where geographic fields are available</w:t>
            </w:r>
          </w:p>
        </w:tc>
      </w:tr>
      <w:tr w14:paraId="5990148F">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nil"/>
              <w:right w:val="nil"/>
            </w:tcBorders>
          </w:tcPr>
          <w:p w14:paraId="08C7ECD3">
            <w:pPr>
              <w:spacing w:after="160" w:line="278" w:lineRule="auto"/>
              <w:rPr>
                <w:b/>
                <w:bCs/>
                <w:color w:val="104862" w:themeColor="accent1" w:themeShade="BF"/>
              </w:rPr>
            </w:pPr>
            <w:r>
              <w:rPr>
                <w:b/>
                <w:bCs/>
                <w:color w:val="104862" w:themeColor="accent1" w:themeShade="BF"/>
              </w:rPr>
              <w:t>Page 4 – Supporting analysis</w:t>
            </w:r>
          </w:p>
        </w:tc>
        <w:tc>
          <w:tcPr>
            <w:tcW w:w="3312" w:type="dxa"/>
            <w:tcBorders>
              <w:top w:val="nil"/>
              <w:left w:val="nil"/>
              <w:bottom w:val="nil"/>
              <w:right w:val="nil"/>
            </w:tcBorders>
          </w:tcPr>
          <w:p w14:paraId="78D50C54">
            <w:pPr>
              <w:spacing w:after="160" w:line="278" w:lineRule="auto"/>
              <w:rPr>
                <w:color w:val="104862" w:themeColor="accent1" w:themeShade="BF"/>
              </w:rPr>
            </w:pPr>
            <w:r>
              <w:rPr>
                <w:color w:val="104862" w:themeColor="accent1" w:themeShade="BF"/>
              </w:rPr>
              <w:t>Additional report page</w:t>
            </w:r>
          </w:p>
        </w:tc>
        <w:tc>
          <w:tcPr>
            <w:tcW w:w="3312" w:type="dxa"/>
            <w:tcBorders>
              <w:top w:val="nil"/>
              <w:left w:val="nil"/>
              <w:bottom w:val="nil"/>
              <w:right w:val="nil"/>
            </w:tcBorders>
          </w:tcPr>
          <w:p w14:paraId="2046DCC4">
            <w:pPr>
              <w:spacing w:after="160" w:line="278" w:lineRule="auto"/>
              <w:rPr>
                <w:color w:val="104862" w:themeColor="accent1" w:themeShade="BF"/>
              </w:rPr>
            </w:pPr>
            <w:r>
              <w:rPr>
                <w:color w:val="104862" w:themeColor="accent1" w:themeShade="BF"/>
              </w:rPr>
              <w:t>Provide supporting detail; confirm the final page title and visuals in the PBIX</w:t>
            </w:r>
          </w:p>
        </w:tc>
      </w:tr>
      <w:tr w14:paraId="3A90E480">
        <w:tblPrEx>
          <w:tblBorders>
            <w:top w:val="single" w:color="156082" w:themeColor="accent1" w:sz="8" w:space="0"/>
            <w:left w:val="none" w:color="auto" w:sz="0" w:space="0"/>
            <w:bottom w:val="single" w:color="156082"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12" w:type="dxa"/>
            <w:tcBorders>
              <w:top w:val="nil"/>
              <w:left w:val="nil"/>
              <w:bottom w:val="single" w:color="4F81BD" w:sz="8" w:space="0"/>
              <w:right w:val="nil"/>
              <w:insideV w:val="nil"/>
            </w:tcBorders>
            <w:shd w:val="clear" w:color="auto" w:fill="B2DEF2" w:themeFill="accent1" w:themeFillTint="3F"/>
          </w:tcPr>
          <w:p w14:paraId="07718520">
            <w:pPr>
              <w:spacing w:after="160" w:line="278" w:lineRule="auto"/>
              <w:rPr>
                <w:b/>
                <w:bCs/>
                <w:color w:val="104862" w:themeColor="accent1" w:themeShade="BF"/>
              </w:rPr>
            </w:pPr>
            <w:r>
              <w:rPr>
                <w:b/>
                <w:bCs/>
                <w:color w:val="104862" w:themeColor="accent1" w:themeShade="BF"/>
              </w:rPr>
              <w:t>Page 5 – Time and order analysis</w:t>
            </w:r>
          </w:p>
        </w:tc>
        <w:tc>
          <w:tcPr>
            <w:tcW w:w="3312" w:type="dxa"/>
            <w:tcBorders>
              <w:top w:val="nil"/>
              <w:bottom w:val="single" w:color="4F81BD" w:sz="8" w:space="0"/>
              <w:right w:val="nil"/>
              <w:insideV w:val="nil"/>
            </w:tcBorders>
            <w:shd w:val="clear" w:color="auto" w:fill="B2DEF2" w:themeFill="accent1" w:themeFillTint="3F"/>
          </w:tcPr>
          <w:p w14:paraId="290CC191">
            <w:pPr>
              <w:spacing w:after="160" w:line="278" w:lineRule="auto"/>
              <w:rPr>
                <w:color w:val="104862" w:themeColor="accent1" w:themeShade="BF"/>
              </w:rPr>
            </w:pPr>
            <w:r>
              <w:rPr>
                <w:color w:val="104862" w:themeColor="accent1" w:themeShade="BF"/>
              </w:rPr>
              <w:t>Monthly Sales Trend, Yearly Sales Comparison, Order slicer, Sales by Month table; KPI, gauge and funnel visuals planned/added during interactivity work</w:t>
            </w:r>
          </w:p>
        </w:tc>
        <w:tc>
          <w:tcPr>
            <w:tcW w:w="3312" w:type="dxa"/>
            <w:tcBorders>
              <w:top w:val="nil"/>
              <w:bottom w:val="single" w:color="4F81BD" w:sz="8" w:space="0"/>
              <w:right w:val="nil"/>
              <w:insideV w:val="nil"/>
            </w:tcBorders>
            <w:shd w:val="clear" w:color="auto" w:fill="B2DEF2" w:themeFill="accent1" w:themeFillTint="3F"/>
          </w:tcPr>
          <w:p w14:paraId="696AA034">
            <w:pPr>
              <w:spacing w:after="160" w:line="278" w:lineRule="auto"/>
              <w:rPr>
                <w:color w:val="104862" w:themeColor="accent1" w:themeShade="BF"/>
              </w:rPr>
            </w:pPr>
            <w:r>
              <w:rPr>
                <w:color w:val="104862" w:themeColor="accent1" w:themeShade="BF"/>
              </w:rPr>
              <w:t>Compare sales across periods and filter or inspect order-related results</w:t>
            </w:r>
          </w:p>
        </w:tc>
      </w:tr>
    </w:tbl>
    <w:p w14:paraId="639AD4C5">
      <w:pPr>
        <w:rPr>
          <w:b/>
          <w:bCs/>
        </w:rPr>
      </w:pPr>
      <w:r>
        <w:rPr>
          <w:b/>
          <w:bCs/>
        </w:rPr>
        <w:t>7. Key Visuals</w:t>
      </w:r>
    </w:p>
    <w:p w14:paraId="45E17457">
      <w:pPr>
        <w:numPr>
          <w:ilvl w:val="0"/>
          <w:numId w:val="2"/>
        </w:numPr>
      </w:pPr>
      <w:r>
        <w:rPr>
          <w:b/>
        </w:rPr>
        <w:t xml:space="preserve">KPI cards: </w:t>
      </w:r>
      <w:r>
        <w:t>Display key summary values such as total sales or order counts. Confirm the exact KPI measures used in the final report.</w:t>
      </w:r>
    </w:p>
    <w:p w14:paraId="75390139">
      <w:pPr>
        <w:numPr>
          <w:ilvl w:val="0"/>
          <w:numId w:val="2"/>
        </w:numPr>
      </w:pPr>
      <w:r>
        <w:rPr>
          <w:b/>
        </w:rPr>
        <w:t xml:space="preserve">Monthly Sales Trend: </w:t>
      </w:r>
      <w:r>
        <w:t>Shows how sales change across months and helps identify peaks, declines, and seasonality.</w:t>
      </w:r>
    </w:p>
    <w:p w14:paraId="26F0DCD2">
      <w:pPr>
        <w:numPr>
          <w:ilvl w:val="0"/>
          <w:numId w:val="2"/>
        </w:numPr>
      </w:pPr>
      <w:r>
        <w:rPr>
          <w:b/>
        </w:rPr>
        <w:t xml:space="preserve">Yearly Sales Comparison: </w:t>
      </w:r>
      <w:r>
        <w:t>Compares sales across years when the relevant year field and measures are available.</w:t>
      </w:r>
    </w:p>
    <w:p w14:paraId="01543A89">
      <w:pPr>
        <w:numPr>
          <w:ilvl w:val="0"/>
          <w:numId w:val="2"/>
        </w:numPr>
      </w:pPr>
      <w:r>
        <w:rPr>
          <w:b/>
        </w:rPr>
        <w:t xml:space="preserve">Sales by Month table: </w:t>
      </w:r>
      <w:r>
        <w:t>Provides a tabular monthly view for checking and comparing values.</w:t>
      </w:r>
    </w:p>
    <w:p w14:paraId="17564FDF">
      <w:pPr>
        <w:numPr>
          <w:ilvl w:val="0"/>
          <w:numId w:val="2"/>
        </w:numPr>
      </w:pPr>
      <w:r>
        <w:rPr>
          <w:b/>
        </w:rPr>
        <w:t xml:space="preserve">Gauge chart: </w:t>
      </w:r>
      <w:r>
        <w:t>Compares a selected measure with a target or threshold. Set the target and maximum deliberately.</w:t>
      </w:r>
    </w:p>
    <w:p w14:paraId="6542D708">
      <w:pPr>
        <w:numPr>
          <w:ilvl w:val="0"/>
          <w:numId w:val="2"/>
        </w:numPr>
      </w:pPr>
      <w:r>
        <w:rPr>
          <w:b/>
        </w:rPr>
        <w:t xml:space="preserve">Funnel chart: </w:t>
      </w:r>
      <w:r>
        <w:t>Shows values across stages or categories when the data represents a meaningful progression.</w:t>
      </w:r>
    </w:p>
    <w:p w14:paraId="50403C03">
      <w:pPr>
        <w:numPr>
          <w:ilvl w:val="0"/>
          <w:numId w:val="2"/>
        </w:numPr>
      </w:pPr>
      <w:r>
        <w:rPr>
          <w:b/>
        </w:rPr>
        <w:t xml:space="preserve">Map: </w:t>
      </w:r>
      <w:r>
        <w:t>Displays geographic sales patterns using valid location fields. Verify map locations and aggregation.</w:t>
      </w:r>
    </w:p>
    <w:p w14:paraId="4B4B290A">
      <w:pPr>
        <w:numPr>
          <w:ilvl w:val="0"/>
          <w:numId w:val="2"/>
        </w:numPr>
      </w:pPr>
      <w:r>
        <w:rPr>
          <w:b/>
        </w:rPr>
        <w:t xml:space="preserve">Order slicer: </w:t>
      </w:r>
      <w:r>
        <w:t>Lets users filter the report by order-related values.</w:t>
      </w:r>
    </w:p>
    <w:p w14:paraId="1D723855">
      <w:pPr>
        <w:rPr>
          <w:b/>
          <w:bCs/>
        </w:rPr>
      </w:pPr>
      <w:r>
        <w:rPr>
          <w:b/>
          <w:bCs/>
        </w:rPr>
        <w:t>8. Interactivity and Navigation</w:t>
      </w:r>
    </w:p>
    <w:p w14:paraId="41E7C43C">
      <w:pPr>
        <w:numPr>
          <w:ilvl w:val="0"/>
          <w:numId w:val="2"/>
        </w:numPr>
      </w:pPr>
      <w:r>
        <w:rPr>
          <w:b/>
        </w:rPr>
        <w:t xml:space="preserve">Slicers: </w:t>
      </w:r>
      <w:r>
        <w:t>Filter report visuals by the selected order or other available fields. Test whether each slicer affects the intended visuals.</w:t>
      </w:r>
    </w:p>
    <w:p w14:paraId="736003D7">
      <w:pPr>
        <w:numPr>
          <w:ilvl w:val="0"/>
          <w:numId w:val="2"/>
        </w:numPr>
      </w:pPr>
      <w:r>
        <w:rPr>
          <w:b/>
        </w:rPr>
        <w:t xml:space="preserve">Bookmarks: </w:t>
      </w:r>
      <w:r>
        <w:t>Save a report view or selection state and use buttons/bookmark navigation to switch between views.</w:t>
      </w:r>
    </w:p>
    <w:p w14:paraId="45804B56">
      <w:pPr>
        <w:numPr>
          <w:ilvl w:val="0"/>
          <w:numId w:val="2"/>
        </w:numPr>
      </w:pPr>
      <w:r>
        <w:rPr>
          <w:b/>
        </w:rPr>
        <w:t xml:space="preserve">Page navigator: </w:t>
      </w:r>
      <w:r>
        <w:t>Provide consistent navigation between report pages.</w:t>
      </w:r>
    </w:p>
    <w:p w14:paraId="65D70260">
      <w:pPr>
        <w:numPr>
          <w:ilvl w:val="0"/>
          <w:numId w:val="2"/>
        </w:numPr>
      </w:pPr>
      <w:r>
        <w:rPr>
          <w:b/>
        </w:rPr>
        <w:t xml:space="preserve">Drill-through: </w:t>
      </w:r>
      <w:r>
        <w:t>Allow a user to right-click a data point and open a detail page filtered to that selected item. Add the required drill-through field to the target page.</w:t>
      </w:r>
    </w:p>
    <w:p w14:paraId="0482F871">
      <w:pPr>
        <w:numPr>
          <w:ilvl w:val="0"/>
          <w:numId w:val="2"/>
        </w:numPr>
      </w:pPr>
      <w:r>
        <w:rPr>
          <w:b/>
        </w:rPr>
        <w:t xml:space="preserve">Drill-down / drill-up: </w:t>
      </w:r>
      <w:r>
        <w:t>Move between levels in a visual hierarchy when that hierarchy is configured.</w:t>
      </w:r>
    </w:p>
    <w:p w14:paraId="2F81B92E">
      <w:pPr>
        <w:numPr>
          <w:ilvl w:val="0"/>
          <w:numId w:val="2"/>
        </w:numPr>
      </w:pPr>
      <w:r>
        <w:rPr>
          <w:b/>
        </w:rPr>
        <w:t xml:space="preserve">Hyperlinks: </w:t>
      </w:r>
      <w:r>
        <w:t>Open a relevant web page or resource from a clickable URL field or button. Test links before delivery.</w:t>
      </w:r>
    </w:p>
    <w:p w14:paraId="1EA9E10C">
      <w:pPr>
        <w:rPr>
          <w:b/>
          <w:bCs/>
        </w:rPr>
      </w:pPr>
      <w:r>
        <w:rPr>
          <w:b/>
          <w:bCs/>
        </w:rPr>
        <w:t>9. DAX Measures and Time Analysis</w:t>
      </w:r>
    </w:p>
    <w:p w14:paraId="762B39D6">
      <w:r>
        <w:t>Measures should be created in a dedicated measures table or in the fact table, using clear names and formats. The exact measure names and formulas are not reproduced here because they should match the expressions saved in the final PBIX. Typical measures for this project may include:</w:t>
      </w:r>
    </w:p>
    <w:p w14:paraId="7356B496">
      <w:pPr>
        <w:numPr>
          <w:ilvl w:val="0"/>
          <w:numId w:val="2"/>
        </w:numPr>
      </w:pPr>
      <w:r>
        <w:t>Total Sales – sum of the sales amount field.</w:t>
      </w:r>
    </w:p>
    <w:p w14:paraId="605AC36B">
      <w:pPr>
        <w:numPr>
          <w:ilvl w:val="0"/>
          <w:numId w:val="2"/>
        </w:numPr>
      </w:pPr>
      <w:r>
        <w:t>Total Orders – distinct count of the order identifier, if an order ID is available.</w:t>
      </w:r>
    </w:p>
    <w:p w14:paraId="1507D37D">
      <w:pPr>
        <w:numPr>
          <w:ilvl w:val="0"/>
          <w:numId w:val="2"/>
        </w:numPr>
      </w:pPr>
      <w:r>
        <w:t>Previous Year Sales – sales for the comparable period in the previous year.</w:t>
      </w:r>
    </w:p>
    <w:p w14:paraId="6849204C">
      <w:pPr>
        <w:numPr>
          <w:ilvl w:val="0"/>
          <w:numId w:val="2"/>
        </w:numPr>
      </w:pPr>
      <w:r>
        <w:t>Year-over-Year Change – current-period sales minus previous-year sales.</w:t>
      </w:r>
    </w:p>
    <w:p w14:paraId="58690529">
      <w:pPr>
        <w:numPr>
          <w:ilvl w:val="0"/>
          <w:numId w:val="2"/>
        </w:numPr>
      </w:pPr>
      <w:r>
        <w:t>Year-over-Year % – the difference divided by previous-year sales, with blank/zero handling.</w:t>
      </w:r>
    </w:p>
    <w:p w14:paraId="4FF7D1E8">
      <w:r>
        <w:t>Important: previous-year calculations are most reliable with a continuous, marked Date table related to the fact table. If the project intentionally avoids a Date table, validate that the current DAX logic handles the available date column, year boundaries, missing dates, and filter context correctly.</w:t>
      </w:r>
    </w:p>
    <w:p w14:paraId="713C8D37">
      <w:pPr>
        <w:rPr>
          <w:b/>
          <w:bCs/>
        </w:rPr>
      </w:pPr>
      <w:r>
        <w:rPr>
          <w:b/>
          <w:bCs/>
        </w:rPr>
        <w:t>10. Testing and Validation Checklist</w:t>
      </w:r>
    </w:p>
    <w:p w14:paraId="3B027250">
      <w:r>
        <w:t>☐ Check that every dimension key is unique and that all fact-table keys match a dimension record.</w:t>
      </w:r>
    </w:p>
    <w:p w14:paraId="67E8404D">
      <w:r>
        <w:t>☐ Check for unexpected blank or unmatched dimension values.</w:t>
      </w:r>
    </w:p>
    <w:p w14:paraId="53F7B0A0">
      <w:r>
        <w:t>☐ Compare total sales and order counts with the source data.</w:t>
      </w:r>
    </w:p>
    <w:p w14:paraId="603FBE1E">
      <w:r>
        <w:t>☐ Verify date, currency, decimal, and percentage formats.</w:t>
      </w:r>
    </w:p>
    <w:p w14:paraId="086D767E">
      <w:r>
        <w:t>☐ Test each slicer and confirm the expected visuals respond.</w:t>
      </w:r>
    </w:p>
    <w:p w14:paraId="6A678155">
      <w:r>
        <w:t>☐ Test bookmark buttons, page navigation, drill-through, drill-down/up and hyperlinks.</w:t>
      </w:r>
    </w:p>
    <w:p w14:paraId="1FD9979C">
      <w:r>
        <w:t>☐ Confirm the map uses the correct geographic fields and locations.</w:t>
      </w:r>
    </w:p>
    <w:p w14:paraId="799A0D91">
      <w:r>
        <w:t>☐ Check that KPI and gauge targets are meaningful and clearly labelled.</w:t>
      </w:r>
    </w:p>
    <w:p w14:paraId="260761F9">
      <w:r>
        <w:t>☐ Open the report in presentation mode and check alignment, titles, readability and page consistency.</w:t>
      </w:r>
    </w:p>
    <w:p w14:paraId="04464F53">
      <w:r>
        <w:t>☐ Save the PBIX and reopen it to ensure changes are retained.</w:t>
      </w:r>
    </w:p>
    <w:p w14:paraId="185DC9AB">
      <w:pPr>
        <w:rPr>
          <w:b/>
          <w:bCs/>
        </w:rPr>
      </w:pPr>
      <w:r>
        <w:rPr>
          <w:b/>
          <w:bCs/>
        </w:rPr>
        <w:t>11. Findings and Business Use</w:t>
      </w:r>
    </w:p>
    <w:p w14:paraId="610E6688">
      <w:r>
        <w:t>The dashboard provides a single place to review product sales, inspect changes over time, and filter the data for more detailed analysis. Once validated against the source data, it can support decisions about product performance, regional patterns, payment-method usage, and periods with higher or lower sales.</w:t>
      </w:r>
    </w:p>
    <w:p w14:paraId="00805F34">
      <w:r>
        <w:t>Do not report specific best-selling products, highest-performing regions, growth percentages, or business conclusions until those values have been verified from the completed report.</w:t>
      </w:r>
    </w:p>
    <w:p w14:paraId="3BDDFC7F">
      <w:pPr>
        <w:rPr>
          <w:b/>
          <w:bCs/>
        </w:rPr>
      </w:pPr>
      <w:r>
        <w:rPr>
          <w:b/>
          <w:bCs/>
        </w:rPr>
        <w:t>12. Conclusion</w:t>
      </w:r>
    </w:p>
    <w:p w14:paraId="4E2C5F5D">
      <w:r>
        <w:t xml:space="preserve">The Product Sales Analysis project demonstrates a Power BI workflow covering data preparation, dimensional modelling, DAX-based analysis, report visualisation, and interactive navigation. </w:t>
      </w:r>
    </w:p>
    <w:p w14:paraId="638415B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08EA7"/>
    <w:multiLevelType w:val="singleLevel"/>
    <w:tmpl w:val="11A08EA7"/>
    <w:lvl w:ilvl="0" w:tentative="0">
      <w:start w:val="1"/>
      <w:numFmt w:val="decimal"/>
      <w:suff w:val="space"/>
      <w:lvlText w:val="%1."/>
      <w:lvlJc w:val="left"/>
    </w:lvl>
  </w:abstractNum>
  <w:abstractNum w:abstractNumId="1">
    <w:nsid w:val="35D7457E"/>
    <w:multiLevelType w:val="multilevel"/>
    <w:tmpl w:val="35D7457E"/>
    <w:lvl w:ilvl="0" w:tentative="0">
      <w:start w:val="1"/>
      <w:numFmt w:val="bullet"/>
      <w:lvlText w:val=""/>
      <w:lvlJc w:val="left"/>
      <w:pPr>
        <w:tabs>
          <w:tab w:val="left" w:pos="360"/>
        </w:tabs>
        <w:ind w:left="36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9D8"/>
    <w:rsid w:val="000C1155"/>
    <w:rsid w:val="00685C5E"/>
    <w:rsid w:val="007A0A39"/>
    <w:rsid w:val="00C969D8"/>
    <w:rsid w:val="64C438F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iPriority="6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qFormat/>
    <w:uiPriority w:val="0"/>
    <w:rPr>
      <w:color w:val="800080"/>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Light Shading Accent 1"/>
    <w:basedOn w:val="12"/>
    <w:semiHidden/>
    <w:unhideWhenUsed/>
    <w:qFormat/>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1283</Words>
  <Characters>7409</Characters>
  <Lines>61</Lines>
  <Paragraphs>17</Paragraphs>
  <TotalTime>2</TotalTime>
  <ScaleCrop>false</ScaleCrop>
  <LinksUpToDate>false</LinksUpToDate>
  <CharactersWithSpaces>8579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2026-10-19T05:48:00Z</dcterms:created>
  <dc:creator>RAHEERAISI</dc:creator>
  <cp:lastModifiedBy>Raheema Abdulla</cp:lastModifiedBy>
  <dcterms:modified xsi:type="dcterms:W3CDTF">2026-10-19T06:15:57Z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90d16b30-3d3c-4140-afb4-99dec1b3e91c</vt:lpwstr>
  </property>
  <property fmtid="{D5CDD505-2E9C-101B-9397-08002B2CF9AE}" pid="3" name="KSOTemplateDocerSaveRecord">
    <vt:lpwstr>eyJoZGlkIjoiMjA4ZWU5ODkwM2VmYzVhMjAyYzI3ZDA2NDMyYTNlNDMiLCJ1c2VySWQiOiI1Njc1MDE1Nzk1NDIifQ==</vt:lpwstr>
  </property>
  <property fmtid="{D5CDD505-2E9C-101B-9397-08002B2CF9AE}" pid="4" name="KSOProductBuildVer">
    <vt:lpwstr>1033-12.1.0.29162</vt:lpwstr>
  </property>
  <property fmtid="{D5CDD505-2E9C-101B-9397-08002B2CF9AE}" pid="5" name="ICV">
    <vt:lpwstr>220D956558164AD39D6EB1E74D008601_12</vt:lpwstr>
  </property>
</Properties>
</file>