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D65D" w14:textId="07D58EF9" w:rsidR="00D16078" w:rsidRDefault="006B0073" w:rsidP="006B0073">
      <w:pPr>
        <w:jc w:val="center"/>
        <w:rPr>
          <w:b/>
          <w:bCs/>
        </w:rPr>
      </w:pPr>
      <w:r>
        <w:rPr>
          <w:b/>
          <w:bCs/>
          <w:noProof/>
        </w:rPr>
        <w:drawing>
          <wp:inline distT="0" distB="0" distL="0" distR="0" wp14:anchorId="666EB434" wp14:editId="3C5C3D25">
            <wp:extent cx="5730184" cy="2122170"/>
            <wp:effectExtent l="0" t="0" r="4445" b="0"/>
            <wp:docPr id="188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7592" name="Picture 1882987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8487" cy="2128948"/>
                    </a:xfrm>
                    <a:prstGeom prst="rect">
                      <a:avLst/>
                    </a:prstGeom>
                  </pic:spPr>
                </pic:pic>
              </a:graphicData>
            </a:graphic>
          </wp:inline>
        </w:drawing>
      </w:r>
    </w:p>
    <w:p w14:paraId="7D474B3B" w14:textId="77777777" w:rsidR="00D16656" w:rsidRDefault="00D16656" w:rsidP="00D16656">
      <w:pPr>
        <w:rPr>
          <w:b/>
          <w:bCs/>
        </w:rPr>
      </w:pPr>
    </w:p>
    <w:p w14:paraId="5CE4B569" w14:textId="77777777" w:rsidR="0046220D" w:rsidRPr="003B7EB9" w:rsidRDefault="0046220D" w:rsidP="0046220D">
      <w:pPr>
        <w:jc w:val="center"/>
        <w:rPr>
          <w:rFonts w:ascii="Aptos" w:hAnsi="Aptos"/>
          <w:b/>
          <w:bCs/>
          <w:color w:val="2E74B5" w:themeColor="accent5" w:themeShade="BF"/>
        </w:rPr>
      </w:pPr>
      <w:r w:rsidRPr="003B7EB9">
        <w:rPr>
          <w:rFonts w:ascii="Aptos" w:hAnsi="Aptos"/>
          <w:b/>
          <w:bCs/>
          <w:color w:val="2E74B5" w:themeColor="accent5" w:themeShade="BF"/>
        </w:rPr>
        <w:t>INTERNSHIP PROJECT REPORT</w:t>
      </w:r>
    </w:p>
    <w:p w14:paraId="34B0B9F0" w14:textId="4CE11077" w:rsidR="00162C7E" w:rsidRDefault="0046220D" w:rsidP="008667A9">
      <w:pPr>
        <w:pBdr>
          <w:bottom w:val="single" w:sz="12" w:space="1" w:color="2E74B5" w:themeColor="accent5" w:themeShade="BF"/>
        </w:pBdr>
        <w:jc w:val="center"/>
        <w:rPr>
          <w:rFonts w:ascii="Aptos" w:hAnsi="Aptos"/>
          <w:b/>
          <w:bCs/>
          <w:color w:val="3B3838" w:themeColor="background2" w:themeShade="40"/>
          <w:sz w:val="52"/>
          <w:szCs w:val="52"/>
        </w:rPr>
      </w:pPr>
      <w:r w:rsidRPr="005E55E0">
        <w:rPr>
          <w:rFonts w:ascii="Aptos" w:hAnsi="Aptos"/>
          <w:b/>
          <w:bCs/>
          <w:color w:val="3B3838" w:themeColor="background2" w:themeShade="40"/>
          <w:sz w:val="52"/>
          <w:szCs w:val="52"/>
        </w:rPr>
        <w:t>UNDERSTANDING FINANCIAL DATA</w:t>
      </w:r>
    </w:p>
    <w:p w14:paraId="6F0AF5A7" w14:textId="77777777" w:rsidR="003D45D9" w:rsidRPr="003D45D9" w:rsidRDefault="003D45D9" w:rsidP="008667A9">
      <w:pPr>
        <w:pBdr>
          <w:bottom w:val="single" w:sz="12" w:space="1" w:color="2E74B5" w:themeColor="accent5" w:themeShade="BF"/>
        </w:pBdr>
        <w:jc w:val="center"/>
        <w:rPr>
          <w:rFonts w:ascii="Aptos" w:hAnsi="Aptos"/>
          <w:b/>
          <w:bCs/>
          <w:color w:val="3B3838" w:themeColor="background2" w:themeShade="40"/>
        </w:rPr>
      </w:pPr>
    </w:p>
    <w:p w14:paraId="29925EE8" w14:textId="77777777" w:rsidR="003D45D9" w:rsidRPr="003D45D9" w:rsidRDefault="003D45D9" w:rsidP="00575797">
      <w:pPr>
        <w:jc w:val="center"/>
        <w:rPr>
          <w:rFonts w:ascii="Aptos" w:hAnsi="Aptos"/>
          <w:b/>
          <w:bCs/>
          <w:color w:val="2E74B5" w:themeColor="accent5" w:themeShade="BF"/>
        </w:rPr>
      </w:pPr>
    </w:p>
    <w:p w14:paraId="1FE31393" w14:textId="127EE7E1" w:rsidR="00162C7E" w:rsidRDefault="0046220D" w:rsidP="00575797">
      <w:pPr>
        <w:jc w:val="center"/>
        <w:rPr>
          <w:rFonts w:ascii="Aptos" w:hAnsi="Aptos"/>
          <w:b/>
          <w:bCs/>
          <w:color w:val="2E74B5" w:themeColor="accent5" w:themeShade="BF"/>
          <w:sz w:val="34"/>
          <w:szCs w:val="34"/>
        </w:rPr>
      </w:pPr>
      <w:r w:rsidRPr="00F16A77">
        <w:rPr>
          <w:rFonts w:ascii="Aptos" w:hAnsi="Aptos"/>
          <w:b/>
          <w:bCs/>
          <w:color w:val="2E74B5" w:themeColor="accent5" w:themeShade="BF"/>
          <w:sz w:val="34"/>
          <w:szCs w:val="34"/>
        </w:rPr>
        <w:t>Credit Risk Exploratory Data Analysis (EDA)</w:t>
      </w:r>
    </w:p>
    <w:p w14:paraId="4A2454DF" w14:textId="77777777" w:rsidR="00575797" w:rsidRPr="00F16A77" w:rsidRDefault="00575797" w:rsidP="00575797">
      <w:pPr>
        <w:jc w:val="center"/>
        <w:rPr>
          <w:rFonts w:ascii="Aptos" w:hAnsi="Aptos"/>
          <w:b/>
          <w:bCs/>
          <w:color w:val="2E74B5" w:themeColor="accent5" w:themeShade="BF"/>
          <w:sz w:val="34"/>
          <w:szCs w:val="34"/>
        </w:rPr>
      </w:pPr>
    </w:p>
    <w:p w14:paraId="132F576D" w14:textId="04DC6466" w:rsidR="0011208E" w:rsidRPr="00CB1DA2" w:rsidRDefault="0046220D" w:rsidP="0011208E">
      <w:pPr>
        <w:jc w:val="center"/>
        <w:rPr>
          <w:b/>
          <w:bCs/>
          <w:color w:val="171717" w:themeColor="background2" w:themeShade="1A"/>
          <w:sz w:val="26"/>
          <w:szCs w:val="26"/>
        </w:rPr>
      </w:pPr>
      <w:r w:rsidRPr="00CB1DA2">
        <w:rPr>
          <w:b/>
          <w:bCs/>
          <w:color w:val="171717" w:themeColor="background2" w:themeShade="1A"/>
          <w:sz w:val="26"/>
          <w:szCs w:val="26"/>
        </w:rPr>
        <w:t>Internship Role</w:t>
      </w:r>
    </w:p>
    <w:p w14:paraId="5D123230" w14:textId="77777777" w:rsidR="0046220D" w:rsidRPr="00CD08FC" w:rsidRDefault="0046220D" w:rsidP="0046220D">
      <w:pPr>
        <w:jc w:val="center"/>
        <w:rPr>
          <w:b/>
          <w:bCs/>
          <w:color w:val="3B3838" w:themeColor="background2" w:themeShade="40"/>
          <w:sz w:val="32"/>
          <w:szCs w:val="32"/>
        </w:rPr>
      </w:pPr>
      <w:r w:rsidRPr="00CD08FC">
        <w:rPr>
          <w:b/>
          <w:bCs/>
          <w:color w:val="3B3838" w:themeColor="background2" w:themeShade="40"/>
          <w:sz w:val="32"/>
          <w:szCs w:val="32"/>
        </w:rPr>
        <w:t>Junior Data Analyst – Banking &amp; Financial Services</w:t>
      </w:r>
    </w:p>
    <w:p w14:paraId="3E34E531" w14:textId="77777777" w:rsidR="00A421F5" w:rsidRPr="0011208E" w:rsidRDefault="00A421F5" w:rsidP="0046220D">
      <w:pPr>
        <w:jc w:val="center"/>
        <w:rPr>
          <w:b/>
          <w:bCs/>
          <w:sz w:val="28"/>
          <w:szCs w:val="28"/>
        </w:rPr>
      </w:pPr>
    </w:p>
    <w:p w14:paraId="1E1C513B" w14:textId="77777777" w:rsidR="0046220D" w:rsidRPr="00CB1DA2" w:rsidRDefault="0046220D" w:rsidP="0046220D">
      <w:pPr>
        <w:jc w:val="center"/>
        <w:rPr>
          <w:b/>
          <w:bCs/>
          <w:color w:val="0D0D0D" w:themeColor="text1" w:themeTint="F2"/>
          <w:sz w:val="26"/>
          <w:szCs w:val="26"/>
        </w:rPr>
      </w:pPr>
      <w:r w:rsidRPr="00CB1DA2">
        <w:rPr>
          <w:b/>
          <w:bCs/>
          <w:color w:val="0D0D0D" w:themeColor="text1" w:themeTint="F2"/>
          <w:sz w:val="26"/>
          <w:szCs w:val="26"/>
        </w:rPr>
        <w:t>Prepared by</w:t>
      </w:r>
    </w:p>
    <w:p w14:paraId="3F64FD3B" w14:textId="0F5EC94E" w:rsidR="0046220D" w:rsidRPr="00CD08FC" w:rsidRDefault="00A421F5" w:rsidP="0046220D">
      <w:pPr>
        <w:jc w:val="center"/>
        <w:rPr>
          <w:b/>
          <w:bCs/>
          <w:color w:val="3B3838" w:themeColor="background2" w:themeShade="40"/>
          <w:sz w:val="32"/>
          <w:szCs w:val="32"/>
        </w:rPr>
      </w:pPr>
      <w:r w:rsidRPr="00CD08FC">
        <w:rPr>
          <w:b/>
          <w:bCs/>
          <w:color w:val="3B3838" w:themeColor="background2" w:themeShade="40"/>
          <w:sz w:val="32"/>
          <w:szCs w:val="32"/>
        </w:rPr>
        <w:t>Rahu</w:t>
      </w:r>
      <w:r w:rsidR="00CB1DA2" w:rsidRPr="00CD08FC">
        <w:rPr>
          <w:b/>
          <w:bCs/>
          <w:color w:val="3B3838" w:themeColor="background2" w:themeShade="40"/>
          <w:sz w:val="32"/>
          <w:szCs w:val="32"/>
        </w:rPr>
        <w:t>l Prajapat</w:t>
      </w:r>
    </w:p>
    <w:p w14:paraId="13AD6F32" w14:textId="77777777" w:rsidR="00CB1DA2" w:rsidRPr="00CB1DA2" w:rsidRDefault="00CB1DA2" w:rsidP="0046220D">
      <w:pPr>
        <w:jc w:val="center"/>
        <w:rPr>
          <w:b/>
          <w:bCs/>
          <w:sz w:val="28"/>
          <w:szCs w:val="28"/>
        </w:rPr>
      </w:pPr>
    </w:p>
    <w:p w14:paraId="20538E23" w14:textId="77777777" w:rsidR="0046220D" w:rsidRPr="00CB1DA2" w:rsidRDefault="0046220D" w:rsidP="0046220D">
      <w:pPr>
        <w:jc w:val="center"/>
        <w:rPr>
          <w:b/>
          <w:bCs/>
          <w:color w:val="0D0D0D" w:themeColor="text1" w:themeTint="F2"/>
          <w:sz w:val="26"/>
          <w:szCs w:val="26"/>
        </w:rPr>
      </w:pPr>
      <w:r w:rsidRPr="00CB1DA2">
        <w:rPr>
          <w:b/>
          <w:bCs/>
          <w:color w:val="0D0D0D" w:themeColor="text1" w:themeTint="F2"/>
          <w:sz w:val="26"/>
          <w:szCs w:val="26"/>
        </w:rPr>
        <w:t>Tools Used</w:t>
      </w:r>
    </w:p>
    <w:p w14:paraId="4080960D" w14:textId="77777777" w:rsidR="0046220D" w:rsidRPr="00CD08FC" w:rsidRDefault="0046220D" w:rsidP="0046220D">
      <w:pPr>
        <w:jc w:val="center"/>
        <w:rPr>
          <w:b/>
          <w:bCs/>
          <w:color w:val="3B3838" w:themeColor="background2" w:themeShade="40"/>
          <w:sz w:val="32"/>
          <w:szCs w:val="32"/>
        </w:rPr>
      </w:pPr>
      <w:r w:rsidRPr="00CD08FC">
        <w:rPr>
          <w:b/>
          <w:bCs/>
          <w:color w:val="3B3838" w:themeColor="background2" w:themeShade="40"/>
          <w:sz w:val="32"/>
          <w:szCs w:val="32"/>
        </w:rPr>
        <w:t>Microsoft Excel | Python | Pandas</w:t>
      </w:r>
    </w:p>
    <w:p w14:paraId="782FC489" w14:textId="77777777" w:rsidR="00CB1DA2" w:rsidRPr="00CB1DA2" w:rsidRDefault="00CB1DA2" w:rsidP="0046220D">
      <w:pPr>
        <w:jc w:val="center"/>
        <w:rPr>
          <w:b/>
          <w:bCs/>
          <w:sz w:val="28"/>
          <w:szCs w:val="28"/>
        </w:rPr>
      </w:pPr>
    </w:p>
    <w:p w14:paraId="31651383" w14:textId="24FC40D4" w:rsidR="00105E42" w:rsidRPr="00CB1DA2" w:rsidRDefault="0046220D" w:rsidP="00105E42">
      <w:pPr>
        <w:jc w:val="center"/>
        <w:rPr>
          <w:b/>
          <w:bCs/>
          <w:color w:val="0D0D0D" w:themeColor="text1" w:themeTint="F2"/>
          <w:sz w:val="26"/>
          <w:szCs w:val="26"/>
        </w:rPr>
      </w:pPr>
      <w:r w:rsidRPr="00CB1DA2">
        <w:rPr>
          <w:b/>
          <w:bCs/>
          <w:color w:val="0D0D0D" w:themeColor="text1" w:themeTint="F2"/>
          <w:sz w:val="26"/>
          <w:szCs w:val="26"/>
        </w:rPr>
        <w:t>Submission Date</w:t>
      </w:r>
    </w:p>
    <w:p w14:paraId="785A013F" w14:textId="64031768" w:rsidR="000F0CE6" w:rsidRPr="003E5DC9" w:rsidRDefault="0046220D" w:rsidP="003E5DC9">
      <w:pPr>
        <w:jc w:val="center"/>
        <w:rPr>
          <w:b/>
          <w:bCs/>
          <w:color w:val="3B3838" w:themeColor="background2" w:themeShade="40"/>
          <w:sz w:val="32"/>
          <w:szCs w:val="32"/>
        </w:rPr>
      </w:pPr>
      <w:r w:rsidRPr="00CD08FC">
        <w:rPr>
          <w:b/>
          <w:bCs/>
          <w:color w:val="3B3838" w:themeColor="background2" w:themeShade="40"/>
          <w:sz w:val="32"/>
          <w:szCs w:val="32"/>
        </w:rPr>
        <w:t>16 October 2026</w:t>
      </w:r>
    </w:p>
    <w:p w14:paraId="6A98673C" w14:textId="77777777" w:rsidR="00E3565B" w:rsidRPr="0085125F" w:rsidRDefault="00E3565B" w:rsidP="00E3565B">
      <w:pPr>
        <w:rPr>
          <w:b/>
          <w:bCs/>
          <w:sz w:val="28"/>
          <w:szCs w:val="28"/>
        </w:rPr>
      </w:pPr>
      <w:r w:rsidRPr="0085125F">
        <w:rPr>
          <w:b/>
          <w:bCs/>
          <w:sz w:val="28"/>
          <w:szCs w:val="28"/>
        </w:rPr>
        <w:lastRenderedPageBreak/>
        <w:t>1. Introduction</w:t>
      </w:r>
    </w:p>
    <w:p w14:paraId="76C04A09" w14:textId="3BABC22B" w:rsidR="001C4A04" w:rsidRDefault="00E3565B" w:rsidP="00B117C1">
      <w:r w:rsidRPr="007004BE">
        <w:t>Credit risk is an important part of banking and financial services because lenders need to understand the possibility of borrowers failing to repay their loans. Analysing loan data helps financial institutions identify patterns in repayments and understand which factors may be associated with loan defaults. In this project, I worked with a credit risk dataset containing information about borrowers, their income, loan details, employment length, and loan status. The main aim was to explore the dataset, check its quality, and identify useful patterns related to loan defaults. I used Microsoft Excel and Python to clean, analyse, and understand the data.</w:t>
      </w:r>
    </w:p>
    <w:p w14:paraId="7443EA65" w14:textId="77777777" w:rsidR="007004BE" w:rsidRPr="007004BE" w:rsidRDefault="007004BE" w:rsidP="00B117C1"/>
    <w:p w14:paraId="5D3D4A28" w14:textId="50B7CD3D" w:rsidR="001542C6" w:rsidRPr="0085125F" w:rsidRDefault="001542C6" w:rsidP="001C4A04">
      <w:pPr>
        <w:tabs>
          <w:tab w:val="right" w:pos="9026"/>
        </w:tabs>
        <w:rPr>
          <w:b/>
          <w:bCs/>
          <w:sz w:val="28"/>
          <w:szCs w:val="28"/>
        </w:rPr>
      </w:pPr>
      <w:r w:rsidRPr="0085125F">
        <w:rPr>
          <w:b/>
          <w:bCs/>
          <w:sz w:val="28"/>
          <w:szCs w:val="28"/>
        </w:rPr>
        <w:t>2. Dataset Overview</w:t>
      </w:r>
      <w:r w:rsidR="001C4A04">
        <w:rPr>
          <w:b/>
          <w:bCs/>
          <w:sz w:val="28"/>
          <w:szCs w:val="28"/>
        </w:rPr>
        <w:tab/>
      </w:r>
    </w:p>
    <w:p w14:paraId="1352CBAF" w14:textId="77777777" w:rsidR="001542C6" w:rsidRPr="007004BE" w:rsidRDefault="001542C6" w:rsidP="001542C6">
      <w:r w:rsidRPr="007004BE">
        <w:t>The dataset used for this project contains 9,983 records and 12 columns related to borrowers and their loans. It includes details such as age, annual income, home ownership, employment length, loan purpose, loan grade, loan amount, interest rate, and loan status. The dataset was used to understand borrower characteristics and explore patterns associated with loan defaults.</w:t>
      </w:r>
    </w:p>
    <w:p w14:paraId="6A5CA24F" w14:textId="77777777" w:rsidR="001542C6" w:rsidRPr="007004BE" w:rsidRDefault="001542C6" w:rsidP="001542C6">
      <w:r w:rsidRPr="007004BE">
        <w:t>The data was analysed using Microsoft Excel and Python. Before starting the analysis, I checked the dataset structure, missing values, and duplicate records to understand its quality and suitability for further analysis.</w:t>
      </w:r>
    </w:p>
    <w:p w14:paraId="535926F6" w14:textId="72B24416" w:rsidR="003A720D" w:rsidRPr="007004BE" w:rsidRDefault="00EA2897" w:rsidP="001542C6">
      <w:r w:rsidRPr="007004BE">
        <w:t>The dataset was obtained from a publicly available CSV file hosted on GitHub, named credit_risk_dataset.csv.</w:t>
      </w:r>
    </w:p>
    <w:p w14:paraId="4264C50C" w14:textId="77777777" w:rsidR="00EA2897" w:rsidRPr="001542C6" w:rsidRDefault="00EA2897" w:rsidP="001542C6">
      <w:pPr>
        <w:rPr>
          <w:b/>
          <w:bCs/>
        </w:rPr>
      </w:pPr>
    </w:p>
    <w:p w14:paraId="514CB980" w14:textId="77777777" w:rsidR="003A720D" w:rsidRPr="0085125F" w:rsidRDefault="003A720D" w:rsidP="003A720D">
      <w:pPr>
        <w:rPr>
          <w:b/>
          <w:bCs/>
          <w:sz w:val="28"/>
          <w:szCs w:val="28"/>
        </w:rPr>
      </w:pPr>
      <w:r w:rsidRPr="0085125F">
        <w:rPr>
          <w:b/>
          <w:bCs/>
          <w:sz w:val="28"/>
          <w:szCs w:val="28"/>
        </w:rPr>
        <w:t>3. Data Cleaning and Quality Checks</w:t>
      </w:r>
    </w:p>
    <w:p w14:paraId="077547D5" w14:textId="28EC86E9" w:rsidR="003A720D" w:rsidRPr="007004BE" w:rsidRDefault="003A720D" w:rsidP="003A720D">
      <w:r w:rsidRPr="007004BE">
        <w:t>Before performing the analysis, I checked the dataset for missing values</w:t>
      </w:r>
      <w:r w:rsidR="00993BC4" w:rsidRPr="007004BE">
        <w:t xml:space="preserve"> and</w:t>
      </w:r>
      <w:r w:rsidRPr="007004BE">
        <w:t xml:space="preserve"> duplicate records. The original dataset contained duplicate records, which were removed during cleaning. After removing duplicates, the dataset contained 9,983 records and 12 columns.</w:t>
      </w:r>
    </w:p>
    <w:p w14:paraId="3951722C" w14:textId="77777777" w:rsidR="003A720D" w:rsidRPr="007004BE" w:rsidRDefault="003A720D" w:rsidP="003A720D">
      <w:r w:rsidRPr="007004BE">
        <w:t>The cleaned dataset had 279 missing values in the employment length column and 990 missing values in the loan interest rate column. These values were left missing because the correct information could not be verified. I also identified an unusually high age value of 123 and retained it because there was insufficient evidence to correct it accurately.</w:t>
      </w:r>
    </w:p>
    <w:p w14:paraId="21AEF0C8" w14:textId="663EC8DB" w:rsidR="001542C6" w:rsidRDefault="003A720D" w:rsidP="00B117C1">
      <w:r w:rsidRPr="007004BE">
        <w:t>After cleaning, I verified that the dataset contained no fully duplicated rows. These checks helped me understand the data quality before moving to exploratory data analysis.</w:t>
      </w:r>
    </w:p>
    <w:p w14:paraId="3C894A81" w14:textId="77777777" w:rsidR="00D16078" w:rsidRDefault="00D16078" w:rsidP="00B117C1"/>
    <w:p w14:paraId="5575C26F" w14:textId="77777777" w:rsidR="00D16078" w:rsidRPr="007004BE" w:rsidRDefault="00D16078" w:rsidP="00B117C1"/>
    <w:p w14:paraId="0D4F197B" w14:textId="77777777" w:rsidR="00DE2E6A" w:rsidRPr="0085125F" w:rsidRDefault="00DE2E6A" w:rsidP="00DE2E6A">
      <w:pPr>
        <w:rPr>
          <w:b/>
          <w:bCs/>
          <w:sz w:val="28"/>
          <w:szCs w:val="28"/>
        </w:rPr>
      </w:pPr>
      <w:r w:rsidRPr="0085125F">
        <w:rPr>
          <w:b/>
          <w:bCs/>
          <w:sz w:val="28"/>
          <w:szCs w:val="28"/>
        </w:rPr>
        <w:lastRenderedPageBreak/>
        <w:t>4. Analysis Methodology</w:t>
      </w:r>
    </w:p>
    <w:p w14:paraId="2E914EC3" w14:textId="6A4627A4" w:rsidR="00DE2E6A" w:rsidRPr="007004BE" w:rsidRDefault="00DE2E6A" w:rsidP="00DE2E6A">
      <w:r w:rsidRPr="007004BE">
        <w:t>The analysis was carried out using Microsoft Excel and Python. In Excel I used formulas, filters, and summary tables to examine the dataset and compare loan characteristics. I also created charts to present the results clearly.</w:t>
      </w:r>
    </w:p>
    <w:p w14:paraId="178768D5" w14:textId="04FF025A" w:rsidR="00DE2E6A" w:rsidRPr="007004BE" w:rsidRDefault="00DE2E6A" w:rsidP="00DE2E6A">
      <w:r w:rsidRPr="007004BE">
        <w:t>In Python, I used the Pandas library to inspect the dataset, check missing values and duplicate records and compare default rates across different borrower and loan categories. I created visualisations to make the main patterns easier to understand.</w:t>
      </w:r>
    </w:p>
    <w:p w14:paraId="40CD6CA0" w14:textId="77777777" w:rsidR="00DE2E6A" w:rsidRPr="007004BE" w:rsidRDefault="00DE2E6A" w:rsidP="00DE2E6A">
      <w:r w:rsidRPr="007004BE">
        <w:t>The analysis focused on loan status, loan grade, loan intent, home ownership, borrower age, average loan amount, and annual income.</w:t>
      </w:r>
    </w:p>
    <w:p w14:paraId="39D930AB" w14:textId="77777777" w:rsidR="00DE2E6A" w:rsidRDefault="00DE2E6A" w:rsidP="00B117C1">
      <w:pPr>
        <w:rPr>
          <w:b/>
          <w:bCs/>
        </w:rPr>
      </w:pPr>
    </w:p>
    <w:p w14:paraId="2D7D439F" w14:textId="77777777" w:rsidR="003A614C" w:rsidRPr="0085125F" w:rsidRDefault="003A614C" w:rsidP="003A614C">
      <w:pPr>
        <w:rPr>
          <w:b/>
          <w:bCs/>
          <w:sz w:val="28"/>
          <w:szCs w:val="28"/>
        </w:rPr>
      </w:pPr>
      <w:r w:rsidRPr="0085125F">
        <w:rPr>
          <w:b/>
          <w:bCs/>
          <w:sz w:val="28"/>
          <w:szCs w:val="28"/>
        </w:rPr>
        <w:t>5. Key Findings</w:t>
      </w:r>
    </w:p>
    <w:p w14:paraId="3997FDDC" w14:textId="77777777" w:rsidR="003A614C" w:rsidRPr="007004BE" w:rsidRDefault="003A614C" w:rsidP="003A614C">
      <w:r w:rsidRPr="007004BE">
        <w:t>The analysis showed that 22.14% of the loans in the dataset had a default status, while 77.86% were non-defaulted.</w:t>
      </w:r>
    </w:p>
    <w:p w14:paraId="16F2A542" w14:textId="77777777" w:rsidR="003A614C" w:rsidRPr="007004BE" w:rsidRDefault="003A614C" w:rsidP="003A614C">
      <w:r w:rsidRPr="007004BE">
        <w:t>Loan grade was associated with substantial differences in default rates. Grade G had a default rate of 100%, while Grade A had the lowest rate at approximately 9.68%.</w:t>
      </w:r>
    </w:p>
    <w:p w14:paraId="75BAA1A0" w14:textId="77777777" w:rsidR="003A614C" w:rsidRPr="007004BE" w:rsidRDefault="003A614C" w:rsidP="003A614C">
      <w:r w:rsidRPr="007004BE">
        <w:t>The average loan amount for defaulted loans was approximately ₹10,728.55, compared with ₹9,250.35 for non-defaulted loans.</w:t>
      </w:r>
    </w:p>
    <w:p w14:paraId="13D7705D" w14:textId="77777777" w:rsidR="003A614C" w:rsidRPr="007004BE" w:rsidRDefault="003A614C" w:rsidP="003A614C">
      <w:r w:rsidRPr="007004BE">
        <w:t>Default rates also varied by loan intent. Debt consolidation had the highest default rate at approximately 29.91%, while venture loans had the lowest at approximately 14.74%.</w:t>
      </w:r>
    </w:p>
    <w:p w14:paraId="7CFDBE03" w14:textId="7805C8C9" w:rsidR="00EF741D" w:rsidRPr="007004BE" w:rsidRDefault="003A614C" w:rsidP="003A614C">
      <w:r w:rsidRPr="007004BE">
        <w:t>Home ownership showed differences as well. Renters had a default rate of approximately 32.14%, while borrowers who owned their homes had a rate of approximately 7.47%. These results describe patterns in this dataset and do not establish that any one factor causes loan defaults.</w:t>
      </w:r>
    </w:p>
    <w:p w14:paraId="1D153B2F" w14:textId="77777777" w:rsidR="008A36E9" w:rsidRPr="007004BE" w:rsidRDefault="008A36E9" w:rsidP="008A36E9">
      <w:r w:rsidRPr="007004BE">
        <w:t>Average annual income also varied across loan grades. Borrowers in Grade G had the highest average annual income at approximately ₹77,954, while Grade D had the lowest at approximately ₹63,696. These are differences observed in the dataset and do not establish a cause-and-effect relationship.</w:t>
      </w:r>
    </w:p>
    <w:p w14:paraId="46E4376F" w14:textId="77777777" w:rsidR="008A36E9" w:rsidRDefault="008A36E9" w:rsidP="003A614C">
      <w:pPr>
        <w:rPr>
          <w:b/>
          <w:bCs/>
        </w:rPr>
      </w:pPr>
    </w:p>
    <w:p w14:paraId="5C36A38A" w14:textId="77777777" w:rsidR="00EF741D" w:rsidRDefault="00EF741D" w:rsidP="00EF741D">
      <w:pPr>
        <w:rPr>
          <w:b/>
          <w:bCs/>
          <w:sz w:val="28"/>
          <w:szCs w:val="28"/>
        </w:rPr>
      </w:pPr>
      <w:r w:rsidRPr="003C4B58">
        <w:rPr>
          <w:b/>
          <w:bCs/>
          <w:sz w:val="28"/>
          <w:szCs w:val="28"/>
        </w:rPr>
        <w:t>6. Additional EDA Findings</w:t>
      </w:r>
    </w:p>
    <w:p w14:paraId="372CDE11" w14:textId="77777777" w:rsidR="00EF741D" w:rsidRPr="007004BE" w:rsidRDefault="00EF741D" w:rsidP="00EF741D">
      <w:r w:rsidRPr="007004BE">
        <w:t>The analysis also examined default rates across different borrower age groups. Borrowers aged 25 or younger had a default rate of approximately 23.90%, while those aged 26–35 had a rate of 20.25%. The rate was 21.47% for borrowers aged 36–50 and 26.83% for those over 50. However, the over-50 group contained only 82 records, so its result should be interpreted cautiously.</w:t>
      </w:r>
    </w:p>
    <w:tbl>
      <w:tblPr>
        <w:tblStyle w:val="TableGrid"/>
        <w:tblW w:w="9166" w:type="dxa"/>
        <w:tblLook w:val="04A0" w:firstRow="1" w:lastRow="0" w:firstColumn="1" w:lastColumn="0" w:noHBand="0" w:noVBand="1"/>
      </w:tblPr>
      <w:tblGrid>
        <w:gridCol w:w="4583"/>
        <w:gridCol w:w="4583"/>
      </w:tblGrid>
      <w:tr w:rsidR="00205D75" w14:paraId="41253B04" w14:textId="77777777" w:rsidTr="0093683E">
        <w:trPr>
          <w:trHeight w:val="400"/>
        </w:trPr>
        <w:tc>
          <w:tcPr>
            <w:tcW w:w="4583" w:type="dxa"/>
          </w:tcPr>
          <w:p w14:paraId="7D29B723" w14:textId="70BBF264" w:rsidR="00205D75" w:rsidRPr="0093683E" w:rsidRDefault="00205D75" w:rsidP="00F85245">
            <w:pPr>
              <w:jc w:val="center"/>
              <w:rPr>
                <w:b/>
                <w:bCs/>
                <w:sz w:val="28"/>
                <w:szCs w:val="28"/>
              </w:rPr>
            </w:pPr>
            <w:r w:rsidRPr="0093683E">
              <w:rPr>
                <w:b/>
                <w:bCs/>
                <w:sz w:val="28"/>
                <w:szCs w:val="28"/>
              </w:rPr>
              <w:lastRenderedPageBreak/>
              <w:t>B</w:t>
            </w:r>
            <w:r w:rsidR="00F85245" w:rsidRPr="0093683E">
              <w:rPr>
                <w:b/>
                <w:bCs/>
                <w:sz w:val="28"/>
                <w:szCs w:val="28"/>
              </w:rPr>
              <w:t>orr</w:t>
            </w:r>
            <w:r w:rsidRPr="0093683E">
              <w:rPr>
                <w:b/>
                <w:bCs/>
                <w:sz w:val="28"/>
                <w:szCs w:val="28"/>
              </w:rPr>
              <w:t>ower Age Group</w:t>
            </w:r>
          </w:p>
        </w:tc>
        <w:tc>
          <w:tcPr>
            <w:tcW w:w="4583" w:type="dxa"/>
          </w:tcPr>
          <w:p w14:paraId="4463BBB7" w14:textId="13176DB4" w:rsidR="00F85245" w:rsidRPr="0093683E" w:rsidRDefault="00F85245" w:rsidP="00F85245">
            <w:pPr>
              <w:jc w:val="center"/>
              <w:rPr>
                <w:b/>
                <w:bCs/>
                <w:sz w:val="28"/>
                <w:szCs w:val="28"/>
              </w:rPr>
            </w:pPr>
            <w:r w:rsidRPr="0093683E">
              <w:rPr>
                <w:b/>
                <w:bCs/>
                <w:sz w:val="28"/>
                <w:szCs w:val="28"/>
              </w:rPr>
              <w:t>Default Age</w:t>
            </w:r>
          </w:p>
        </w:tc>
      </w:tr>
      <w:tr w:rsidR="00205D75" w14:paraId="72CD259C" w14:textId="77777777" w:rsidTr="0093683E">
        <w:trPr>
          <w:trHeight w:val="413"/>
        </w:trPr>
        <w:tc>
          <w:tcPr>
            <w:tcW w:w="4583" w:type="dxa"/>
          </w:tcPr>
          <w:p w14:paraId="4C55D2A2" w14:textId="306C153B" w:rsidR="0093683E" w:rsidRPr="00875579" w:rsidRDefault="00F85245" w:rsidP="00EF741D">
            <w:r w:rsidRPr="00875579">
              <w:t xml:space="preserve">25 or </w:t>
            </w:r>
            <w:r w:rsidR="0093683E" w:rsidRPr="00875579">
              <w:t>younger</w:t>
            </w:r>
          </w:p>
        </w:tc>
        <w:tc>
          <w:tcPr>
            <w:tcW w:w="4583" w:type="dxa"/>
          </w:tcPr>
          <w:p w14:paraId="137E63F3" w14:textId="4568D55F" w:rsidR="00205D75" w:rsidRPr="00875579" w:rsidRDefault="00875579" w:rsidP="00EF741D">
            <w:r w:rsidRPr="00875579">
              <w:t>23.90%</w:t>
            </w:r>
          </w:p>
        </w:tc>
      </w:tr>
      <w:tr w:rsidR="00205D75" w14:paraId="598DC8DD" w14:textId="77777777" w:rsidTr="0093683E">
        <w:trPr>
          <w:trHeight w:val="400"/>
        </w:trPr>
        <w:tc>
          <w:tcPr>
            <w:tcW w:w="4583" w:type="dxa"/>
          </w:tcPr>
          <w:p w14:paraId="4328C4B0" w14:textId="626DA516" w:rsidR="00205D75" w:rsidRPr="00875579" w:rsidRDefault="00875579" w:rsidP="00EF741D">
            <w:r w:rsidRPr="00875579">
              <w:t>26-35</w:t>
            </w:r>
          </w:p>
        </w:tc>
        <w:tc>
          <w:tcPr>
            <w:tcW w:w="4583" w:type="dxa"/>
          </w:tcPr>
          <w:p w14:paraId="0E0E66E3" w14:textId="16DB77C6" w:rsidR="00205D75" w:rsidRPr="00875579" w:rsidRDefault="00875579" w:rsidP="00EF741D">
            <w:r w:rsidRPr="00875579">
              <w:t>20.25%</w:t>
            </w:r>
          </w:p>
        </w:tc>
      </w:tr>
      <w:tr w:rsidR="00205D75" w14:paraId="4AD99937" w14:textId="77777777" w:rsidTr="0093683E">
        <w:trPr>
          <w:trHeight w:val="400"/>
        </w:trPr>
        <w:tc>
          <w:tcPr>
            <w:tcW w:w="4583" w:type="dxa"/>
          </w:tcPr>
          <w:p w14:paraId="2F5F9B2E" w14:textId="37FCFF14" w:rsidR="00205D75" w:rsidRPr="00875579" w:rsidRDefault="00875579" w:rsidP="00EF741D">
            <w:r w:rsidRPr="00875579">
              <w:t>36-50</w:t>
            </w:r>
          </w:p>
        </w:tc>
        <w:tc>
          <w:tcPr>
            <w:tcW w:w="4583" w:type="dxa"/>
          </w:tcPr>
          <w:p w14:paraId="01D105D6" w14:textId="0C3F99E0" w:rsidR="00205D75" w:rsidRPr="00875579" w:rsidRDefault="00875579" w:rsidP="00EF741D">
            <w:r w:rsidRPr="00875579">
              <w:t>21.47%</w:t>
            </w:r>
          </w:p>
        </w:tc>
      </w:tr>
      <w:tr w:rsidR="00205D75" w14:paraId="414FEB1A" w14:textId="77777777" w:rsidTr="0093683E">
        <w:trPr>
          <w:trHeight w:val="400"/>
        </w:trPr>
        <w:tc>
          <w:tcPr>
            <w:tcW w:w="4583" w:type="dxa"/>
          </w:tcPr>
          <w:p w14:paraId="18D7AED9" w14:textId="5C13AD6E" w:rsidR="00205D75" w:rsidRPr="00875579" w:rsidRDefault="00875579" w:rsidP="00EF741D">
            <w:r w:rsidRPr="00875579">
              <w:t>Over 50</w:t>
            </w:r>
          </w:p>
        </w:tc>
        <w:tc>
          <w:tcPr>
            <w:tcW w:w="4583" w:type="dxa"/>
          </w:tcPr>
          <w:p w14:paraId="255B7979" w14:textId="0C47B704" w:rsidR="00205D75" w:rsidRPr="00875579" w:rsidRDefault="00875579" w:rsidP="00EF741D">
            <w:r w:rsidRPr="00875579">
              <w:t>26.83%</w:t>
            </w:r>
          </w:p>
        </w:tc>
      </w:tr>
    </w:tbl>
    <w:p w14:paraId="2E88DFDC" w14:textId="77777777" w:rsidR="00B86A56" w:rsidRDefault="00B86A56" w:rsidP="00B117C1">
      <w:pPr>
        <w:rPr>
          <w:b/>
          <w:bCs/>
        </w:rPr>
      </w:pPr>
    </w:p>
    <w:p w14:paraId="33D06E9D" w14:textId="79257F12" w:rsidR="00EF741D" w:rsidRPr="007004BE" w:rsidRDefault="00EF741D" w:rsidP="00B117C1">
      <w:r w:rsidRPr="007004BE">
        <w:t>I also examined loan status across home ownership categories. Borrowers who owned their homes had a default rate of approximately 7.47%, while renters had a rate of 32.14%. The 'Other' category had a rate of 33.33%, but it contained only 42 records. These comparisons show differences within the dataset, but they do not prove that age or home ownership causes loan defaults.</w:t>
      </w:r>
    </w:p>
    <w:p w14:paraId="1A8D294B" w14:textId="6C773245" w:rsidR="008818BD" w:rsidRPr="00EF741D" w:rsidRDefault="00055437" w:rsidP="00B117C1">
      <w:pPr>
        <w:rPr>
          <w:b/>
          <w:bCs/>
        </w:rPr>
      </w:pPr>
      <w:r>
        <w:rPr>
          <w:b/>
          <w:bCs/>
          <w:sz w:val="28"/>
          <w:szCs w:val="28"/>
        </w:rPr>
        <w:t>7</w:t>
      </w:r>
      <w:r w:rsidR="008818BD" w:rsidRPr="0085125F">
        <w:rPr>
          <w:b/>
          <w:bCs/>
          <w:sz w:val="28"/>
          <w:szCs w:val="28"/>
        </w:rPr>
        <w:t>. Charts and Visualizations.</w:t>
      </w:r>
      <w:r w:rsidR="008818BD" w:rsidRPr="008818BD">
        <w:rPr>
          <w:noProof/>
        </w:rPr>
        <w:t xml:space="preserve"> </w:t>
      </w:r>
    </w:p>
    <w:p w14:paraId="1C1C60BF" w14:textId="77777777" w:rsidR="00801856" w:rsidRDefault="00801856">
      <w:r>
        <w:rPr>
          <w:noProof/>
        </w:rPr>
        <w:drawing>
          <wp:inline distT="0" distB="0" distL="0" distR="0" wp14:anchorId="3C3666A5" wp14:editId="08EB8D7F">
            <wp:extent cx="4975860" cy="2994660"/>
            <wp:effectExtent l="0" t="0" r="15240" b="15240"/>
            <wp:docPr id="488176093" name="Chart 1">
              <a:extLst xmlns:a="http://schemas.openxmlformats.org/drawingml/2006/main">
                <a:ext uri="{FF2B5EF4-FFF2-40B4-BE49-F238E27FC236}">
                  <a16:creationId xmlns:a16="http://schemas.microsoft.com/office/drawing/2014/main" id="{5D47BD05-2B98-A43F-5817-ED507D8D60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3EB6E7A" w14:textId="0151A574" w:rsidR="00B67F4B" w:rsidRPr="00B67F4B" w:rsidRDefault="00B67F4B" w:rsidP="00B67F4B">
      <w:r w:rsidRPr="00B67F4B">
        <w:t xml:space="preserve">The chart compares default rates across different loan purposes. Debt consolidation has the highest default rate at </w:t>
      </w:r>
      <w:r w:rsidR="00367F8A" w:rsidRPr="0026490B">
        <w:t>approximately</w:t>
      </w:r>
      <w:r w:rsidR="00CC2422">
        <w:t xml:space="preserve"> </w:t>
      </w:r>
      <w:r w:rsidRPr="00B67F4B">
        <w:t>29.91%, while venture loans have the lowest at</w:t>
      </w:r>
      <w:r w:rsidR="00367F8A">
        <w:t xml:space="preserve"> </w:t>
      </w:r>
      <w:r w:rsidR="00367F8A" w:rsidRPr="0026490B">
        <w:t>approximately</w:t>
      </w:r>
      <w:r w:rsidR="00D82144">
        <w:t xml:space="preserve"> </w:t>
      </w:r>
      <w:r w:rsidRPr="00B67F4B">
        <w:t>14.74%. This shows that default rates vary depending on the stated purpose of the loan in this dataset.</w:t>
      </w:r>
    </w:p>
    <w:p w14:paraId="5E925816" w14:textId="77777777" w:rsidR="00B67F4B" w:rsidRDefault="00B67F4B"/>
    <w:p w14:paraId="644E0AC5" w14:textId="77777777" w:rsidR="00D626AD" w:rsidRDefault="008818BD">
      <w:r>
        <w:rPr>
          <w:noProof/>
        </w:rPr>
        <w:lastRenderedPageBreak/>
        <w:drawing>
          <wp:inline distT="0" distB="0" distL="0" distR="0" wp14:anchorId="064DEA54" wp14:editId="435AAEAA">
            <wp:extent cx="4975860" cy="3032760"/>
            <wp:effectExtent l="0" t="0" r="15240" b="15240"/>
            <wp:docPr id="409476073" name="Chart 1">
              <a:extLst xmlns:a="http://schemas.openxmlformats.org/drawingml/2006/main">
                <a:ext uri="{FF2B5EF4-FFF2-40B4-BE49-F238E27FC236}">
                  <a16:creationId xmlns:a16="http://schemas.microsoft.com/office/drawing/2014/main" id="{45C945C2-12EB-FBEC-05A9-814AAAE0EE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497ED02" w14:textId="7B6AB190" w:rsidR="0076198B" w:rsidRPr="0076198B" w:rsidRDefault="0076198B" w:rsidP="0076198B">
      <w:r w:rsidRPr="0076198B">
        <w:t>The chart shows that default rates generally increase from Grade A to Grade G. Grade A has the lowest default rate at</w:t>
      </w:r>
      <w:r w:rsidR="00B31AE0">
        <w:t xml:space="preserve"> </w:t>
      </w:r>
      <w:r>
        <w:t>10</w:t>
      </w:r>
      <w:r w:rsidRPr="0076198B">
        <w:t>%, while Grade G has the highest at 100%. This indicates a strong difference in default rates across loan grades in this dataset.</w:t>
      </w:r>
    </w:p>
    <w:p w14:paraId="6594F203" w14:textId="6084DE39" w:rsidR="00D626AD" w:rsidRDefault="00D626AD">
      <w:r>
        <w:rPr>
          <w:noProof/>
        </w:rPr>
        <w:drawing>
          <wp:inline distT="0" distB="0" distL="0" distR="0" wp14:anchorId="54129CD1" wp14:editId="4AB1B8FE">
            <wp:extent cx="5143500" cy="3048000"/>
            <wp:effectExtent l="0" t="0" r="0" b="0"/>
            <wp:docPr id="1291102497" name="Chart 1">
              <a:extLst xmlns:a="http://schemas.openxmlformats.org/drawingml/2006/main">
                <a:ext uri="{FF2B5EF4-FFF2-40B4-BE49-F238E27FC236}">
                  <a16:creationId xmlns:a16="http://schemas.microsoft.com/office/drawing/2014/main" id="{FB5E9D5E-7364-39CE-DBB6-0CFA6D796B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4C848A9" w14:textId="400C196A" w:rsidR="009E0D22" w:rsidRDefault="0026490B">
      <w:r w:rsidRPr="0026490B">
        <w:t>The chart shows that loans with default status have a higher average loan amount than non-defaulted loans. The average amount is approximately ₹10,728.55 for defaulted loans and ₹9,250.35 for non-defaulted loans. This is a difference observed in the dataset and does not mean that a larger loan necessarily causes default.</w:t>
      </w:r>
    </w:p>
    <w:p w14:paraId="1869C95E" w14:textId="77777777" w:rsidR="0026490B" w:rsidRDefault="0026490B"/>
    <w:p w14:paraId="6E36147A" w14:textId="62A0A41F" w:rsidR="009E0D22" w:rsidRDefault="0009783F">
      <w:r>
        <w:rPr>
          <w:noProof/>
        </w:rPr>
        <w:lastRenderedPageBreak/>
        <w:drawing>
          <wp:inline distT="0" distB="0" distL="0" distR="0" wp14:anchorId="47C51B7E" wp14:editId="432740D5">
            <wp:extent cx="5143500" cy="2882900"/>
            <wp:effectExtent l="0" t="0" r="0" b="12700"/>
            <wp:docPr id="835697284" name="Chart 1">
              <a:extLst xmlns:a="http://schemas.openxmlformats.org/drawingml/2006/main">
                <a:ext uri="{FF2B5EF4-FFF2-40B4-BE49-F238E27FC236}">
                  <a16:creationId xmlns:a16="http://schemas.microsoft.com/office/drawing/2014/main" id="{4BBB84D6-B3E9-B761-4DFB-427DF339BA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740DBF" w14:textId="77777777" w:rsidR="00012364" w:rsidRDefault="00012364" w:rsidP="00012364">
      <w:r w:rsidRPr="00012364">
        <w:t>The chart shows differences in default rates across home ownership categories. Renters have a default rate of approximately 32.14%, while borrowers who own their homes have a rate of approximately 7.47%. The 'Other' category has a rate of 33.33%, but it contains only 42 records, so this result should be interpreted cautiously.</w:t>
      </w:r>
    </w:p>
    <w:p w14:paraId="11E1F547" w14:textId="77777777" w:rsidR="00F35601" w:rsidRPr="00012364" w:rsidRDefault="00F35601" w:rsidP="00012364"/>
    <w:p w14:paraId="1F56B386" w14:textId="5BFAC17E" w:rsidR="00F154F2" w:rsidRPr="00B21F25" w:rsidRDefault="00F154F2">
      <w:pPr>
        <w:rPr>
          <w:b/>
          <w:bCs/>
          <w:sz w:val="32"/>
          <w:szCs w:val="32"/>
        </w:rPr>
      </w:pPr>
      <w:r w:rsidRPr="00B21F25">
        <w:rPr>
          <w:b/>
          <w:bCs/>
          <w:sz w:val="32"/>
          <w:szCs w:val="32"/>
        </w:rPr>
        <w:t>Key Findings Summary</w:t>
      </w:r>
    </w:p>
    <w:tbl>
      <w:tblPr>
        <w:tblStyle w:val="TableGrid"/>
        <w:tblW w:w="9182" w:type="dxa"/>
        <w:tblLook w:val="04A0" w:firstRow="1" w:lastRow="0" w:firstColumn="1" w:lastColumn="0" w:noHBand="0" w:noVBand="1"/>
      </w:tblPr>
      <w:tblGrid>
        <w:gridCol w:w="4591"/>
        <w:gridCol w:w="4591"/>
      </w:tblGrid>
      <w:tr w:rsidR="00CC28F3" w14:paraId="54CAA670" w14:textId="77777777" w:rsidTr="0023408C">
        <w:trPr>
          <w:trHeight w:val="416"/>
        </w:trPr>
        <w:tc>
          <w:tcPr>
            <w:tcW w:w="4591" w:type="dxa"/>
          </w:tcPr>
          <w:p w14:paraId="5F3B612D" w14:textId="5DE204B0" w:rsidR="00CC28F3" w:rsidRPr="00164A61" w:rsidRDefault="00164A61" w:rsidP="00164A61">
            <w:pPr>
              <w:jc w:val="center"/>
              <w:rPr>
                <w:b/>
                <w:bCs/>
                <w:sz w:val="28"/>
                <w:szCs w:val="28"/>
              </w:rPr>
            </w:pPr>
            <w:r w:rsidRPr="00164A61">
              <w:rPr>
                <w:b/>
                <w:bCs/>
                <w:sz w:val="28"/>
                <w:szCs w:val="28"/>
              </w:rPr>
              <w:t>Finding</w:t>
            </w:r>
          </w:p>
        </w:tc>
        <w:tc>
          <w:tcPr>
            <w:tcW w:w="4591" w:type="dxa"/>
          </w:tcPr>
          <w:p w14:paraId="040BD3D8" w14:textId="3180DE6A" w:rsidR="00164A61" w:rsidRPr="00164A61" w:rsidRDefault="00164A61" w:rsidP="00164A61">
            <w:pPr>
              <w:jc w:val="center"/>
              <w:rPr>
                <w:b/>
                <w:bCs/>
                <w:sz w:val="28"/>
                <w:szCs w:val="28"/>
              </w:rPr>
            </w:pPr>
            <w:r w:rsidRPr="00164A61">
              <w:rPr>
                <w:b/>
                <w:bCs/>
              </w:rPr>
              <w:t>Result</w:t>
            </w:r>
          </w:p>
        </w:tc>
      </w:tr>
      <w:tr w:rsidR="00CC28F3" w14:paraId="77748664" w14:textId="77777777" w:rsidTr="0023408C">
        <w:trPr>
          <w:trHeight w:val="359"/>
        </w:trPr>
        <w:tc>
          <w:tcPr>
            <w:tcW w:w="4591" w:type="dxa"/>
          </w:tcPr>
          <w:p w14:paraId="7D5FED87" w14:textId="2A0CFEB9" w:rsidR="00CC28F3" w:rsidRPr="00164A61" w:rsidRDefault="00851DEA">
            <w:r w:rsidRPr="00851DEA">
              <w:t>Overall default rate</w:t>
            </w:r>
          </w:p>
        </w:tc>
        <w:tc>
          <w:tcPr>
            <w:tcW w:w="4591" w:type="dxa"/>
          </w:tcPr>
          <w:p w14:paraId="642841E3" w14:textId="2CC6E4F6" w:rsidR="0085070E" w:rsidRPr="00164A61" w:rsidRDefault="00851DEA">
            <w:r>
              <w:t>22.14%</w:t>
            </w:r>
          </w:p>
        </w:tc>
      </w:tr>
      <w:tr w:rsidR="00CC28F3" w14:paraId="5D36B1DF" w14:textId="77777777" w:rsidTr="0023408C">
        <w:trPr>
          <w:trHeight w:val="359"/>
        </w:trPr>
        <w:tc>
          <w:tcPr>
            <w:tcW w:w="4591" w:type="dxa"/>
          </w:tcPr>
          <w:p w14:paraId="4C549DDE" w14:textId="592AC244" w:rsidR="00CC28F3" w:rsidRPr="00164A61" w:rsidRDefault="0085070E" w:rsidP="0085070E">
            <w:pPr>
              <w:tabs>
                <w:tab w:val="left" w:pos="3120"/>
              </w:tabs>
            </w:pPr>
            <w:r w:rsidRPr="0085070E">
              <w:t>Highest default rate by grade</w:t>
            </w:r>
          </w:p>
        </w:tc>
        <w:tc>
          <w:tcPr>
            <w:tcW w:w="4591" w:type="dxa"/>
          </w:tcPr>
          <w:p w14:paraId="65392B15" w14:textId="72D6C44E" w:rsidR="00CC28F3" w:rsidRPr="00164A61" w:rsidRDefault="00B24249">
            <w:r w:rsidRPr="00B24249">
              <w:t>Grade G — 100%</w:t>
            </w:r>
          </w:p>
        </w:tc>
      </w:tr>
      <w:tr w:rsidR="00CC28F3" w14:paraId="67293875" w14:textId="77777777" w:rsidTr="0023408C">
        <w:trPr>
          <w:trHeight w:val="359"/>
        </w:trPr>
        <w:tc>
          <w:tcPr>
            <w:tcW w:w="4591" w:type="dxa"/>
          </w:tcPr>
          <w:p w14:paraId="1652B1C6" w14:textId="7E70EC06" w:rsidR="00CC28F3" w:rsidRPr="00164A61" w:rsidRDefault="00B24249">
            <w:r w:rsidRPr="00B24249">
              <w:t>Lowest default rate by grade</w:t>
            </w:r>
          </w:p>
        </w:tc>
        <w:tc>
          <w:tcPr>
            <w:tcW w:w="4591" w:type="dxa"/>
          </w:tcPr>
          <w:p w14:paraId="7D7AB2C5" w14:textId="7DEB7D01" w:rsidR="00CC28F3" w:rsidRPr="00164A61" w:rsidRDefault="004525D0">
            <w:r w:rsidRPr="004525D0">
              <w:t>Grade A — 9.68%</w:t>
            </w:r>
          </w:p>
        </w:tc>
      </w:tr>
      <w:tr w:rsidR="00CC28F3" w14:paraId="0F86D3DD" w14:textId="77777777" w:rsidTr="0023408C">
        <w:trPr>
          <w:trHeight w:val="348"/>
        </w:trPr>
        <w:tc>
          <w:tcPr>
            <w:tcW w:w="4591" w:type="dxa"/>
          </w:tcPr>
          <w:p w14:paraId="3367DB50" w14:textId="68E1DFB7" w:rsidR="00CC28F3" w:rsidRPr="00164A61" w:rsidRDefault="00B24249">
            <w:r w:rsidRPr="00B24249">
              <w:t>Highest default rate by loan intent</w:t>
            </w:r>
          </w:p>
        </w:tc>
        <w:tc>
          <w:tcPr>
            <w:tcW w:w="4591" w:type="dxa"/>
          </w:tcPr>
          <w:p w14:paraId="32555ABD" w14:textId="356C7EA2" w:rsidR="00CC28F3" w:rsidRPr="00164A61" w:rsidRDefault="004525D0">
            <w:r w:rsidRPr="004525D0">
              <w:t>Debt Consolidation — 29.91%</w:t>
            </w:r>
          </w:p>
        </w:tc>
      </w:tr>
      <w:tr w:rsidR="00CC28F3" w14:paraId="10CF174F" w14:textId="77777777" w:rsidTr="0023408C">
        <w:trPr>
          <w:trHeight w:val="359"/>
        </w:trPr>
        <w:tc>
          <w:tcPr>
            <w:tcW w:w="4591" w:type="dxa"/>
          </w:tcPr>
          <w:p w14:paraId="427A7889" w14:textId="138A7F23" w:rsidR="00CC28F3" w:rsidRPr="00164A61" w:rsidRDefault="004525D0">
            <w:r w:rsidRPr="004525D0">
              <w:t>Lowest default rate by loan intent</w:t>
            </w:r>
          </w:p>
        </w:tc>
        <w:tc>
          <w:tcPr>
            <w:tcW w:w="4591" w:type="dxa"/>
          </w:tcPr>
          <w:p w14:paraId="6F6F02E6" w14:textId="39FBB96C" w:rsidR="00CC28F3" w:rsidRPr="00164A61" w:rsidRDefault="00F267D6">
            <w:r w:rsidRPr="00F267D6">
              <w:t>Venture — 14.74%</w:t>
            </w:r>
          </w:p>
        </w:tc>
      </w:tr>
    </w:tbl>
    <w:p w14:paraId="0CECA446" w14:textId="77777777" w:rsidR="00600892" w:rsidRPr="003C4B58" w:rsidRDefault="00600892">
      <w:pPr>
        <w:rPr>
          <w:sz w:val="28"/>
          <w:szCs w:val="28"/>
        </w:rPr>
      </w:pPr>
    </w:p>
    <w:p w14:paraId="1DD5C4D7" w14:textId="27C8BB22" w:rsidR="00600892" w:rsidRPr="006F1BFA" w:rsidRDefault="00055437">
      <w:pPr>
        <w:rPr>
          <w:b/>
          <w:bCs/>
          <w:sz w:val="28"/>
          <w:szCs w:val="28"/>
        </w:rPr>
      </w:pPr>
      <w:r w:rsidRPr="006F1BFA">
        <w:rPr>
          <w:b/>
          <w:bCs/>
          <w:sz w:val="28"/>
          <w:szCs w:val="28"/>
        </w:rPr>
        <w:t>8</w:t>
      </w:r>
      <w:r w:rsidR="00CD1199" w:rsidRPr="006F1BFA">
        <w:rPr>
          <w:b/>
          <w:bCs/>
          <w:sz w:val="28"/>
          <w:szCs w:val="28"/>
        </w:rPr>
        <w:t>. Conclusion</w:t>
      </w:r>
    </w:p>
    <w:p w14:paraId="78C48702" w14:textId="2B41D21C" w:rsidR="00600892" w:rsidRPr="007004BE" w:rsidRDefault="00CD1199">
      <w:r w:rsidRPr="007004BE">
        <w:t>This project helped me understand how credit risk data can be analysed using Excel and Python. After cleaning the dataset and checking its quality, I explored default rates across loan grades, loan purposes, and home ownership categories. The analysis showed clear differences between these groups and highlighted patterns that may be useful for understanding credit risk. I also learned the importance of checking missing values, duplicate records, and unusual data before drawing conclusions. Overall, this task gave me</w:t>
      </w:r>
      <w:r w:rsidRPr="00E261CE">
        <w:rPr>
          <w:b/>
          <w:bCs/>
        </w:rPr>
        <w:t xml:space="preserve"> </w:t>
      </w:r>
      <w:r w:rsidRPr="007004BE">
        <w:t>practical</w:t>
      </w:r>
      <w:r w:rsidR="007004BE">
        <w:t xml:space="preserve"> </w:t>
      </w:r>
      <w:r w:rsidRPr="007004BE">
        <w:t>experience in data cleaning, exploratory data analysis, and presenting findings through charts and tables.</w:t>
      </w:r>
    </w:p>
    <w:sectPr w:rsidR="00600892" w:rsidRPr="007004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74C1" w14:textId="77777777" w:rsidR="00A4302C" w:rsidRDefault="00A4302C" w:rsidP="00D16078">
      <w:pPr>
        <w:spacing w:after="0" w:line="240" w:lineRule="auto"/>
      </w:pPr>
      <w:r>
        <w:separator/>
      </w:r>
    </w:p>
  </w:endnote>
  <w:endnote w:type="continuationSeparator" w:id="0">
    <w:p w14:paraId="2B35722B" w14:textId="77777777" w:rsidR="00A4302C" w:rsidRDefault="00A4302C" w:rsidP="00D16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D506D" w14:textId="77777777" w:rsidR="00A4302C" w:rsidRDefault="00A4302C" w:rsidP="00D16078">
      <w:pPr>
        <w:spacing w:after="0" w:line="240" w:lineRule="auto"/>
      </w:pPr>
      <w:r>
        <w:separator/>
      </w:r>
    </w:p>
  </w:footnote>
  <w:footnote w:type="continuationSeparator" w:id="0">
    <w:p w14:paraId="4DDF15BB" w14:textId="77777777" w:rsidR="00A4302C" w:rsidRDefault="00A4302C" w:rsidP="00D160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8F"/>
    <w:rsid w:val="00012364"/>
    <w:rsid w:val="000478DF"/>
    <w:rsid w:val="00055437"/>
    <w:rsid w:val="0009783F"/>
    <w:rsid w:val="000F0CE6"/>
    <w:rsid w:val="00105E42"/>
    <w:rsid w:val="0011208E"/>
    <w:rsid w:val="001428B6"/>
    <w:rsid w:val="001542C6"/>
    <w:rsid w:val="00162C7E"/>
    <w:rsid w:val="00164A61"/>
    <w:rsid w:val="001B103F"/>
    <w:rsid w:val="001C4A04"/>
    <w:rsid w:val="001F2549"/>
    <w:rsid w:val="00205D75"/>
    <w:rsid w:val="00220334"/>
    <w:rsid w:val="0023408C"/>
    <w:rsid w:val="0026490B"/>
    <w:rsid w:val="00307247"/>
    <w:rsid w:val="003512D0"/>
    <w:rsid w:val="00367F8A"/>
    <w:rsid w:val="003A614C"/>
    <w:rsid w:val="003A720D"/>
    <w:rsid w:val="003B7EB9"/>
    <w:rsid w:val="003C4B58"/>
    <w:rsid w:val="003D45D9"/>
    <w:rsid w:val="003E5DC9"/>
    <w:rsid w:val="004525D0"/>
    <w:rsid w:val="0046220D"/>
    <w:rsid w:val="004712AB"/>
    <w:rsid w:val="004C30A0"/>
    <w:rsid w:val="004C755F"/>
    <w:rsid w:val="00553CAD"/>
    <w:rsid w:val="00575797"/>
    <w:rsid w:val="005B202F"/>
    <w:rsid w:val="005D1CC4"/>
    <w:rsid w:val="005E55E0"/>
    <w:rsid w:val="00600892"/>
    <w:rsid w:val="00622CA3"/>
    <w:rsid w:val="0064382C"/>
    <w:rsid w:val="006744AA"/>
    <w:rsid w:val="006B0073"/>
    <w:rsid w:val="006C2A95"/>
    <w:rsid w:val="006F1BFA"/>
    <w:rsid w:val="007004BE"/>
    <w:rsid w:val="0076198B"/>
    <w:rsid w:val="00767D8F"/>
    <w:rsid w:val="00785E8C"/>
    <w:rsid w:val="00786959"/>
    <w:rsid w:val="00801856"/>
    <w:rsid w:val="00822082"/>
    <w:rsid w:val="008471D3"/>
    <w:rsid w:val="0085070E"/>
    <w:rsid w:val="0085125F"/>
    <w:rsid w:val="00851DEA"/>
    <w:rsid w:val="008667A9"/>
    <w:rsid w:val="00875579"/>
    <w:rsid w:val="008818BD"/>
    <w:rsid w:val="008A36E9"/>
    <w:rsid w:val="00921DD5"/>
    <w:rsid w:val="0093683E"/>
    <w:rsid w:val="00962436"/>
    <w:rsid w:val="00967DD1"/>
    <w:rsid w:val="00993BC4"/>
    <w:rsid w:val="009B75A2"/>
    <w:rsid w:val="009C74F7"/>
    <w:rsid w:val="009D789A"/>
    <w:rsid w:val="009E0D22"/>
    <w:rsid w:val="009F65C6"/>
    <w:rsid w:val="00A421F5"/>
    <w:rsid w:val="00A4302C"/>
    <w:rsid w:val="00A65399"/>
    <w:rsid w:val="00A8015D"/>
    <w:rsid w:val="00A962B9"/>
    <w:rsid w:val="00B051B3"/>
    <w:rsid w:val="00B117C1"/>
    <w:rsid w:val="00B21F25"/>
    <w:rsid w:val="00B24249"/>
    <w:rsid w:val="00B31AE0"/>
    <w:rsid w:val="00B32A58"/>
    <w:rsid w:val="00B40364"/>
    <w:rsid w:val="00B67F4B"/>
    <w:rsid w:val="00B86A56"/>
    <w:rsid w:val="00B94846"/>
    <w:rsid w:val="00BF4698"/>
    <w:rsid w:val="00C010C0"/>
    <w:rsid w:val="00C604D1"/>
    <w:rsid w:val="00C71254"/>
    <w:rsid w:val="00CA6E89"/>
    <w:rsid w:val="00CB1DA2"/>
    <w:rsid w:val="00CC2422"/>
    <w:rsid w:val="00CC28F3"/>
    <w:rsid w:val="00CD08FC"/>
    <w:rsid w:val="00CD1199"/>
    <w:rsid w:val="00CD46E1"/>
    <w:rsid w:val="00D16078"/>
    <w:rsid w:val="00D16656"/>
    <w:rsid w:val="00D26ADF"/>
    <w:rsid w:val="00D626AD"/>
    <w:rsid w:val="00D82144"/>
    <w:rsid w:val="00D94002"/>
    <w:rsid w:val="00DE2E6A"/>
    <w:rsid w:val="00DF30D1"/>
    <w:rsid w:val="00E261CE"/>
    <w:rsid w:val="00E3565B"/>
    <w:rsid w:val="00E50619"/>
    <w:rsid w:val="00E72E1F"/>
    <w:rsid w:val="00E841CC"/>
    <w:rsid w:val="00EA2897"/>
    <w:rsid w:val="00EF741D"/>
    <w:rsid w:val="00F154F2"/>
    <w:rsid w:val="00F16A77"/>
    <w:rsid w:val="00F267D6"/>
    <w:rsid w:val="00F35601"/>
    <w:rsid w:val="00F85245"/>
    <w:rsid w:val="00FE4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06931"/>
  <w15:chartTrackingRefBased/>
  <w15:docId w15:val="{62B3DD6D-8402-4EF5-B9C3-37F3D4B9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D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D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D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D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D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D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8F"/>
    <w:rPr>
      <w:rFonts w:eastAsiaTheme="majorEastAsia" w:cstheme="majorBidi"/>
      <w:color w:val="272727" w:themeColor="text1" w:themeTint="D8"/>
    </w:rPr>
  </w:style>
  <w:style w:type="paragraph" w:styleId="Title">
    <w:name w:val="Title"/>
    <w:basedOn w:val="Normal"/>
    <w:next w:val="Normal"/>
    <w:link w:val="TitleChar"/>
    <w:uiPriority w:val="10"/>
    <w:qFormat/>
    <w:rsid w:val="00767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8F"/>
    <w:pPr>
      <w:spacing w:before="160"/>
      <w:jc w:val="center"/>
    </w:pPr>
    <w:rPr>
      <w:i/>
      <w:iCs/>
      <w:color w:val="404040" w:themeColor="text1" w:themeTint="BF"/>
    </w:rPr>
  </w:style>
  <w:style w:type="character" w:customStyle="1" w:styleId="QuoteChar">
    <w:name w:val="Quote Char"/>
    <w:basedOn w:val="DefaultParagraphFont"/>
    <w:link w:val="Quote"/>
    <w:uiPriority w:val="29"/>
    <w:rsid w:val="00767D8F"/>
    <w:rPr>
      <w:i/>
      <w:iCs/>
      <w:color w:val="404040" w:themeColor="text1" w:themeTint="BF"/>
    </w:rPr>
  </w:style>
  <w:style w:type="paragraph" w:styleId="ListParagraph">
    <w:name w:val="List Paragraph"/>
    <w:basedOn w:val="Normal"/>
    <w:uiPriority w:val="34"/>
    <w:qFormat/>
    <w:rsid w:val="00767D8F"/>
    <w:pPr>
      <w:ind w:left="720"/>
      <w:contextualSpacing/>
    </w:pPr>
  </w:style>
  <w:style w:type="character" w:styleId="IntenseEmphasis">
    <w:name w:val="Intense Emphasis"/>
    <w:basedOn w:val="DefaultParagraphFont"/>
    <w:uiPriority w:val="21"/>
    <w:qFormat/>
    <w:rsid w:val="00767D8F"/>
    <w:rPr>
      <w:i/>
      <w:iCs/>
      <w:color w:val="2F5496" w:themeColor="accent1" w:themeShade="BF"/>
    </w:rPr>
  </w:style>
  <w:style w:type="paragraph" w:styleId="IntenseQuote">
    <w:name w:val="Intense Quote"/>
    <w:basedOn w:val="Normal"/>
    <w:next w:val="Normal"/>
    <w:link w:val="IntenseQuoteChar"/>
    <w:uiPriority w:val="30"/>
    <w:qFormat/>
    <w:rsid w:val="00767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D8F"/>
    <w:rPr>
      <w:i/>
      <w:iCs/>
      <w:color w:val="2F5496" w:themeColor="accent1" w:themeShade="BF"/>
    </w:rPr>
  </w:style>
  <w:style w:type="character" w:styleId="IntenseReference">
    <w:name w:val="Intense Reference"/>
    <w:basedOn w:val="DefaultParagraphFont"/>
    <w:uiPriority w:val="32"/>
    <w:qFormat/>
    <w:rsid w:val="00767D8F"/>
    <w:rPr>
      <w:b/>
      <w:bCs/>
      <w:smallCaps/>
      <w:color w:val="2F5496" w:themeColor="accent1" w:themeShade="BF"/>
      <w:spacing w:val="5"/>
    </w:rPr>
  </w:style>
  <w:style w:type="table" w:styleId="TableGrid">
    <w:name w:val="Table Grid"/>
    <w:basedOn w:val="TableNormal"/>
    <w:uiPriority w:val="39"/>
    <w:rsid w:val="00CC2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6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078"/>
  </w:style>
  <w:style w:type="paragraph" w:styleId="Footer">
    <w:name w:val="footer"/>
    <w:basedOn w:val="Normal"/>
    <w:link w:val="FooterChar"/>
    <w:uiPriority w:val="99"/>
    <w:unhideWhenUsed/>
    <w:rsid w:val="00D16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Credit_Risk_Analysis_with_Formul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Credit_Risk_Analysis_with_Formul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ownloads\Credit_Risk_Analysis_with_Formul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ownloads\Credit_Risk_Analysis_with_Formula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aseline="0"/>
              <a:t>Default Rate by Loan Intent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cat>
            <c:strRef>
              <c:f>EDA_Analysis!$O$2:$O$7</c:f>
              <c:strCache>
                <c:ptCount val="6"/>
                <c:pt idx="0">
                  <c:v>Debtconsolidation</c:v>
                </c:pt>
                <c:pt idx="1">
                  <c:v>Education</c:v>
                </c:pt>
                <c:pt idx="2">
                  <c:v>HomeImprovement</c:v>
                </c:pt>
                <c:pt idx="3">
                  <c:v>Medical</c:v>
                </c:pt>
                <c:pt idx="4">
                  <c:v>Personal</c:v>
                </c:pt>
                <c:pt idx="5">
                  <c:v>Venture</c:v>
                </c:pt>
              </c:strCache>
            </c:strRef>
          </c:cat>
          <c:val>
            <c:numRef>
              <c:f>EDA_Analysis!$R$2:$R$7</c:f>
              <c:numCache>
                <c:formatCode>0%</c:formatCode>
                <c:ptCount val="6"/>
                <c:pt idx="0">
                  <c:v>0.29909560723514211</c:v>
                </c:pt>
                <c:pt idx="1">
                  <c:v>0.16253164556962024</c:v>
                </c:pt>
                <c:pt idx="2">
                  <c:v>0.28339350180505413</c:v>
                </c:pt>
                <c:pt idx="3">
                  <c:v>0.27152667723190704</c:v>
                </c:pt>
                <c:pt idx="4">
                  <c:v>0.1998810232004759</c:v>
                </c:pt>
                <c:pt idx="5">
                  <c:v>0.14735658042744657</c:v>
                </c:pt>
              </c:numCache>
            </c:numRef>
          </c:val>
          <c:extLst>
            <c:ext xmlns:c16="http://schemas.microsoft.com/office/drawing/2014/chart" uri="{C3380CC4-5D6E-409C-BE32-E72D297353CC}">
              <c16:uniqueId val="{00000000-BCE1-40A7-ADE1-3B26F28C2691}"/>
            </c:ext>
          </c:extLst>
        </c:ser>
        <c:dLbls>
          <c:showLegendKey val="0"/>
          <c:showVal val="0"/>
          <c:showCatName val="0"/>
          <c:showSerName val="0"/>
          <c:showPercent val="0"/>
          <c:showBubbleSize val="0"/>
        </c:dLbls>
        <c:gapWidth val="219"/>
        <c:overlap val="-27"/>
        <c:axId val="1204544496"/>
        <c:axId val="1050129456"/>
      </c:barChart>
      <c:catAx>
        <c:axId val="120454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0129456"/>
        <c:crosses val="autoZero"/>
        <c:auto val="1"/>
        <c:lblAlgn val="ctr"/>
        <c:lblOffset val="100"/>
        <c:noMultiLvlLbl val="0"/>
      </c:catAx>
      <c:valAx>
        <c:axId val="10501294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45444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Default</a:t>
            </a:r>
            <a:r>
              <a:rPr lang="en-IN" baseline="0"/>
              <a:t> Rate by Loan Grade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EDA_Analysis!$E$2:$E$8</c:f>
              <c:strCache>
                <c:ptCount val="7"/>
                <c:pt idx="0">
                  <c:v>A</c:v>
                </c:pt>
                <c:pt idx="1">
                  <c:v>B</c:v>
                </c:pt>
                <c:pt idx="2">
                  <c:v>C</c:v>
                </c:pt>
                <c:pt idx="3">
                  <c:v>D</c:v>
                </c:pt>
                <c:pt idx="4">
                  <c:v>E</c:v>
                </c:pt>
                <c:pt idx="5">
                  <c:v>F</c:v>
                </c:pt>
                <c:pt idx="6">
                  <c:v>G</c:v>
                </c:pt>
              </c:strCache>
            </c:strRef>
          </c:cat>
          <c:val>
            <c:numRef>
              <c:f>EDA_Analysis!$I$2:$I$8</c:f>
              <c:numCache>
                <c:formatCode>0%</c:formatCode>
                <c:ptCount val="7"/>
                <c:pt idx="0">
                  <c:v>9.6833130328867228E-2</c:v>
                </c:pt>
                <c:pt idx="1">
                  <c:v>0.16745208922400251</c:v>
                </c:pt>
                <c:pt idx="2">
                  <c:v>0.21410705352676337</c:v>
                </c:pt>
                <c:pt idx="3">
                  <c:v>0.59232175502742235</c:v>
                </c:pt>
                <c:pt idx="4">
                  <c:v>0.640625</c:v>
                </c:pt>
                <c:pt idx="5">
                  <c:v>0.70588235294117652</c:v>
                </c:pt>
                <c:pt idx="6">
                  <c:v>1</c:v>
                </c:pt>
              </c:numCache>
            </c:numRef>
          </c:val>
          <c:extLst>
            <c:ext xmlns:c16="http://schemas.microsoft.com/office/drawing/2014/chart" uri="{C3380CC4-5D6E-409C-BE32-E72D297353CC}">
              <c16:uniqueId val="{00000000-E714-4319-9300-C63C993DD592}"/>
            </c:ext>
          </c:extLst>
        </c:ser>
        <c:dLbls>
          <c:dLblPos val="outEnd"/>
          <c:showLegendKey val="0"/>
          <c:showVal val="1"/>
          <c:showCatName val="0"/>
          <c:showSerName val="0"/>
          <c:showPercent val="0"/>
          <c:showBubbleSize val="0"/>
        </c:dLbls>
        <c:gapWidth val="219"/>
        <c:overlap val="-27"/>
        <c:axId val="1494665119"/>
        <c:axId val="1352152527"/>
      </c:barChart>
      <c:catAx>
        <c:axId val="1494665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Loan</a:t>
                </a:r>
                <a:r>
                  <a:rPr lang="en-IN" baseline="0"/>
                  <a:t> Grade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2152527"/>
        <c:crosses val="autoZero"/>
        <c:auto val="1"/>
        <c:lblAlgn val="ctr"/>
        <c:lblOffset val="100"/>
        <c:noMultiLvlLbl val="0"/>
      </c:catAx>
      <c:valAx>
        <c:axId val="13521525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Default</a:t>
                </a:r>
                <a:r>
                  <a:rPr lang="en-IN" baseline="0"/>
                  <a:t> Rate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6651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Avg</a:t>
            </a:r>
            <a:r>
              <a:rPr lang="en-IN" baseline="0"/>
              <a:t> Loan Amount by Loan Status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1"/>
          <c:order val="0"/>
          <c:tx>
            <c:v>Avg Loan Amount</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EDA_Analysis!$U$2:$U$3</c:f>
              <c:numCache>
                <c:formatCode>General</c:formatCode>
                <c:ptCount val="2"/>
                <c:pt idx="0">
                  <c:v>0</c:v>
                </c:pt>
                <c:pt idx="1">
                  <c:v>1</c:v>
                </c:pt>
              </c:numCache>
            </c:numRef>
          </c:cat>
          <c:val>
            <c:numRef>
              <c:f>EDA_Analysis!$V$2:$V$3</c:f>
              <c:numCache>
                <c:formatCode>[$₹-4009]\ #,##0.00;[$₹-4009]\ \-#,##0.00</c:formatCode>
                <c:ptCount val="2"/>
                <c:pt idx="0">
                  <c:v>9250.3505724945317</c:v>
                </c:pt>
                <c:pt idx="1">
                  <c:v>10728.552036199095</c:v>
                </c:pt>
              </c:numCache>
            </c:numRef>
          </c:val>
          <c:extLst>
            <c:ext xmlns:c16="http://schemas.microsoft.com/office/drawing/2014/chart" uri="{C3380CC4-5D6E-409C-BE32-E72D297353CC}">
              <c16:uniqueId val="{00000000-136A-4790-A9C9-806D0A141C4C}"/>
            </c:ext>
          </c:extLst>
        </c:ser>
        <c:dLbls>
          <c:dLblPos val="outEnd"/>
          <c:showLegendKey val="0"/>
          <c:showVal val="1"/>
          <c:showCatName val="0"/>
          <c:showSerName val="0"/>
          <c:showPercent val="0"/>
          <c:showBubbleSize val="0"/>
        </c:dLbls>
        <c:gapWidth val="219"/>
        <c:overlap val="-27"/>
        <c:axId val="818814447"/>
        <c:axId val="973295087"/>
      </c:barChart>
      <c:catAx>
        <c:axId val="8188144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Loan Status (0 = Non-defaulted, 1 = Defaulted)</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3295087"/>
        <c:crosses val="autoZero"/>
        <c:auto val="1"/>
        <c:lblAlgn val="ctr"/>
        <c:lblOffset val="100"/>
        <c:noMultiLvlLbl val="0"/>
      </c:catAx>
      <c:valAx>
        <c:axId val="9732950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Loan Amount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4009]\ #,##0.00;[$₹-4009]\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8814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Default</a:t>
            </a:r>
            <a:r>
              <a:rPr lang="en-IN" baseline="0"/>
              <a:t> Rate by Home Ownership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EDA_Analysis!$X$2:$X$5</c:f>
              <c:strCache>
                <c:ptCount val="4"/>
                <c:pt idx="0">
                  <c:v>Mortgage</c:v>
                </c:pt>
                <c:pt idx="1">
                  <c:v>Other</c:v>
                </c:pt>
                <c:pt idx="2">
                  <c:v>Own</c:v>
                </c:pt>
                <c:pt idx="3">
                  <c:v>Rent</c:v>
                </c:pt>
              </c:strCache>
            </c:strRef>
          </c:cat>
          <c:val>
            <c:numRef>
              <c:f>EDA_Analysis!$Y$2:$Y$5</c:f>
              <c:numCache>
                <c:formatCode>0%</c:formatCode>
                <c:ptCount val="4"/>
                <c:pt idx="0">
                  <c:v>0.12515188335358446</c:v>
                </c:pt>
                <c:pt idx="1">
                  <c:v>0.33333333333333331</c:v>
                </c:pt>
                <c:pt idx="2">
                  <c:v>7.4742268041237112E-2</c:v>
                </c:pt>
                <c:pt idx="3">
                  <c:v>0.32138613861386139</c:v>
                </c:pt>
              </c:numCache>
            </c:numRef>
          </c:val>
          <c:extLst>
            <c:ext xmlns:c16="http://schemas.microsoft.com/office/drawing/2014/chart" uri="{C3380CC4-5D6E-409C-BE32-E72D297353CC}">
              <c16:uniqueId val="{00000000-231C-4112-9A02-0459F36311B9}"/>
            </c:ext>
          </c:extLst>
        </c:ser>
        <c:dLbls>
          <c:showLegendKey val="0"/>
          <c:showVal val="0"/>
          <c:showCatName val="0"/>
          <c:showSerName val="0"/>
          <c:showPercent val="0"/>
          <c:showBubbleSize val="0"/>
        </c:dLbls>
        <c:gapWidth val="219"/>
        <c:overlap val="-27"/>
        <c:axId val="1254277311"/>
        <c:axId val="1100665231"/>
      </c:barChart>
      <c:catAx>
        <c:axId val="1254277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665231"/>
        <c:crosses val="autoZero"/>
        <c:auto val="1"/>
        <c:lblAlgn val="ctr"/>
        <c:lblOffset val="100"/>
        <c:noMultiLvlLbl val="0"/>
      </c:catAx>
      <c:valAx>
        <c:axId val="11006652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773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CAC7-C04B-4C8E-9AC9-EC1F72053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dc:creator>
  <cp:keywords/>
  <dc:description/>
  <cp:lastModifiedBy>rahul prajapat</cp:lastModifiedBy>
  <cp:revision>112</cp:revision>
  <dcterms:created xsi:type="dcterms:W3CDTF">2026-10-15T18:50:00Z</dcterms:created>
  <dcterms:modified xsi:type="dcterms:W3CDTF">2026-10-16T05:55:00Z</dcterms:modified>
</cp:coreProperties>
</file>