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DF41" w14:textId="249BC0E3" w:rsidR="00C4544E" w:rsidRDefault="00C4544E" w:rsidP="001F05CE">
      <w:pPr>
        <w:jc w:val="center"/>
        <w:rPr>
          <w:b/>
          <w:bCs/>
          <w:sz w:val="48"/>
          <w:szCs w:val="48"/>
        </w:rPr>
      </w:pPr>
      <w:r>
        <w:rPr>
          <w:b/>
          <w:bCs/>
          <w:noProof/>
        </w:rPr>
        <w:drawing>
          <wp:inline distT="0" distB="0" distL="0" distR="0" wp14:anchorId="06438F06" wp14:editId="2E865D79">
            <wp:extent cx="5729605" cy="1743075"/>
            <wp:effectExtent l="0" t="0" r="4445" b="9525"/>
            <wp:docPr id="188298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7592" name="Picture 18829875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48494" cy="1748821"/>
                    </a:xfrm>
                    <a:prstGeom prst="rect">
                      <a:avLst/>
                    </a:prstGeom>
                  </pic:spPr>
                </pic:pic>
              </a:graphicData>
            </a:graphic>
          </wp:inline>
        </w:drawing>
      </w:r>
    </w:p>
    <w:p w14:paraId="01C66FCA" w14:textId="77777777" w:rsidR="00C4544E" w:rsidRPr="00D761C8" w:rsidRDefault="00C4544E" w:rsidP="001F05CE">
      <w:pPr>
        <w:jc w:val="center"/>
        <w:rPr>
          <w:b/>
          <w:bCs/>
          <w:sz w:val="28"/>
          <w:szCs w:val="28"/>
        </w:rPr>
      </w:pPr>
    </w:p>
    <w:p w14:paraId="2F4F9A66" w14:textId="77777777" w:rsidR="00C4544E" w:rsidRPr="003B7EB9" w:rsidRDefault="00C4544E" w:rsidP="00C4544E">
      <w:pPr>
        <w:jc w:val="center"/>
        <w:rPr>
          <w:rFonts w:ascii="Aptos" w:hAnsi="Aptos"/>
          <w:b/>
          <w:bCs/>
          <w:color w:val="2E74B5" w:themeColor="accent5" w:themeShade="BF"/>
        </w:rPr>
      </w:pPr>
      <w:r w:rsidRPr="003B7EB9">
        <w:rPr>
          <w:rFonts w:ascii="Aptos" w:hAnsi="Aptos"/>
          <w:b/>
          <w:bCs/>
          <w:color w:val="2E74B5" w:themeColor="accent5" w:themeShade="BF"/>
        </w:rPr>
        <w:t>INTERNSHIP PROJECT REPORT</w:t>
      </w:r>
    </w:p>
    <w:p w14:paraId="6E8C0A8E" w14:textId="6370E846" w:rsidR="00C4544E" w:rsidRDefault="00C4544E" w:rsidP="00C4544E">
      <w:pPr>
        <w:pBdr>
          <w:bottom w:val="single" w:sz="12" w:space="0" w:color="2E74B5" w:themeColor="accent5" w:themeShade="BF"/>
        </w:pBdr>
        <w:jc w:val="center"/>
        <w:rPr>
          <w:rFonts w:ascii="Aptos" w:hAnsi="Aptos"/>
          <w:b/>
          <w:bCs/>
          <w:color w:val="3B3838" w:themeColor="background2" w:themeShade="40"/>
          <w:sz w:val="52"/>
          <w:szCs w:val="52"/>
        </w:rPr>
      </w:pPr>
      <w:r w:rsidRPr="00C4544E">
        <w:rPr>
          <w:rFonts w:ascii="Aptos" w:hAnsi="Aptos"/>
          <w:b/>
          <w:bCs/>
          <w:color w:val="3B3838" w:themeColor="background2" w:themeShade="40"/>
          <w:sz w:val="52"/>
          <w:szCs w:val="52"/>
        </w:rPr>
        <w:t>CREATING FINANCIAL FORECASTS</w:t>
      </w:r>
    </w:p>
    <w:p w14:paraId="03A8A5B4" w14:textId="77777777" w:rsidR="00C4544E" w:rsidRPr="00C4544E" w:rsidRDefault="00C4544E" w:rsidP="00C4544E">
      <w:pPr>
        <w:pBdr>
          <w:bottom w:val="single" w:sz="12" w:space="0" w:color="2E74B5" w:themeColor="accent5" w:themeShade="BF"/>
        </w:pBdr>
        <w:jc w:val="center"/>
        <w:rPr>
          <w:rFonts w:ascii="Aptos" w:hAnsi="Aptos"/>
          <w:b/>
          <w:bCs/>
          <w:color w:val="3B3838" w:themeColor="background2" w:themeShade="40"/>
          <w:sz w:val="16"/>
          <w:szCs w:val="16"/>
        </w:rPr>
      </w:pPr>
    </w:p>
    <w:p w14:paraId="0D7DDBDB" w14:textId="77777777" w:rsidR="00C4544E" w:rsidRPr="00C4544E" w:rsidRDefault="00C4544E" w:rsidP="00C4544E">
      <w:pPr>
        <w:jc w:val="center"/>
        <w:rPr>
          <w:rFonts w:ascii="Aptos" w:hAnsi="Aptos"/>
          <w:b/>
          <w:bCs/>
          <w:color w:val="2E74B5" w:themeColor="accent5" w:themeShade="BF"/>
          <w:sz w:val="16"/>
          <w:szCs w:val="16"/>
        </w:rPr>
      </w:pPr>
    </w:p>
    <w:p w14:paraId="3068142F" w14:textId="09D19379" w:rsidR="00C4544E" w:rsidRDefault="00D761C8" w:rsidP="00C4544E">
      <w:pPr>
        <w:jc w:val="center"/>
        <w:rPr>
          <w:rFonts w:ascii="Aptos" w:hAnsi="Aptos"/>
          <w:b/>
          <w:bCs/>
          <w:color w:val="2E74B5" w:themeColor="accent5" w:themeShade="BF"/>
          <w:sz w:val="34"/>
          <w:szCs w:val="34"/>
        </w:rPr>
      </w:pPr>
      <w:r w:rsidRPr="00D761C8">
        <w:rPr>
          <w:rFonts w:ascii="Aptos" w:hAnsi="Aptos"/>
          <w:b/>
          <w:bCs/>
          <w:color w:val="2E74B5" w:themeColor="accent5" w:themeShade="BF"/>
          <w:sz w:val="34"/>
          <w:szCs w:val="34"/>
        </w:rPr>
        <w:t>Loan Default Rate Scenario Analysis</w:t>
      </w:r>
    </w:p>
    <w:p w14:paraId="23DB2EAF" w14:textId="77777777" w:rsidR="00C4544E" w:rsidRPr="00D761C8" w:rsidRDefault="00C4544E" w:rsidP="00C4544E">
      <w:pPr>
        <w:jc w:val="center"/>
        <w:rPr>
          <w:rFonts w:ascii="Aptos" w:hAnsi="Aptos"/>
          <w:b/>
          <w:bCs/>
          <w:color w:val="2E74B5" w:themeColor="accent5" w:themeShade="BF"/>
          <w:sz w:val="18"/>
          <w:szCs w:val="18"/>
        </w:rPr>
      </w:pPr>
    </w:p>
    <w:p w14:paraId="2A9AC0B9" w14:textId="77777777" w:rsidR="00C4544E" w:rsidRPr="00CB1DA2" w:rsidRDefault="00C4544E" w:rsidP="00C4544E">
      <w:pPr>
        <w:jc w:val="center"/>
        <w:rPr>
          <w:b/>
          <w:bCs/>
          <w:color w:val="171717" w:themeColor="background2" w:themeShade="1A"/>
          <w:sz w:val="26"/>
          <w:szCs w:val="26"/>
        </w:rPr>
      </w:pPr>
      <w:r w:rsidRPr="00CB1DA2">
        <w:rPr>
          <w:b/>
          <w:bCs/>
          <w:color w:val="171717" w:themeColor="background2" w:themeShade="1A"/>
          <w:sz w:val="26"/>
          <w:szCs w:val="26"/>
        </w:rPr>
        <w:t>Internship Role</w:t>
      </w:r>
    </w:p>
    <w:p w14:paraId="0DE0482F" w14:textId="77777777" w:rsidR="00C4544E" w:rsidRPr="00CD08FC" w:rsidRDefault="00C4544E" w:rsidP="00C4544E">
      <w:pPr>
        <w:jc w:val="center"/>
        <w:rPr>
          <w:b/>
          <w:bCs/>
          <w:color w:val="3B3838" w:themeColor="background2" w:themeShade="40"/>
          <w:sz w:val="32"/>
          <w:szCs w:val="32"/>
        </w:rPr>
      </w:pPr>
      <w:r w:rsidRPr="00CD08FC">
        <w:rPr>
          <w:b/>
          <w:bCs/>
          <w:color w:val="3B3838" w:themeColor="background2" w:themeShade="40"/>
          <w:sz w:val="32"/>
          <w:szCs w:val="32"/>
        </w:rPr>
        <w:t>Junior Data Analyst – Banking &amp; Financial Services</w:t>
      </w:r>
    </w:p>
    <w:p w14:paraId="703DF7C8" w14:textId="77777777" w:rsidR="00C4544E" w:rsidRPr="00D761C8" w:rsidRDefault="00C4544E" w:rsidP="00C4544E">
      <w:pPr>
        <w:jc w:val="center"/>
        <w:rPr>
          <w:b/>
          <w:bCs/>
          <w:sz w:val="16"/>
          <w:szCs w:val="16"/>
        </w:rPr>
      </w:pPr>
    </w:p>
    <w:p w14:paraId="1457A327" w14:textId="77777777" w:rsidR="00C4544E" w:rsidRPr="00CB1DA2" w:rsidRDefault="00C4544E" w:rsidP="00C4544E">
      <w:pPr>
        <w:jc w:val="center"/>
        <w:rPr>
          <w:b/>
          <w:bCs/>
          <w:color w:val="0D0D0D" w:themeColor="text1" w:themeTint="F2"/>
          <w:sz w:val="26"/>
          <w:szCs w:val="26"/>
        </w:rPr>
      </w:pPr>
      <w:r w:rsidRPr="00CB1DA2">
        <w:rPr>
          <w:b/>
          <w:bCs/>
          <w:color w:val="0D0D0D" w:themeColor="text1" w:themeTint="F2"/>
          <w:sz w:val="26"/>
          <w:szCs w:val="26"/>
        </w:rPr>
        <w:t>Prepared by</w:t>
      </w:r>
    </w:p>
    <w:p w14:paraId="7C47F2FD" w14:textId="07409BB9" w:rsidR="00C4544E" w:rsidRDefault="00C4544E" w:rsidP="00D761C8">
      <w:pPr>
        <w:jc w:val="center"/>
        <w:rPr>
          <w:b/>
          <w:bCs/>
          <w:color w:val="3B3838" w:themeColor="background2" w:themeShade="40"/>
          <w:sz w:val="32"/>
          <w:szCs w:val="32"/>
        </w:rPr>
      </w:pPr>
      <w:r w:rsidRPr="00CD08FC">
        <w:rPr>
          <w:b/>
          <w:bCs/>
          <w:color w:val="3B3838" w:themeColor="background2" w:themeShade="40"/>
          <w:sz w:val="32"/>
          <w:szCs w:val="32"/>
        </w:rPr>
        <w:t>Rahul Prajapat</w:t>
      </w:r>
    </w:p>
    <w:p w14:paraId="04A4BC1E" w14:textId="77777777" w:rsidR="00D761C8" w:rsidRPr="00D761C8" w:rsidRDefault="00D761C8" w:rsidP="00D761C8">
      <w:pPr>
        <w:jc w:val="center"/>
        <w:rPr>
          <w:b/>
          <w:bCs/>
          <w:color w:val="3B3838" w:themeColor="background2" w:themeShade="40"/>
          <w:sz w:val="16"/>
          <w:szCs w:val="16"/>
        </w:rPr>
      </w:pPr>
    </w:p>
    <w:p w14:paraId="6F41C1AE" w14:textId="77777777" w:rsidR="00C4544E" w:rsidRPr="00CB1DA2" w:rsidRDefault="00C4544E" w:rsidP="00C4544E">
      <w:pPr>
        <w:jc w:val="center"/>
        <w:rPr>
          <w:b/>
          <w:bCs/>
          <w:color w:val="0D0D0D" w:themeColor="text1" w:themeTint="F2"/>
          <w:sz w:val="26"/>
          <w:szCs w:val="26"/>
        </w:rPr>
      </w:pPr>
      <w:r w:rsidRPr="00CB1DA2">
        <w:rPr>
          <w:b/>
          <w:bCs/>
          <w:color w:val="0D0D0D" w:themeColor="text1" w:themeTint="F2"/>
          <w:sz w:val="26"/>
          <w:szCs w:val="26"/>
        </w:rPr>
        <w:t>Tools Used</w:t>
      </w:r>
    </w:p>
    <w:p w14:paraId="48B019A3" w14:textId="0FB0A898" w:rsidR="00C4544E" w:rsidRDefault="00C4544E" w:rsidP="00C4544E">
      <w:pPr>
        <w:jc w:val="center"/>
        <w:rPr>
          <w:b/>
          <w:bCs/>
          <w:color w:val="3B3838" w:themeColor="background2" w:themeShade="40"/>
          <w:sz w:val="32"/>
          <w:szCs w:val="32"/>
        </w:rPr>
      </w:pPr>
      <w:r w:rsidRPr="00CD08FC">
        <w:rPr>
          <w:b/>
          <w:bCs/>
          <w:color w:val="3B3838" w:themeColor="background2" w:themeShade="40"/>
          <w:sz w:val="32"/>
          <w:szCs w:val="32"/>
        </w:rPr>
        <w:t>Microsoft Excel</w:t>
      </w:r>
    </w:p>
    <w:p w14:paraId="3C2D479B" w14:textId="77777777" w:rsidR="00D761C8" w:rsidRPr="00D761C8" w:rsidRDefault="00D761C8" w:rsidP="00C4544E">
      <w:pPr>
        <w:jc w:val="center"/>
        <w:rPr>
          <w:b/>
          <w:bCs/>
          <w:color w:val="3B3838" w:themeColor="background2" w:themeShade="40"/>
          <w:sz w:val="16"/>
          <w:szCs w:val="16"/>
        </w:rPr>
      </w:pPr>
    </w:p>
    <w:p w14:paraId="26D44B92" w14:textId="33CF8816" w:rsidR="00C4544E" w:rsidRDefault="00D761C8" w:rsidP="00C4544E">
      <w:pPr>
        <w:jc w:val="center"/>
        <w:rPr>
          <w:b/>
          <w:bCs/>
          <w:color w:val="0D0D0D" w:themeColor="text1" w:themeTint="F2"/>
          <w:sz w:val="26"/>
          <w:szCs w:val="26"/>
        </w:rPr>
      </w:pPr>
      <w:r w:rsidRPr="00D761C8">
        <w:rPr>
          <w:b/>
          <w:bCs/>
          <w:color w:val="0D0D0D" w:themeColor="text1" w:themeTint="F2"/>
          <w:sz w:val="26"/>
          <w:szCs w:val="26"/>
        </w:rPr>
        <w:t>Dataset</w:t>
      </w:r>
    </w:p>
    <w:p w14:paraId="43EA6A71" w14:textId="5D146B94" w:rsidR="00D761C8" w:rsidRDefault="00D761C8" w:rsidP="00C4544E">
      <w:pPr>
        <w:jc w:val="center"/>
        <w:rPr>
          <w:b/>
          <w:bCs/>
          <w:color w:val="3B3838" w:themeColor="background2" w:themeShade="40"/>
          <w:sz w:val="32"/>
          <w:szCs w:val="32"/>
        </w:rPr>
      </w:pPr>
      <w:r w:rsidRPr="00D761C8">
        <w:rPr>
          <w:b/>
          <w:bCs/>
          <w:color w:val="3B3838" w:themeColor="background2" w:themeShade="40"/>
          <w:sz w:val="32"/>
          <w:szCs w:val="32"/>
        </w:rPr>
        <w:t>credit_risk_dataset.csv</w:t>
      </w:r>
    </w:p>
    <w:p w14:paraId="6CCD3C61" w14:textId="77777777" w:rsidR="00D761C8" w:rsidRPr="00D761C8" w:rsidRDefault="00D761C8" w:rsidP="00C4544E">
      <w:pPr>
        <w:jc w:val="center"/>
        <w:rPr>
          <w:b/>
          <w:bCs/>
          <w:color w:val="3B3838" w:themeColor="background2" w:themeShade="40"/>
          <w:sz w:val="16"/>
          <w:szCs w:val="16"/>
        </w:rPr>
      </w:pPr>
    </w:p>
    <w:p w14:paraId="3963F336" w14:textId="77777777" w:rsidR="00C4544E" w:rsidRPr="00CB1DA2" w:rsidRDefault="00C4544E" w:rsidP="00C4544E">
      <w:pPr>
        <w:jc w:val="center"/>
        <w:rPr>
          <w:b/>
          <w:bCs/>
          <w:color w:val="0D0D0D" w:themeColor="text1" w:themeTint="F2"/>
          <w:sz w:val="26"/>
          <w:szCs w:val="26"/>
        </w:rPr>
      </w:pPr>
      <w:r w:rsidRPr="00D761C8">
        <w:rPr>
          <w:b/>
          <w:bCs/>
          <w:color w:val="0D0D0D" w:themeColor="text1" w:themeTint="F2"/>
          <w:sz w:val="26"/>
          <w:szCs w:val="26"/>
        </w:rPr>
        <w:t xml:space="preserve">Submission </w:t>
      </w:r>
      <w:r w:rsidRPr="00CB1DA2">
        <w:rPr>
          <w:b/>
          <w:bCs/>
          <w:color w:val="0D0D0D" w:themeColor="text1" w:themeTint="F2"/>
          <w:sz w:val="26"/>
          <w:szCs w:val="26"/>
        </w:rPr>
        <w:t>Date</w:t>
      </w:r>
    </w:p>
    <w:p w14:paraId="4A7629EB" w14:textId="77777777" w:rsidR="00C4544E" w:rsidRPr="003E5DC9" w:rsidRDefault="00C4544E" w:rsidP="00C4544E">
      <w:pPr>
        <w:jc w:val="center"/>
        <w:rPr>
          <w:b/>
          <w:bCs/>
          <w:color w:val="3B3838" w:themeColor="background2" w:themeShade="40"/>
          <w:sz w:val="32"/>
          <w:szCs w:val="32"/>
        </w:rPr>
      </w:pPr>
      <w:r w:rsidRPr="00CD08FC">
        <w:rPr>
          <w:b/>
          <w:bCs/>
          <w:color w:val="3B3838" w:themeColor="background2" w:themeShade="40"/>
          <w:sz w:val="32"/>
          <w:szCs w:val="32"/>
        </w:rPr>
        <w:t>16 October 2026</w:t>
      </w:r>
    </w:p>
    <w:p w14:paraId="4C5F9585" w14:textId="7B01E424" w:rsidR="001F05CE" w:rsidRPr="001F05CE" w:rsidRDefault="001F05CE" w:rsidP="001F05CE">
      <w:pPr>
        <w:rPr>
          <w:b/>
          <w:bCs/>
          <w:sz w:val="32"/>
          <w:szCs w:val="32"/>
        </w:rPr>
      </w:pPr>
      <w:r w:rsidRPr="001F05CE">
        <w:rPr>
          <w:b/>
          <w:bCs/>
          <w:sz w:val="32"/>
          <w:szCs w:val="32"/>
        </w:rPr>
        <w:lastRenderedPageBreak/>
        <w:t>1. Objective</w:t>
      </w:r>
    </w:p>
    <w:p w14:paraId="09F7F958" w14:textId="77777777" w:rsidR="001F05CE" w:rsidRDefault="001F05CE" w:rsidP="001F05CE">
      <w:r w:rsidRPr="001F05CE">
        <w:t>The objective of this task is to create a simple forecast model to understand how the loan default rate may change under different assumptions. Using the cleaned credit risk dataset from Week 1, I compared the historical default rate with estimated rates under different scenarios. This analysis demonstrates how changes in the default rate can affect the overall credit risk picture.</w:t>
      </w:r>
    </w:p>
    <w:p w14:paraId="2D328FAB" w14:textId="77777777" w:rsidR="001F05CE" w:rsidRPr="001F05CE" w:rsidRDefault="001F05CE" w:rsidP="001F05CE"/>
    <w:p w14:paraId="09255946" w14:textId="77777777" w:rsidR="001F05CE" w:rsidRPr="001F05CE" w:rsidRDefault="001F05CE" w:rsidP="001F05CE">
      <w:pPr>
        <w:rPr>
          <w:b/>
          <w:bCs/>
          <w:sz w:val="32"/>
          <w:szCs w:val="32"/>
        </w:rPr>
      </w:pPr>
      <w:r w:rsidRPr="001F05CE">
        <w:rPr>
          <w:b/>
          <w:bCs/>
          <w:sz w:val="32"/>
          <w:szCs w:val="32"/>
        </w:rPr>
        <w:t>2. Dataset Overview</w:t>
      </w:r>
    </w:p>
    <w:p w14:paraId="78DE7DA9" w14:textId="77777777" w:rsidR="001F05CE" w:rsidRDefault="001F05CE" w:rsidP="001F05CE">
      <w:r w:rsidRPr="001F05CE">
        <w:t>The analysis uses the credit_risk_dataset.csv dataset from Week 1. After cleaning the data and removing duplicate records, 9,983 loan records were retained. The dataset contains borrower details, loan information, interest rates, loan grades, and loan default status. Microsoft Excel was used to calculate the historical default rate and build the forecast model.</w:t>
      </w:r>
    </w:p>
    <w:p w14:paraId="2FC00708" w14:textId="77777777" w:rsidR="001F05CE" w:rsidRPr="001F05CE" w:rsidRDefault="001F05CE" w:rsidP="001F05CE"/>
    <w:p w14:paraId="0A87B52F" w14:textId="77777777" w:rsidR="001F05CE" w:rsidRPr="001F05CE" w:rsidRDefault="001F05CE" w:rsidP="001F05CE">
      <w:pPr>
        <w:rPr>
          <w:b/>
          <w:bCs/>
          <w:sz w:val="32"/>
          <w:szCs w:val="32"/>
        </w:rPr>
      </w:pPr>
      <w:r w:rsidRPr="001F05CE">
        <w:rPr>
          <w:b/>
          <w:bCs/>
          <w:sz w:val="32"/>
          <w:szCs w:val="32"/>
        </w:rPr>
        <w:t>3. Forecast Model Design</w:t>
      </w:r>
    </w:p>
    <w:p w14:paraId="133E780F" w14:textId="77777777" w:rsidR="001F05CE" w:rsidRPr="001F05CE" w:rsidRDefault="001F05CE" w:rsidP="001F05CE">
      <w:r w:rsidRPr="001F05CE">
        <w:t>The historical loan default rate was calculated by dividing the number of defaulted loans by the total number of loans. The dataset contained 2,210 defaulted loans out of 9,983 records, giving a historical default rate of approximately 22.14%.</w:t>
      </w:r>
    </w:p>
    <w:p w14:paraId="5E90A2D3" w14:textId="77777777" w:rsidR="001F05CE" w:rsidRPr="001F05CE" w:rsidRDefault="001F05CE" w:rsidP="001F05CE">
      <w:r w:rsidRPr="001F05CE">
        <w:t>For the forecast, I applied an assumed relative increase of 5% to the historical default rate. The calculation was performed in Excel using the formula:</w:t>
      </w:r>
    </w:p>
    <w:p w14:paraId="6DC36E83" w14:textId="77777777" w:rsidR="001F05CE" w:rsidRPr="001F05CE" w:rsidRDefault="001F05CE" w:rsidP="001F05CE">
      <w:r w:rsidRPr="001F05CE">
        <w:t>Forecast Default Rate = Historical Default Rate × (1 + Assumed Change)</w:t>
      </w:r>
    </w:p>
    <w:p w14:paraId="7D738D13" w14:textId="77777777" w:rsidR="001F05CE" w:rsidRDefault="001F05CE" w:rsidP="001F05CE">
      <w:r w:rsidRPr="001F05CE">
        <w:t>This produced a scenario-based forecast rate of approximately 23.24%.</w:t>
      </w:r>
    </w:p>
    <w:p w14:paraId="3624684D" w14:textId="77777777" w:rsidR="001F05CE" w:rsidRPr="001F05CE" w:rsidRDefault="001F05CE" w:rsidP="001F05CE"/>
    <w:p w14:paraId="54F80AE9" w14:textId="77777777" w:rsidR="001F05CE" w:rsidRPr="001F05CE" w:rsidRDefault="001F05CE" w:rsidP="001F05CE">
      <w:pPr>
        <w:rPr>
          <w:b/>
          <w:bCs/>
          <w:sz w:val="32"/>
          <w:szCs w:val="32"/>
        </w:rPr>
      </w:pPr>
      <w:r w:rsidRPr="001F05CE">
        <w:rPr>
          <w:b/>
          <w:bCs/>
          <w:sz w:val="32"/>
          <w:szCs w:val="32"/>
        </w:rPr>
        <w:t>4. Model Design Justification</w:t>
      </w:r>
    </w:p>
    <w:p w14:paraId="4AC773F8" w14:textId="77777777" w:rsidR="001F05CE" w:rsidRPr="001F05CE" w:rsidRDefault="001F05CE" w:rsidP="001F05CE">
      <w:r w:rsidRPr="001F05CE">
        <w:t>A scenario-based model was selected because the dataset contains borrower and loan details but does not include a date or time field for tracking default rates over time. Therefore, a time-series forecast could not be developed from this dataset alone.</w:t>
      </w:r>
    </w:p>
    <w:p w14:paraId="60B8DD70" w14:textId="77777777" w:rsidR="001F05CE" w:rsidRDefault="001F05CE" w:rsidP="001F05CE">
      <w:r w:rsidRPr="001F05CE">
        <w:t>A 5% relative increase was used as the selected scenario to demonstrate how the default rate would change under an assumed increase. This assumption is illustrative and is not derived from historical trends or a statistical forecasting model.</w:t>
      </w:r>
    </w:p>
    <w:p w14:paraId="449F24D0" w14:textId="77777777" w:rsidR="00D761C8" w:rsidRDefault="00D761C8" w:rsidP="001F05CE"/>
    <w:p w14:paraId="3FDD7961" w14:textId="77777777" w:rsidR="00D761C8" w:rsidRPr="001F05CE" w:rsidRDefault="00D761C8" w:rsidP="001F05CE"/>
    <w:p w14:paraId="2F14048E" w14:textId="77777777" w:rsidR="001F05CE" w:rsidRPr="001F05CE" w:rsidRDefault="001F05CE" w:rsidP="001F05CE">
      <w:pPr>
        <w:rPr>
          <w:b/>
          <w:bCs/>
          <w:sz w:val="32"/>
          <w:szCs w:val="32"/>
        </w:rPr>
      </w:pPr>
      <w:r w:rsidRPr="001F05CE">
        <w:rPr>
          <w:b/>
          <w:bCs/>
          <w:sz w:val="32"/>
          <w:szCs w:val="32"/>
        </w:rPr>
        <w:lastRenderedPageBreak/>
        <w:t>5. Forecast Results</w:t>
      </w:r>
    </w:p>
    <w:p w14:paraId="2DFF8085" w14:textId="77777777" w:rsidR="001F05CE" w:rsidRPr="001F05CE" w:rsidRDefault="001F05CE" w:rsidP="001F05CE">
      <w:r w:rsidRPr="001F05CE">
        <w:t>The historical default rate was approximately 22.14%, while the forecast rate under the selected scenario was approximately 23.24%. The difference is around 1.11 percentage points.</w:t>
      </w:r>
    </w:p>
    <w:p w14:paraId="3DF24C5A" w14:textId="77777777" w:rsidR="001F05CE" w:rsidRDefault="001F05CE" w:rsidP="001F05CE">
      <w:r w:rsidRPr="001F05CE">
        <w:t>This result shows that even a relatively small assumed increase can raise the overall default rate. However, the forecast should be interpreted as a hypothetical estimate rather than a prediction of actual future loan defaults.</w:t>
      </w:r>
    </w:p>
    <w:p w14:paraId="21058DFE" w14:textId="065E54D0" w:rsidR="00EC2667" w:rsidRDefault="00EC2667" w:rsidP="001F05CE">
      <w:r>
        <w:rPr>
          <w:noProof/>
        </w:rPr>
        <w:drawing>
          <wp:inline distT="0" distB="0" distL="0" distR="0" wp14:anchorId="6BE85CAB" wp14:editId="4C37F34C">
            <wp:extent cx="3933290" cy="2210308"/>
            <wp:effectExtent l="0" t="0" r="10160" b="0"/>
            <wp:docPr id="53515076" name="Chart 1">
              <a:extLst xmlns:a="http://schemas.openxmlformats.org/drawingml/2006/main">
                <a:ext uri="{FF2B5EF4-FFF2-40B4-BE49-F238E27FC236}">
                  <a16:creationId xmlns:a16="http://schemas.microsoft.com/office/drawing/2014/main" id="{9B57BA4E-3E52-56AA-FE98-6649CDA226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CFB144A" w14:textId="77777777" w:rsidR="001F05CE" w:rsidRPr="001F05CE" w:rsidRDefault="001F05CE" w:rsidP="001F05CE"/>
    <w:p w14:paraId="1367F0F7" w14:textId="77777777" w:rsidR="001F05CE" w:rsidRPr="001F05CE" w:rsidRDefault="001F05CE" w:rsidP="001F05CE">
      <w:pPr>
        <w:rPr>
          <w:b/>
          <w:bCs/>
          <w:sz w:val="28"/>
          <w:szCs w:val="28"/>
        </w:rPr>
      </w:pPr>
      <w:r w:rsidRPr="001F05CE">
        <w:rPr>
          <w:b/>
          <w:bCs/>
          <w:sz w:val="28"/>
          <w:szCs w:val="28"/>
        </w:rPr>
        <w:t>6. Scenario Comparison</w:t>
      </w:r>
    </w:p>
    <w:p w14:paraId="1593E629" w14:textId="77777777" w:rsidR="001F05CE" w:rsidRPr="001F05CE" w:rsidRDefault="001F05CE" w:rsidP="001F05CE">
      <w:r w:rsidRPr="001F05CE">
        <w:t>To compare different possible outcomes, I created three scenarios in Excel: a 2% relative increase, a 5% relative increase, and a 10% relative increase in the historical default rate.</w:t>
      </w:r>
    </w:p>
    <w:p w14:paraId="65F16FBC" w14:textId="77777777" w:rsidR="001F05CE" w:rsidRDefault="001F05CE" w:rsidP="001F05CE">
      <w:r w:rsidRPr="001F05CE">
        <w:t>The estimated default rates are approximately 22.58% for the low-increase scenario, 23.24% for the selected scenario, and 24.35% for the high-increase scenario. The comparison chart makes it easier to see how the estimated default rate changes as the assumed increase becomes larger.</w:t>
      </w:r>
    </w:p>
    <w:p w14:paraId="618D5E95" w14:textId="4A502172" w:rsidR="00EC2667" w:rsidRDefault="00EC2667" w:rsidP="001F05CE">
      <w:r>
        <w:rPr>
          <w:noProof/>
        </w:rPr>
        <w:drawing>
          <wp:inline distT="0" distB="0" distL="0" distR="0" wp14:anchorId="7F1FE6EE" wp14:editId="05EB3479">
            <wp:extent cx="3749889" cy="2336021"/>
            <wp:effectExtent l="0" t="0" r="3175" b="7620"/>
            <wp:docPr id="1510714067" name="Chart 1">
              <a:extLst xmlns:a="http://schemas.openxmlformats.org/drawingml/2006/main">
                <a:ext uri="{FF2B5EF4-FFF2-40B4-BE49-F238E27FC236}">
                  <a16:creationId xmlns:a16="http://schemas.microsoft.com/office/drawing/2014/main" id="{C431DE84-3EA6-9138-672E-73F71B4EB8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8F243BE" w14:textId="77777777" w:rsidR="001F05CE" w:rsidRPr="001F05CE" w:rsidRDefault="001F05CE" w:rsidP="001F05CE"/>
    <w:p w14:paraId="7A586C04" w14:textId="77777777" w:rsidR="001F05CE" w:rsidRPr="001F05CE" w:rsidRDefault="001F05CE" w:rsidP="001F05CE">
      <w:pPr>
        <w:rPr>
          <w:b/>
          <w:bCs/>
          <w:sz w:val="32"/>
          <w:szCs w:val="32"/>
        </w:rPr>
      </w:pPr>
      <w:r w:rsidRPr="001F05CE">
        <w:rPr>
          <w:b/>
          <w:bCs/>
          <w:sz w:val="32"/>
          <w:szCs w:val="32"/>
        </w:rPr>
        <w:t>7. Limitations</w:t>
      </w:r>
    </w:p>
    <w:p w14:paraId="2D34C4CC" w14:textId="77777777" w:rsidR="001F05CE" w:rsidRDefault="001F05CE" w:rsidP="001F05CE">
      <w:r w:rsidRPr="001F05CE">
        <w:t>The model has some limitations. The dataset does not contain time-based information, so the analysis cannot identify trends in default rates over time. The scenario assumptions are hypothetical and are not based on a statistical forecasting method. The results also depend on the historical default rate remaining a suitable starting point for the calculation. Actual future default rates may differ from these estimates.</w:t>
      </w:r>
    </w:p>
    <w:p w14:paraId="70E93DC6" w14:textId="77777777" w:rsidR="001F05CE" w:rsidRPr="001F05CE" w:rsidRDefault="001F05CE" w:rsidP="001F05CE"/>
    <w:p w14:paraId="5C6E9CF3" w14:textId="77777777" w:rsidR="001F05CE" w:rsidRPr="001F05CE" w:rsidRDefault="001F05CE" w:rsidP="001F05CE">
      <w:pPr>
        <w:rPr>
          <w:b/>
          <w:bCs/>
          <w:sz w:val="32"/>
          <w:szCs w:val="32"/>
        </w:rPr>
      </w:pPr>
      <w:r w:rsidRPr="001F05CE">
        <w:rPr>
          <w:b/>
          <w:bCs/>
          <w:sz w:val="32"/>
          <w:szCs w:val="32"/>
        </w:rPr>
        <w:t>8. Conclusion</w:t>
      </w:r>
    </w:p>
    <w:p w14:paraId="1A880420" w14:textId="77777777" w:rsidR="001F05CE" w:rsidRPr="001F05CE" w:rsidRDefault="001F05CE" w:rsidP="001F05CE">
      <w:r w:rsidRPr="001F05CE">
        <w:t>This task helped me understand how a basic financial forecast model can be created using Microsoft Excel. By calculating the historical loan default rate and comparing three hypothetical scenarios, I was able to see how different assumptions affect the estimated result. The model is useful for demonstrating scenario analysis, but more time-based data and a suitable forecasting method would be needed to make a reliable prediction of future loan defaults.</w:t>
      </w:r>
    </w:p>
    <w:p w14:paraId="009EA850" w14:textId="77777777" w:rsidR="001F05CE" w:rsidRPr="001F05CE" w:rsidRDefault="001F05CE" w:rsidP="001F05CE"/>
    <w:sectPr w:rsidR="001F05CE" w:rsidRPr="001F0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CE"/>
    <w:rsid w:val="001F05CE"/>
    <w:rsid w:val="00220334"/>
    <w:rsid w:val="004712AB"/>
    <w:rsid w:val="006C2A95"/>
    <w:rsid w:val="007106D4"/>
    <w:rsid w:val="00C010C0"/>
    <w:rsid w:val="00C4544E"/>
    <w:rsid w:val="00D761C8"/>
    <w:rsid w:val="00EC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98ED"/>
  <w15:chartTrackingRefBased/>
  <w15:docId w15:val="{7F92A0B3-ADDE-4F9A-9214-10C02BF9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5CE"/>
    <w:rPr>
      <w:rFonts w:eastAsiaTheme="majorEastAsia" w:cstheme="majorBidi"/>
      <w:color w:val="272727" w:themeColor="text1" w:themeTint="D8"/>
    </w:rPr>
  </w:style>
  <w:style w:type="paragraph" w:styleId="Title">
    <w:name w:val="Title"/>
    <w:basedOn w:val="Normal"/>
    <w:next w:val="Normal"/>
    <w:link w:val="TitleChar"/>
    <w:uiPriority w:val="10"/>
    <w:qFormat/>
    <w:rsid w:val="001F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5CE"/>
    <w:pPr>
      <w:spacing w:before="160"/>
      <w:jc w:val="center"/>
    </w:pPr>
    <w:rPr>
      <w:i/>
      <w:iCs/>
      <w:color w:val="404040" w:themeColor="text1" w:themeTint="BF"/>
    </w:rPr>
  </w:style>
  <w:style w:type="character" w:customStyle="1" w:styleId="QuoteChar">
    <w:name w:val="Quote Char"/>
    <w:basedOn w:val="DefaultParagraphFont"/>
    <w:link w:val="Quote"/>
    <w:uiPriority w:val="29"/>
    <w:rsid w:val="001F05CE"/>
    <w:rPr>
      <w:i/>
      <w:iCs/>
      <w:color w:val="404040" w:themeColor="text1" w:themeTint="BF"/>
    </w:rPr>
  </w:style>
  <w:style w:type="paragraph" w:styleId="ListParagraph">
    <w:name w:val="List Paragraph"/>
    <w:basedOn w:val="Normal"/>
    <w:uiPriority w:val="34"/>
    <w:qFormat/>
    <w:rsid w:val="001F05CE"/>
    <w:pPr>
      <w:ind w:left="720"/>
      <w:contextualSpacing/>
    </w:pPr>
  </w:style>
  <w:style w:type="character" w:styleId="IntenseEmphasis">
    <w:name w:val="Intense Emphasis"/>
    <w:basedOn w:val="DefaultParagraphFont"/>
    <w:uiPriority w:val="21"/>
    <w:qFormat/>
    <w:rsid w:val="001F05CE"/>
    <w:rPr>
      <w:i/>
      <w:iCs/>
      <w:color w:val="2F5496" w:themeColor="accent1" w:themeShade="BF"/>
    </w:rPr>
  </w:style>
  <w:style w:type="paragraph" w:styleId="IntenseQuote">
    <w:name w:val="Intense Quote"/>
    <w:basedOn w:val="Normal"/>
    <w:next w:val="Normal"/>
    <w:link w:val="IntenseQuoteChar"/>
    <w:uiPriority w:val="30"/>
    <w:qFormat/>
    <w:rsid w:val="001F0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5CE"/>
    <w:rPr>
      <w:i/>
      <w:iCs/>
      <w:color w:val="2F5496" w:themeColor="accent1" w:themeShade="BF"/>
    </w:rPr>
  </w:style>
  <w:style w:type="character" w:styleId="IntenseReference">
    <w:name w:val="Intense Reference"/>
    <w:basedOn w:val="DefaultParagraphFont"/>
    <w:uiPriority w:val="32"/>
    <w:qFormat/>
    <w:rsid w:val="001F0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Credit_Risk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Credit_Risk_Analysi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Historical</a:t>
            </a:r>
            <a:r>
              <a:rPr lang="en-IN" baseline="0"/>
              <a:t> vs Forecast Default Rate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Forecast_Model!$A$13:$A$14</c:f>
              <c:strCache>
                <c:ptCount val="2"/>
                <c:pt idx="0">
                  <c:v>Historical Default Rate</c:v>
                </c:pt>
                <c:pt idx="1">
                  <c:v>Forecast Default Rate</c:v>
                </c:pt>
              </c:strCache>
            </c:strRef>
          </c:cat>
          <c:val>
            <c:numRef>
              <c:f>Forecast_Model!$B$13:$B$14</c:f>
              <c:numCache>
                <c:formatCode>0.00%</c:formatCode>
                <c:ptCount val="2"/>
                <c:pt idx="0">
                  <c:v>0.22137633977762194</c:v>
                </c:pt>
                <c:pt idx="1">
                  <c:v>0.23244515676650304</c:v>
                </c:pt>
              </c:numCache>
            </c:numRef>
          </c:val>
          <c:extLst>
            <c:ext xmlns:c16="http://schemas.microsoft.com/office/drawing/2014/chart" uri="{C3380CC4-5D6E-409C-BE32-E72D297353CC}">
              <c16:uniqueId val="{00000000-7BE7-4E15-98BE-5F54823015A1}"/>
            </c:ext>
          </c:extLst>
        </c:ser>
        <c:dLbls>
          <c:showLegendKey val="0"/>
          <c:showVal val="0"/>
          <c:showCatName val="0"/>
          <c:showSerName val="0"/>
          <c:showPercent val="0"/>
          <c:showBubbleSize val="0"/>
        </c:dLbls>
        <c:gapWidth val="219"/>
        <c:overlap val="-27"/>
        <c:axId val="375138191"/>
        <c:axId val="246442479"/>
      </c:barChart>
      <c:catAx>
        <c:axId val="375138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6442479"/>
        <c:crosses val="autoZero"/>
        <c:auto val="1"/>
        <c:lblAlgn val="ctr"/>
        <c:lblOffset val="100"/>
        <c:noMultiLvlLbl val="0"/>
      </c:catAx>
      <c:valAx>
        <c:axId val="24644247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1381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Default Rate </a:t>
            </a:r>
            <a:r>
              <a:rPr lang="en-IN" sz="1400" b="0" i="0" u="none" strike="noStrike" baseline="0"/>
              <a:t>Scenario Comparison</a:t>
            </a:r>
            <a:r>
              <a:rPr lang="en-IN"/>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Forecast_Model!$G$3</c:f>
              <c:strCache>
                <c:ptCount val="1"/>
                <c:pt idx="0">
                  <c:v>Forecast Default Rate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Forecast_Model!$E$4:$E$6</c:f>
              <c:strCache>
                <c:ptCount val="3"/>
                <c:pt idx="0">
                  <c:v>Low Increase</c:v>
                </c:pt>
                <c:pt idx="1">
                  <c:v>Selected Scenario</c:v>
                </c:pt>
                <c:pt idx="2">
                  <c:v>High Increase</c:v>
                </c:pt>
              </c:strCache>
            </c:strRef>
          </c:cat>
          <c:val>
            <c:numRef>
              <c:f>Forecast_Model!$G$4:$G$6</c:f>
              <c:numCache>
                <c:formatCode>0.00%</c:formatCode>
                <c:ptCount val="3"/>
                <c:pt idx="0">
                  <c:v>0.22580386657317439</c:v>
                </c:pt>
                <c:pt idx="1">
                  <c:v>0.23244515676650304</c:v>
                </c:pt>
                <c:pt idx="2">
                  <c:v>0.24351397375538417</c:v>
                </c:pt>
              </c:numCache>
            </c:numRef>
          </c:val>
          <c:extLst>
            <c:ext xmlns:c16="http://schemas.microsoft.com/office/drawing/2014/chart" uri="{C3380CC4-5D6E-409C-BE32-E72D297353CC}">
              <c16:uniqueId val="{00000000-4291-4508-93FB-0CC67B4DEAC1}"/>
            </c:ext>
          </c:extLst>
        </c:ser>
        <c:dLbls>
          <c:dLblPos val="outEnd"/>
          <c:showLegendKey val="0"/>
          <c:showVal val="1"/>
          <c:showCatName val="0"/>
          <c:showSerName val="0"/>
          <c:showPercent val="0"/>
          <c:showBubbleSize val="0"/>
        </c:dLbls>
        <c:gapWidth val="219"/>
        <c:overlap val="-27"/>
        <c:axId val="375252959"/>
        <c:axId val="246450639"/>
      </c:barChart>
      <c:catAx>
        <c:axId val="3752529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6450639"/>
        <c:crosses val="autoZero"/>
        <c:auto val="1"/>
        <c:lblAlgn val="ctr"/>
        <c:lblOffset val="100"/>
        <c:noMultiLvlLbl val="0"/>
      </c:catAx>
      <c:valAx>
        <c:axId val="24645063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2529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prajapat</dc:creator>
  <cp:keywords/>
  <dc:description/>
  <cp:lastModifiedBy>rahul prajapat</cp:lastModifiedBy>
  <cp:revision>2</cp:revision>
  <dcterms:created xsi:type="dcterms:W3CDTF">2026-10-16T10:36:00Z</dcterms:created>
  <dcterms:modified xsi:type="dcterms:W3CDTF">2026-10-16T11:13:00Z</dcterms:modified>
</cp:coreProperties>
</file>