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063FC" w14:textId="77777777" w:rsidR="000146DA" w:rsidRDefault="000146DA" w:rsidP="000146DA">
      <w:r>
        <w:rPr>
          <w:b/>
          <w:bCs/>
          <w:noProof/>
        </w:rPr>
        <w:drawing>
          <wp:inline distT="0" distB="0" distL="0" distR="0" wp14:anchorId="5AC47470" wp14:editId="3DB3C807">
            <wp:extent cx="5729605" cy="1743075"/>
            <wp:effectExtent l="0" t="0" r="4445" b="9525"/>
            <wp:docPr id="1882987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987592" name="Picture 188298759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48494" cy="1748821"/>
                    </a:xfrm>
                    <a:prstGeom prst="rect">
                      <a:avLst/>
                    </a:prstGeom>
                  </pic:spPr>
                </pic:pic>
              </a:graphicData>
            </a:graphic>
          </wp:inline>
        </w:drawing>
      </w:r>
    </w:p>
    <w:p w14:paraId="03187CA3" w14:textId="77777777" w:rsidR="000146DA" w:rsidRDefault="000146DA" w:rsidP="000146DA"/>
    <w:p w14:paraId="5D7234A2" w14:textId="77777777" w:rsidR="000146DA" w:rsidRPr="003B7EB9" w:rsidRDefault="000146DA" w:rsidP="000146DA">
      <w:pPr>
        <w:jc w:val="center"/>
        <w:rPr>
          <w:rFonts w:ascii="Aptos" w:hAnsi="Aptos"/>
          <w:b/>
          <w:bCs/>
          <w:color w:val="2E74B5" w:themeColor="accent5" w:themeShade="BF"/>
        </w:rPr>
      </w:pPr>
      <w:r w:rsidRPr="003B7EB9">
        <w:rPr>
          <w:rFonts w:ascii="Aptos" w:hAnsi="Aptos"/>
          <w:b/>
          <w:bCs/>
          <w:color w:val="2E74B5" w:themeColor="accent5" w:themeShade="BF"/>
        </w:rPr>
        <w:t>INTERNSHIP PROJECT REPORT</w:t>
      </w:r>
    </w:p>
    <w:p w14:paraId="015A0645" w14:textId="7987D2DA" w:rsidR="000146DA" w:rsidRDefault="000146DA" w:rsidP="000146DA">
      <w:pPr>
        <w:pBdr>
          <w:bottom w:val="single" w:sz="12" w:space="0" w:color="2E74B5" w:themeColor="accent5" w:themeShade="BF"/>
        </w:pBdr>
        <w:jc w:val="center"/>
        <w:rPr>
          <w:rFonts w:ascii="Aptos" w:hAnsi="Aptos"/>
          <w:b/>
          <w:bCs/>
          <w:color w:val="3B3838" w:themeColor="background2" w:themeShade="40"/>
          <w:sz w:val="52"/>
          <w:szCs w:val="52"/>
        </w:rPr>
      </w:pPr>
      <w:r w:rsidRPr="000146DA">
        <w:rPr>
          <w:rFonts w:ascii="Aptos" w:hAnsi="Aptos"/>
          <w:b/>
          <w:bCs/>
          <w:color w:val="3B3838" w:themeColor="background2" w:themeShade="40"/>
          <w:sz w:val="52"/>
          <w:szCs w:val="52"/>
        </w:rPr>
        <w:t>DATA VISUALIZATION</w:t>
      </w:r>
    </w:p>
    <w:p w14:paraId="75AF4042" w14:textId="77777777" w:rsidR="000146DA" w:rsidRPr="00C4544E" w:rsidRDefault="000146DA" w:rsidP="000146DA">
      <w:pPr>
        <w:pBdr>
          <w:bottom w:val="single" w:sz="12" w:space="0" w:color="2E74B5" w:themeColor="accent5" w:themeShade="BF"/>
        </w:pBdr>
        <w:jc w:val="center"/>
        <w:rPr>
          <w:rFonts w:ascii="Aptos" w:hAnsi="Aptos"/>
          <w:b/>
          <w:bCs/>
          <w:color w:val="3B3838" w:themeColor="background2" w:themeShade="40"/>
          <w:sz w:val="16"/>
          <w:szCs w:val="16"/>
        </w:rPr>
      </w:pPr>
    </w:p>
    <w:p w14:paraId="5F4110D9" w14:textId="77777777" w:rsidR="000146DA" w:rsidRPr="00C4544E" w:rsidRDefault="000146DA" w:rsidP="000146DA">
      <w:pPr>
        <w:jc w:val="center"/>
        <w:rPr>
          <w:rFonts w:ascii="Aptos" w:hAnsi="Aptos"/>
          <w:b/>
          <w:bCs/>
          <w:color w:val="2E74B5" w:themeColor="accent5" w:themeShade="BF"/>
          <w:sz w:val="16"/>
          <w:szCs w:val="16"/>
        </w:rPr>
      </w:pPr>
    </w:p>
    <w:p w14:paraId="5E30375C" w14:textId="5D75889A" w:rsidR="000146DA" w:rsidRDefault="000146DA" w:rsidP="000146DA">
      <w:pPr>
        <w:jc w:val="center"/>
        <w:rPr>
          <w:rFonts w:ascii="Aptos" w:hAnsi="Aptos"/>
          <w:b/>
          <w:bCs/>
          <w:color w:val="2E74B5" w:themeColor="accent5" w:themeShade="BF"/>
          <w:sz w:val="34"/>
          <w:szCs w:val="34"/>
        </w:rPr>
      </w:pPr>
      <w:r w:rsidRPr="000146DA">
        <w:rPr>
          <w:rFonts w:ascii="Aptos" w:hAnsi="Aptos"/>
          <w:b/>
          <w:bCs/>
          <w:color w:val="2E74B5" w:themeColor="accent5" w:themeShade="BF"/>
          <w:sz w:val="34"/>
          <w:szCs w:val="34"/>
        </w:rPr>
        <w:t>Credit Risk Analysis Using Excel Charts</w:t>
      </w:r>
    </w:p>
    <w:p w14:paraId="7AC8BF27" w14:textId="77777777" w:rsidR="000146DA" w:rsidRPr="00D761C8" w:rsidRDefault="000146DA" w:rsidP="000146DA">
      <w:pPr>
        <w:jc w:val="center"/>
        <w:rPr>
          <w:rFonts w:ascii="Aptos" w:hAnsi="Aptos"/>
          <w:b/>
          <w:bCs/>
          <w:color w:val="2E74B5" w:themeColor="accent5" w:themeShade="BF"/>
          <w:sz w:val="18"/>
          <w:szCs w:val="18"/>
        </w:rPr>
      </w:pPr>
    </w:p>
    <w:p w14:paraId="025A293E" w14:textId="77777777" w:rsidR="000146DA" w:rsidRPr="00CB1DA2" w:rsidRDefault="000146DA" w:rsidP="000146DA">
      <w:pPr>
        <w:jc w:val="center"/>
        <w:rPr>
          <w:b/>
          <w:bCs/>
          <w:color w:val="171717" w:themeColor="background2" w:themeShade="1A"/>
          <w:sz w:val="26"/>
          <w:szCs w:val="26"/>
        </w:rPr>
      </w:pPr>
      <w:r w:rsidRPr="00CB1DA2">
        <w:rPr>
          <w:b/>
          <w:bCs/>
          <w:color w:val="171717" w:themeColor="background2" w:themeShade="1A"/>
          <w:sz w:val="26"/>
          <w:szCs w:val="26"/>
        </w:rPr>
        <w:t>Internship Role</w:t>
      </w:r>
    </w:p>
    <w:p w14:paraId="57ECDC8E" w14:textId="77777777" w:rsidR="000146DA" w:rsidRPr="00CD08FC" w:rsidRDefault="000146DA" w:rsidP="000146DA">
      <w:pPr>
        <w:jc w:val="center"/>
        <w:rPr>
          <w:b/>
          <w:bCs/>
          <w:color w:val="3B3838" w:themeColor="background2" w:themeShade="40"/>
          <w:sz w:val="32"/>
          <w:szCs w:val="32"/>
        </w:rPr>
      </w:pPr>
      <w:r w:rsidRPr="00CD08FC">
        <w:rPr>
          <w:b/>
          <w:bCs/>
          <w:color w:val="3B3838" w:themeColor="background2" w:themeShade="40"/>
          <w:sz w:val="32"/>
          <w:szCs w:val="32"/>
        </w:rPr>
        <w:t>Junior Data Analyst – Banking &amp; Financial Services</w:t>
      </w:r>
    </w:p>
    <w:p w14:paraId="34D613CC" w14:textId="77777777" w:rsidR="000146DA" w:rsidRPr="00D761C8" w:rsidRDefault="000146DA" w:rsidP="000146DA">
      <w:pPr>
        <w:jc w:val="center"/>
        <w:rPr>
          <w:b/>
          <w:bCs/>
          <w:sz w:val="16"/>
          <w:szCs w:val="16"/>
        </w:rPr>
      </w:pPr>
    </w:p>
    <w:p w14:paraId="13C24C48" w14:textId="77777777" w:rsidR="000146DA" w:rsidRPr="00CB1DA2" w:rsidRDefault="000146DA" w:rsidP="000146DA">
      <w:pPr>
        <w:jc w:val="center"/>
        <w:rPr>
          <w:b/>
          <w:bCs/>
          <w:color w:val="0D0D0D" w:themeColor="text1" w:themeTint="F2"/>
          <w:sz w:val="26"/>
          <w:szCs w:val="26"/>
        </w:rPr>
      </w:pPr>
      <w:r w:rsidRPr="00CB1DA2">
        <w:rPr>
          <w:b/>
          <w:bCs/>
          <w:color w:val="0D0D0D" w:themeColor="text1" w:themeTint="F2"/>
          <w:sz w:val="26"/>
          <w:szCs w:val="26"/>
        </w:rPr>
        <w:t>Prepared by</w:t>
      </w:r>
    </w:p>
    <w:p w14:paraId="1FF53176" w14:textId="77777777" w:rsidR="000146DA" w:rsidRDefault="000146DA" w:rsidP="000146DA">
      <w:pPr>
        <w:jc w:val="center"/>
        <w:rPr>
          <w:b/>
          <w:bCs/>
          <w:color w:val="3B3838" w:themeColor="background2" w:themeShade="40"/>
          <w:sz w:val="32"/>
          <w:szCs w:val="32"/>
        </w:rPr>
      </w:pPr>
      <w:r w:rsidRPr="00CD08FC">
        <w:rPr>
          <w:b/>
          <w:bCs/>
          <w:color w:val="3B3838" w:themeColor="background2" w:themeShade="40"/>
          <w:sz w:val="32"/>
          <w:szCs w:val="32"/>
        </w:rPr>
        <w:t>Rahul Prajapat</w:t>
      </w:r>
    </w:p>
    <w:p w14:paraId="1C774466" w14:textId="77777777" w:rsidR="000146DA" w:rsidRPr="00D761C8" w:rsidRDefault="000146DA" w:rsidP="000146DA">
      <w:pPr>
        <w:jc w:val="center"/>
        <w:rPr>
          <w:b/>
          <w:bCs/>
          <w:color w:val="3B3838" w:themeColor="background2" w:themeShade="40"/>
          <w:sz w:val="16"/>
          <w:szCs w:val="16"/>
        </w:rPr>
      </w:pPr>
    </w:p>
    <w:p w14:paraId="2687D04D" w14:textId="77777777" w:rsidR="000146DA" w:rsidRPr="00CB1DA2" w:rsidRDefault="000146DA" w:rsidP="000146DA">
      <w:pPr>
        <w:jc w:val="center"/>
        <w:rPr>
          <w:b/>
          <w:bCs/>
          <w:color w:val="0D0D0D" w:themeColor="text1" w:themeTint="F2"/>
          <w:sz w:val="26"/>
          <w:szCs w:val="26"/>
        </w:rPr>
      </w:pPr>
      <w:r w:rsidRPr="00CB1DA2">
        <w:rPr>
          <w:b/>
          <w:bCs/>
          <w:color w:val="0D0D0D" w:themeColor="text1" w:themeTint="F2"/>
          <w:sz w:val="26"/>
          <w:szCs w:val="26"/>
        </w:rPr>
        <w:t>Tools Used</w:t>
      </w:r>
    </w:p>
    <w:p w14:paraId="434EEC3E" w14:textId="77777777" w:rsidR="000146DA" w:rsidRDefault="000146DA" w:rsidP="000146DA">
      <w:pPr>
        <w:jc w:val="center"/>
        <w:rPr>
          <w:b/>
          <w:bCs/>
          <w:color w:val="3B3838" w:themeColor="background2" w:themeShade="40"/>
          <w:sz w:val="32"/>
          <w:szCs w:val="32"/>
        </w:rPr>
      </w:pPr>
      <w:r w:rsidRPr="00CD08FC">
        <w:rPr>
          <w:b/>
          <w:bCs/>
          <w:color w:val="3B3838" w:themeColor="background2" w:themeShade="40"/>
          <w:sz w:val="32"/>
          <w:szCs w:val="32"/>
        </w:rPr>
        <w:t>Microsoft Excel</w:t>
      </w:r>
    </w:p>
    <w:p w14:paraId="45C9F14C" w14:textId="77777777" w:rsidR="000146DA" w:rsidRPr="00D761C8" w:rsidRDefault="000146DA" w:rsidP="000146DA">
      <w:pPr>
        <w:jc w:val="center"/>
        <w:rPr>
          <w:b/>
          <w:bCs/>
          <w:color w:val="3B3838" w:themeColor="background2" w:themeShade="40"/>
          <w:sz w:val="16"/>
          <w:szCs w:val="16"/>
        </w:rPr>
      </w:pPr>
    </w:p>
    <w:p w14:paraId="6F3AC43A" w14:textId="77777777" w:rsidR="000146DA" w:rsidRDefault="000146DA" w:rsidP="000146DA">
      <w:pPr>
        <w:jc w:val="center"/>
        <w:rPr>
          <w:b/>
          <w:bCs/>
          <w:color w:val="0D0D0D" w:themeColor="text1" w:themeTint="F2"/>
          <w:sz w:val="26"/>
          <w:szCs w:val="26"/>
        </w:rPr>
      </w:pPr>
      <w:r w:rsidRPr="00D761C8">
        <w:rPr>
          <w:b/>
          <w:bCs/>
          <w:color w:val="0D0D0D" w:themeColor="text1" w:themeTint="F2"/>
          <w:sz w:val="26"/>
          <w:szCs w:val="26"/>
        </w:rPr>
        <w:t>Dataset</w:t>
      </w:r>
    </w:p>
    <w:p w14:paraId="3C86DA2F" w14:textId="77777777" w:rsidR="000146DA" w:rsidRDefault="000146DA" w:rsidP="000146DA">
      <w:pPr>
        <w:jc w:val="center"/>
        <w:rPr>
          <w:b/>
          <w:bCs/>
          <w:color w:val="3B3838" w:themeColor="background2" w:themeShade="40"/>
          <w:sz w:val="32"/>
          <w:szCs w:val="32"/>
        </w:rPr>
      </w:pPr>
      <w:r w:rsidRPr="00D761C8">
        <w:rPr>
          <w:b/>
          <w:bCs/>
          <w:color w:val="3B3838" w:themeColor="background2" w:themeShade="40"/>
          <w:sz w:val="32"/>
          <w:szCs w:val="32"/>
        </w:rPr>
        <w:t>credit_risk_dataset.csv</w:t>
      </w:r>
    </w:p>
    <w:p w14:paraId="1C6D1352" w14:textId="77777777" w:rsidR="000146DA" w:rsidRPr="00D761C8" w:rsidRDefault="000146DA" w:rsidP="000146DA">
      <w:pPr>
        <w:jc w:val="center"/>
        <w:rPr>
          <w:b/>
          <w:bCs/>
          <w:color w:val="3B3838" w:themeColor="background2" w:themeShade="40"/>
          <w:sz w:val="16"/>
          <w:szCs w:val="16"/>
        </w:rPr>
      </w:pPr>
    </w:p>
    <w:p w14:paraId="1F8AE6E4" w14:textId="77777777" w:rsidR="000146DA" w:rsidRPr="00CB1DA2" w:rsidRDefault="000146DA" w:rsidP="000146DA">
      <w:pPr>
        <w:jc w:val="center"/>
        <w:rPr>
          <w:b/>
          <w:bCs/>
          <w:color w:val="0D0D0D" w:themeColor="text1" w:themeTint="F2"/>
          <w:sz w:val="26"/>
          <w:szCs w:val="26"/>
        </w:rPr>
      </w:pPr>
      <w:r w:rsidRPr="00D761C8">
        <w:rPr>
          <w:b/>
          <w:bCs/>
          <w:color w:val="0D0D0D" w:themeColor="text1" w:themeTint="F2"/>
          <w:sz w:val="26"/>
          <w:szCs w:val="26"/>
        </w:rPr>
        <w:t xml:space="preserve">Submission </w:t>
      </w:r>
      <w:r w:rsidRPr="00CB1DA2">
        <w:rPr>
          <w:b/>
          <w:bCs/>
          <w:color w:val="0D0D0D" w:themeColor="text1" w:themeTint="F2"/>
          <w:sz w:val="26"/>
          <w:szCs w:val="26"/>
        </w:rPr>
        <w:t>Date</w:t>
      </w:r>
    </w:p>
    <w:p w14:paraId="46BD3F26" w14:textId="24290264" w:rsidR="006C2A95" w:rsidRPr="000146DA" w:rsidRDefault="000146DA" w:rsidP="000146DA">
      <w:pPr>
        <w:jc w:val="center"/>
        <w:rPr>
          <w:b/>
          <w:bCs/>
          <w:color w:val="3B3838" w:themeColor="background2" w:themeShade="40"/>
          <w:sz w:val="32"/>
          <w:szCs w:val="32"/>
        </w:rPr>
      </w:pPr>
      <w:r w:rsidRPr="00CD08FC">
        <w:rPr>
          <w:b/>
          <w:bCs/>
          <w:color w:val="3B3838" w:themeColor="background2" w:themeShade="40"/>
          <w:sz w:val="32"/>
          <w:szCs w:val="32"/>
        </w:rPr>
        <w:t>1</w:t>
      </w:r>
      <w:r>
        <w:rPr>
          <w:b/>
          <w:bCs/>
          <w:color w:val="3B3838" w:themeColor="background2" w:themeShade="40"/>
          <w:sz w:val="32"/>
          <w:szCs w:val="32"/>
        </w:rPr>
        <w:t xml:space="preserve">9 </w:t>
      </w:r>
      <w:r w:rsidRPr="00CD08FC">
        <w:rPr>
          <w:b/>
          <w:bCs/>
          <w:color w:val="3B3838" w:themeColor="background2" w:themeShade="40"/>
          <w:sz w:val="32"/>
          <w:szCs w:val="32"/>
        </w:rPr>
        <w:t>October 2026</w:t>
      </w:r>
    </w:p>
    <w:p w14:paraId="3C6C5372" w14:textId="77777777" w:rsidR="0038404B" w:rsidRPr="0038404B" w:rsidRDefault="0038404B" w:rsidP="0038404B">
      <w:pPr>
        <w:rPr>
          <w:b/>
          <w:bCs/>
          <w:sz w:val="32"/>
          <w:szCs w:val="32"/>
        </w:rPr>
      </w:pPr>
      <w:r w:rsidRPr="0038404B">
        <w:rPr>
          <w:b/>
          <w:bCs/>
          <w:sz w:val="32"/>
          <w:szCs w:val="32"/>
        </w:rPr>
        <w:lastRenderedPageBreak/>
        <w:t>1. Objective</w:t>
      </w:r>
    </w:p>
    <w:p w14:paraId="22CA016D" w14:textId="77777777" w:rsidR="0038404B" w:rsidRDefault="0038404B" w:rsidP="0038404B">
      <w:r w:rsidRPr="0038404B">
        <w:t>The objective of this task was to create meaningful visualizations from the credit risk dataset to identify patterns in loan defaults and understand the relationship between loan characteristics and default rates.</w:t>
      </w:r>
    </w:p>
    <w:p w14:paraId="3FF5D87A" w14:textId="77777777" w:rsidR="0038404B" w:rsidRPr="0038404B" w:rsidRDefault="0038404B" w:rsidP="0038404B"/>
    <w:p w14:paraId="3AA5713D" w14:textId="77777777" w:rsidR="0038404B" w:rsidRPr="0038404B" w:rsidRDefault="0038404B" w:rsidP="0038404B">
      <w:pPr>
        <w:rPr>
          <w:b/>
          <w:bCs/>
          <w:sz w:val="32"/>
          <w:szCs w:val="32"/>
        </w:rPr>
      </w:pPr>
      <w:r w:rsidRPr="0038404B">
        <w:rPr>
          <w:b/>
          <w:bCs/>
          <w:sz w:val="32"/>
          <w:szCs w:val="32"/>
        </w:rPr>
        <w:t>2. Data Visualization and Analysis</w:t>
      </w:r>
    </w:p>
    <w:p w14:paraId="77F6054D" w14:textId="77777777" w:rsidR="0038404B" w:rsidRPr="0038404B" w:rsidRDefault="0038404B" w:rsidP="0038404B">
      <w:pPr>
        <w:rPr>
          <w:b/>
          <w:bCs/>
          <w:sz w:val="28"/>
          <w:szCs w:val="28"/>
        </w:rPr>
      </w:pPr>
      <w:r w:rsidRPr="0038404B">
        <w:rPr>
          <w:b/>
          <w:bCs/>
          <w:sz w:val="28"/>
          <w:szCs w:val="28"/>
        </w:rPr>
        <w:t>2.1 Default Rate by Loan Grade</w:t>
      </w:r>
    </w:p>
    <w:p w14:paraId="34365A80" w14:textId="77777777" w:rsidR="0038404B" w:rsidRPr="0038404B" w:rsidRDefault="0038404B" w:rsidP="0038404B">
      <w:r w:rsidRPr="0038404B">
        <w:t>The column chart compares the default rate across loan grades A to G. The default rate generally increases as the grade moves from A to G. Grades A, B, and C have comparatively lower default rates, while grades D, E, F, and G show substantially higher rates. Grade G recorded a 100% default rate in this dataset.</w:t>
      </w:r>
    </w:p>
    <w:p w14:paraId="243AC056" w14:textId="77777777" w:rsidR="0038404B" w:rsidRDefault="0038404B" w:rsidP="0038404B">
      <w:r w:rsidRPr="0038404B">
        <w:t>This visualization highlights the importance of loan grades when examining credit risk. However, the result for Grade G should be interpreted carefully because the number of loans in that category may be small.</w:t>
      </w:r>
    </w:p>
    <w:p w14:paraId="1DDC4C84" w14:textId="277021C5" w:rsidR="0038404B" w:rsidRDefault="0038404B" w:rsidP="0038404B">
      <w:r>
        <w:rPr>
          <w:noProof/>
        </w:rPr>
        <w:drawing>
          <wp:inline distT="0" distB="0" distL="0" distR="0" wp14:anchorId="50B92635" wp14:editId="029CECCD">
            <wp:extent cx="4386943" cy="2242458"/>
            <wp:effectExtent l="0" t="0" r="13970" b="5715"/>
            <wp:docPr id="132988335" name="Chart 1">
              <a:extLst xmlns:a="http://schemas.openxmlformats.org/drawingml/2006/main">
                <a:ext uri="{FF2B5EF4-FFF2-40B4-BE49-F238E27FC236}">
                  <a16:creationId xmlns:a16="http://schemas.microsoft.com/office/drawing/2014/main" id="{FB531949-D4FF-A7AB-EDEB-BED234DBE40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52A44C4D" w14:textId="77777777" w:rsidR="0038404B" w:rsidRPr="0038404B" w:rsidRDefault="0038404B" w:rsidP="0038404B">
      <w:pPr>
        <w:rPr>
          <w:sz w:val="2"/>
          <w:szCs w:val="2"/>
        </w:rPr>
      </w:pPr>
    </w:p>
    <w:p w14:paraId="7CF162EE" w14:textId="77777777" w:rsidR="0038404B" w:rsidRPr="0038404B" w:rsidRDefault="0038404B" w:rsidP="0038404B">
      <w:pPr>
        <w:rPr>
          <w:b/>
          <w:bCs/>
          <w:sz w:val="28"/>
          <w:szCs w:val="28"/>
        </w:rPr>
      </w:pPr>
      <w:r w:rsidRPr="0038404B">
        <w:rPr>
          <w:b/>
          <w:bCs/>
          <w:sz w:val="28"/>
          <w:szCs w:val="28"/>
        </w:rPr>
        <w:t>2.2 Average Loan Amount by Default Status</w:t>
      </w:r>
    </w:p>
    <w:p w14:paraId="536D2D6F" w14:textId="77777777" w:rsidR="0038404B" w:rsidRPr="0038404B" w:rsidRDefault="0038404B" w:rsidP="0038404B">
      <w:r w:rsidRPr="0038404B">
        <w:t>This chart compares the average loan amount for borrowers who defaulted and those who did not default.</w:t>
      </w:r>
    </w:p>
    <w:p w14:paraId="1E74E799" w14:textId="77777777" w:rsidR="0038404B" w:rsidRPr="0038404B" w:rsidRDefault="0038404B" w:rsidP="0038404B">
      <w:pPr>
        <w:numPr>
          <w:ilvl w:val="0"/>
          <w:numId w:val="3"/>
        </w:numPr>
      </w:pPr>
      <w:r w:rsidRPr="0038404B">
        <w:t>Non-defaulters (status 0): ₹9,250.35</w:t>
      </w:r>
    </w:p>
    <w:p w14:paraId="05E59E1F" w14:textId="77777777" w:rsidR="0038404B" w:rsidRPr="0038404B" w:rsidRDefault="0038404B" w:rsidP="0038404B">
      <w:pPr>
        <w:numPr>
          <w:ilvl w:val="0"/>
          <w:numId w:val="3"/>
        </w:numPr>
      </w:pPr>
      <w:r w:rsidRPr="0038404B">
        <w:t>Defaulters (status 1): ₹10,728.55</w:t>
      </w:r>
    </w:p>
    <w:p w14:paraId="20B7955E" w14:textId="3DE9FC88" w:rsidR="0038404B" w:rsidRDefault="0038404B" w:rsidP="0038404B">
      <w:r w:rsidRPr="0038404B">
        <w:t>The average loan amount among defaulters was approximately ₹1,478.20 higher than among non-defaulters. This indicates an association between higher average loan amounts and default status in this dataset. It does not establish that a higher loan amount directly causes default.</w:t>
      </w:r>
    </w:p>
    <w:p w14:paraId="45D2C05E" w14:textId="502EC87B" w:rsidR="0038404B" w:rsidRDefault="0038404B" w:rsidP="0038404B">
      <w:r>
        <w:rPr>
          <w:noProof/>
        </w:rPr>
        <w:lastRenderedPageBreak/>
        <w:drawing>
          <wp:inline distT="0" distB="0" distL="0" distR="0" wp14:anchorId="6704747A" wp14:editId="58799FB4">
            <wp:extent cx="4231640" cy="2144486"/>
            <wp:effectExtent l="0" t="0" r="16510" b="8255"/>
            <wp:docPr id="1428506504" name="Chart 1">
              <a:extLst xmlns:a="http://schemas.openxmlformats.org/drawingml/2006/main">
                <a:ext uri="{FF2B5EF4-FFF2-40B4-BE49-F238E27FC236}">
                  <a16:creationId xmlns:a16="http://schemas.microsoft.com/office/drawing/2014/main" id="{51A8A60A-C8E6-2791-1079-5FD05B8ECE4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45BD1BBA" w14:textId="77777777" w:rsidR="000146DA" w:rsidRDefault="000146DA" w:rsidP="0038404B"/>
    <w:p w14:paraId="3A22E2E4" w14:textId="77777777" w:rsidR="0038404B" w:rsidRPr="0038404B" w:rsidRDefault="0038404B" w:rsidP="0038404B">
      <w:pPr>
        <w:rPr>
          <w:sz w:val="2"/>
          <w:szCs w:val="2"/>
        </w:rPr>
      </w:pPr>
    </w:p>
    <w:p w14:paraId="09F1474E" w14:textId="77777777" w:rsidR="0038404B" w:rsidRPr="0038404B" w:rsidRDefault="0038404B" w:rsidP="0038404B">
      <w:pPr>
        <w:rPr>
          <w:b/>
          <w:bCs/>
          <w:sz w:val="28"/>
          <w:szCs w:val="28"/>
        </w:rPr>
      </w:pPr>
      <w:r w:rsidRPr="0038404B">
        <w:rPr>
          <w:b/>
          <w:bCs/>
          <w:sz w:val="28"/>
          <w:szCs w:val="28"/>
        </w:rPr>
        <w:t>2.3 Default Rate by Loan Purpose</w:t>
      </w:r>
    </w:p>
    <w:p w14:paraId="084930C3" w14:textId="77777777" w:rsidR="0038404B" w:rsidRPr="0038404B" w:rsidRDefault="0038404B" w:rsidP="0038404B">
      <w:r w:rsidRPr="0038404B">
        <w:t>The column chart compares default rates across six loan purposes.</w:t>
      </w:r>
    </w:p>
    <w:p w14:paraId="7AE06FDE" w14:textId="77777777" w:rsidR="0038404B" w:rsidRPr="0038404B" w:rsidRDefault="0038404B" w:rsidP="0038404B">
      <w:pPr>
        <w:numPr>
          <w:ilvl w:val="0"/>
          <w:numId w:val="4"/>
        </w:numPr>
      </w:pPr>
      <w:r w:rsidRPr="0038404B">
        <w:t>Debt consolidation: 29.91%</w:t>
      </w:r>
    </w:p>
    <w:p w14:paraId="0F309F59" w14:textId="77777777" w:rsidR="0038404B" w:rsidRPr="0038404B" w:rsidRDefault="0038404B" w:rsidP="0038404B">
      <w:pPr>
        <w:numPr>
          <w:ilvl w:val="0"/>
          <w:numId w:val="4"/>
        </w:numPr>
      </w:pPr>
      <w:r w:rsidRPr="0038404B">
        <w:t>Home improvement: 28.34%</w:t>
      </w:r>
    </w:p>
    <w:p w14:paraId="575DCB02" w14:textId="77777777" w:rsidR="0038404B" w:rsidRPr="0038404B" w:rsidRDefault="0038404B" w:rsidP="0038404B">
      <w:pPr>
        <w:numPr>
          <w:ilvl w:val="0"/>
          <w:numId w:val="4"/>
        </w:numPr>
      </w:pPr>
      <w:r w:rsidRPr="0038404B">
        <w:t>Medical: 27.15%</w:t>
      </w:r>
    </w:p>
    <w:p w14:paraId="4441F5FA" w14:textId="77777777" w:rsidR="0038404B" w:rsidRPr="0038404B" w:rsidRDefault="0038404B" w:rsidP="0038404B">
      <w:pPr>
        <w:numPr>
          <w:ilvl w:val="0"/>
          <w:numId w:val="4"/>
        </w:numPr>
      </w:pPr>
      <w:r w:rsidRPr="0038404B">
        <w:t>Personal: 19.99%</w:t>
      </w:r>
    </w:p>
    <w:p w14:paraId="31864107" w14:textId="77777777" w:rsidR="0038404B" w:rsidRPr="0038404B" w:rsidRDefault="0038404B" w:rsidP="0038404B">
      <w:pPr>
        <w:numPr>
          <w:ilvl w:val="0"/>
          <w:numId w:val="4"/>
        </w:numPr>
      </w:pPr>
      <w:r w:rsidRPr="0038404B">
        <w:t>Education: 16.25%</w:t>
      </w:r>
    </w:p>
    <w:p w14:paraId="06796EC8" w14:textId="77777777" w:rsidR="0038404B" w:rsidRPr="0038404B" w:rsidRDefault="0038404B" w:rsidP="0038404B">
      <w:pPr>
        <w:numPr>
          <w:ilvl w:val="0"/>
          <w:numId w:val="4"/>
        </w:numPr>
      </w:pPr>
      <w:r w:rsidRPr="0038404B">
        <w:t>Venture: 14.74%</w:t>
      </w:r>
    </w:p>
    <w:p w14:paraId="7B9B9BD6" w14:textId="77777777" w:rsidR="0038404B" w:rsidRDefault="0038404B" w:rsidP="0038404B">
      <w:r w:rsidRPr="0038404B">
        <w:t>Debt consolidation had the highest default rate among these purposes, followed by home improvement and medical loans. Venture and education loans had comparatively lower default rates. These differences can help identify loan-purpose categories for further investigation.</w:t>
      </w:r>
    </w:p>
    <w:p w14:paraId="5A99C072" w14:textId="4D8A95A9" w:rsidR="0038404B" w:rsidRDefault="0038404B" w:rsidP="0038404B">
      <w:r>
        <w:rPr>
          <w:noProof/>
        </w:rPr>
        <w:drawing>
          <wp:inline distT="0" distB="0" distL="0" distR="0" wp14:anchorId="589C482A" wp14:editId="21BFEC59">
            <wp:extent cx="6294120" cy="2543175"/>
            <wp:effectExtent l="0" t="0" r="11430" b="9525"/>
            <wp:docPr id="1464931018" name="Chart 1">
              <a:extLst xmlns:a="http://schemas.openxmlformats.org/drawingml/2006/main">
                <a:ext uri="{FF2B5EF4-FFF2-40B4-BE49-F238E27FC236}">
                  <a16:creationId xmlns:a16="http://schemas.microsoft.com/office/drawing/2014/main" id="{1B996B53-E890-0C8B-2F07-8412218F136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1BB64EE4" w14:textId="77777777" w:rsidR="0038404B" w:rsidRPr="0038404B" w:rsidRDefault="0038404B" w:rsidP="0038404B">
      <w:pPr>
        <w:rPr>
          <w:b/>
          <w:bCs/>
          <w:sz w:val="32"/>
          <w:szCs w:val="32"/>
        </w:rPr>
      </w:pPr>
      <w:r w:rsidRPr="0038404B">
        <w:rPr>
          <w:b/>
          <w:bCs/>
          <w:sz w:val="32"/>
          <w:szCs w:val="32"/>
        </w:rPr>
        <w:lastRenderedPageBreak/>
        <w:t>3. Key Findings</w:t>
      </w:r>
    </w:p>
    <w:p w14:paraId="3BFD34E7" w14:textId="77777777" w:rsidR="0038404B" w:rsidRPr="0038404B" w:rsidRDefault="0038404B" w:rsidP="0038404B">
      <w:pPr>
        <w:numPr>
          <w:ilvl w:val="0"/>
          <w:numId w:val="5"/>
        </w:numPr>
      </w:pPr>
      <w:r w:rsidRPr="0038404B">
        <w:t>Default rates vary substantially across loan grades.</w:t>
      </w:r>
    </w:p>
    <w:p w14:paraId="7BE364F8" w14:textId="77777777" w:rsidR="0038404B" w:rsidRPr="0038404B" w:rsidRDefault="0038404B" w:rsidP="0038404B">
      <w:pPr>
        <w:numPr>
          <w:ilvl w:val="0"/>
          <w:numId w:val="5"/>
        </w:numPr>
      </w:pPr>
      <w:r w:rsidRPr="0038404B">
        <w:t>Borrowers who defaulted had a higher average loan amount than non-defaulters.</w:t>
      </w:r>
    </w:p>
    <w:p w14:paraId="5DA5833D" w14:textId="77777777" w:rsidR="0038404B" w:rsidRPr="0038404B" w:rsidRDefault="0038404B" w:rsidP="0038404B">
      <w:pPr>
        <w:numPr>
          <w:ilvl w:val="0"/>
          <w:numId w:val="5"/>
        </w:numPr>
      </w:pPr>
      <w:r w:rsidRPr="0038404B">
        <w:t>Debt consolidation, home improvement, and medical loans had higher default rates than the other loan-purpose categories examined.</w:t>
      </w:r>
    </w:p>
    <w:p w14:paraId="31A8B2D2" w14:textId="77777777" w:rsidR="0038404B" w:rsidRDefault="0038404B" w:rsidP="0038404B">
      <w:pPr>
        <w:numPr>
          <w:ilvl w:val="0"/>
          <w:numId w:val="5"/>
        </w:numPr>
      </w:pPr>
      <w:r w:rsidRPr="0038404B">
        <w:t>Charts make comparisons across categories easier to understand than reviewing tables alone.</w:t>
      </w:r>
    </w:p>
    <w:p w14:paraId="12498354" w14:textId="77777777" w:rsidR="0038404B" w:rsidRPr="0038404B" w:rsidRDefault="0038404B" w:rsidP="0038404B">
      <w:pPr>
        <w:ind w:left="720"/>
      </w:pPr>
    </w:p>
    <w:p w14:paraId="2FE0FF34" w14:textId="77777777" w:rsidR="0038404B" w:rsidRPr="0038404B" w:rsidRDefault="0038404B" w:rsidP="0038404B">
      <w:pPr>
        <w:rPr>
          <w:b/>
          <w:bCs/>
          <w:sz w:val="32"/>
          <w:szCs w:val="32"/>
        </w:rPr>
      </w:pPr>
      <w:r w:rsidRPr="0038404B">
        <w:rPr>
          <w:b/>
          <w:bCs/>
          <w:sz w:val="32"/>
          <w:szCs w:val="32"/>
        </w:rPr>
        <w:t>4. Conclusion</w:t>
      </w:r>
    </w:p>
    <w:p w14:paraId="65AB2A5B" w14:textId="77777777" w:rsidR="0038404B" w:rsidRDefault="0038404B" w:rsidP="0038404B">
      <w:r w:rsidRPr="0038404B">
        <w:t>The visualizations helped identify important patterns in the credit risk dataset. Loan grade, average loan amount, and loan purpose showed differences associated with default status. These findings can support further credit risk analysis, but additional investigation is needed before using them to make lending decisions.</w:t>
      </w:r>
    </w:p>
    <w:p w14:paraId="5C6B3E29" w14:textId="77777777" w:rsidR="0038404B" w:rsidRPr="0038404B" w:rsidRDefault="0038404B" w:rsidP="0038404B"/>
    <w:p w14:paraId="7284D54C" w14:textId="77777777" w:rsidR="0038404B" w:rsidRPr="0038404B" w:rsidRDefault="0038404B" w:rsidP="0038404B">
      <w:pPr>
        <w:rPr>
          <w:b/>
          <w:bCs/>
          <w:sz w:val="32"/>
          <w:szCs w:val="32"/>
        </w:rPr>
      </w:pPr>
      <w:r w:rsidRPr="0038404B">
        <w:rPr>
          <w:b/>
          <w:bCs/>
          <w:sz w:val="32"/>
          <w:szCs w:val="32"/>
        </w:rPr>
        <w:t>5. Tools Used</w:t>
      </w:r>
    </w:p>
    <w:p w14:paraId="6CF7C88E" w14:textId="77777777" w:rsidR="0038404B" w:rsidRPr="0038404B" w:rsidRDefault="0038404B" w:rsidP="0038404B">
      <w:r w:rsidRPr="0038404B">
        <w:t>Microsoft Excel was used to calculate summary statistics, prepare the analysis tables, and create the column charts. The visualizations were based on the cleaned credit risk dataset.</w:t>
      </w:r>
    </w:p>
    <w:p w14:paraId="31BC89E8" w14:textId="77777777" w:rsidR="0038404B" w:rsidRPr="0038404B" w:rsidRDefault="0038404B">
      <w:pPr>
        <w:rPr>
          <w:sz w:val="28"/>
          <w:szCs w:val="28"/>
        </w:rPr>
      </w:pPr>
    </w:p>
    <w:sectPr w:rsidR="0038404B" w:rsidRPr="003840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B1F53"/>
    <w:multiLevelType w:val="multilevel"/>
    <w:tmpl w:val="EFB0B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25046E"/>
    <w:multiLevelType w:val="multilevel"/>
    <w:tmpl w:val="1C7AB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CD1C10"/>
    <w:multiLevelType w:val="multilevel"/>
    <w:tmpl w:val="B26C8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BC2AE8"/>
    <w:multiLevelType w:val="multilevel"/>
    <w:tmpl w:val="6D582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1A0069"/>
    <w:multiLevelType w:val="multilevel"/>
    <w:tmpl w:val="CEC4C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3108064">
    <w:abstractNumId w:val="4"/>
  </w:num>
  <w:num w:numId="2" w16cid:durableId="1958103551">
    <w:abstractNumId w:val="3"/>
  </w:num>
  <w:num w:numId="3" w16cid:durableId="852963678">
    <w:abstractNumId w:val="1"/>
  </w:num>
  <w:num w:numId="4" w16cid:durableId="223033595">
    <w:abstractNumId w:val="0"/>
  </w:num>
  <w:num w:numId="5" w16cid:durableId="13423151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04B"/>
    <w:rsid w:val="000146DA"/>
    <w:rsid w:val="00220334"/>
    <w:rsid w:val="0038404B"/>
    <w:rsid w:val="004712AB"/>
    <w:rsid w:val="006C2A95"/>
    <w:rsid w:val="00B12C16"/>
    <w:rsid w:val="00C010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ED136"/>
  <w15:chartTrackingRefBased/>
  <w15:docId w15:val="{8D3D4042-3FFA-4F6D-816E-AB3A552A2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40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40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40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40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40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40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40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40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40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40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40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40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40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40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40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40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40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404B"/>
    <w:rPr>
      <w:rFonts w:eastAsiaTheme="majorEastAsia" w:cstheme="majorBidi"/>
      <w:color w:val="272727" w:themeColor="text1" w:themeTint="D8"/>
    </w:rPr>
  </w:style>
  <w:style w:type="paragraph" w:styleId="Title">
    <w:name w:val="Title"/>
    <w:basedOn w:val="Normal"/>
    <w:next w:val="Normal"/>
    <w:link w:val="TitleChar"/>
    <w:uiPriority w:val="10"/>
    <w:qFormat/>
    <w:rsid w:val="003840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40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40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40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404B"/>
    <w:pPr>
      <w:spacing w:before="160"/>
      <w:jc w:val="center"/>
    </w:pPr>
    <w:rPr>
      <w:i/>
      <w:iCs/>
      <w:color w:val="404040" w:themeColor="text1" w:themeTint="BF"/>
    </w:rPr>
  </w:style>
  <w:style w:type="character" w:customStyle="1" w:styleId="QuoteChar">
    <w:name w:val="Quote Char"/>
    <w:basedOn w:val="DefaultParagraphFont"/>
    <w:link w:val="Quote"/>
    <w:uiPriority w:val="29"/>
    <w:rsid w:val="0038404B"/>
    <w:rPr>
      <w:i/>
      <w:iCs/>
      <w:color w:val="404040" w:themeColor="text1" w:themeTint="BF"/>
    </w:rPr>
  </w:style>
  <w:style w:type="paragraph" w:styleId="ListParagraph">
    <w:name w:val="List Paragraph"/>
    <w:basedOn w:val="Normal"/>
    <w:uiPriority w:val="34"/>
    <w:qFormat/>
    <w:rsid w:val="0038404B"/>
    <w:pPr>
      <w:ind w:left="720"/>
      <w:contextualSpacing/>
    </w:pPr>
  </w:style>
  <w:style w:type="character" w:styleId="IntenseEmphasis">
    <w:name w:val="Intense Emphasis"/>
    <w:basedOn w:val="DefaultParagraphFont"/>
    <w:uiPriority w:val="21"/>
    <w:qFormat/>
    <w:rsid w:val="0038404B"/>
    <w:rPr>
      <w:i/>
      <w:iCs/>
      <w:color w:val="2F5496" w:themeColor="accent1" w:themeShade="BF"/>
    </w:rPr>
  </w:style>
  <w:style w:type="paragraph" w:styleId="IntenseQuote">
    <w:name w:val="Intense Quote"/>
    <w:basedOn w:val="Normal"/>
    <w:next w:val="Normal"/>
    <w:link w:val="IntenseQuoteChar"/>
    <w:uiPriority w:val="30"/>
    <w:qFormat/>
    <w:rsid w:val="003840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404B"/>
    <w:rPr>
      <w:i/>
      <w:iCs/>
      <w:color w:val="2F5496" w:themeColor="accent1" w:themeShade="BF"/>
    </w:rPr>
  </w:style>
  <w:style w:type="character" w:styleId="IntenseReference">
    <w:name w:val="Intense Reference"/>
    <w:basedOn w:val="DefaultParagraphFont"/>
    <w:uiPriority w:val="32"/>
    <w:qFormat/>
    <w:rsid w:val="0038404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3.xml"/><Relationship Id="rId3" Type="http://schemas.openxmlformats.org/officeDocument/2006/relationships/settings" Target="settings.xml"/><Relationship Id="rId7" Type="http://schemas.openxmlformats.org/officeDocument/2006/relationships/chart" Target="charts/chart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1.xml"/><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Lenovo\Downloads\Credit_Risk_Analysi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Lenovo\Downloads\Credit_Risk_Analysi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Lenovo\Downloads\Credit_Risk_Analysis.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Default</a:t>
            </a:r>
            <a:r>
              <a:rPr lang="en-IN" baseline="0"/>
              <a:t> Rate by Loan Grade</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Data_Visualization!$A$2:$A$8</c:f>
              <c:strCache>
                <c:ptCount val="7"/>
                <c:pt idx="0">
                  <c:v>A</c:v>
                </c:pt>
                <c:pt idx="1">
                  <c:v>B</c:v>
                </c:pt>
                <c:pt idx="2">
                  <c:v>C</c:v>
                </c:pt>
                <c:pt idx="3">
                  <c:v>D</c:v>
                </c:pt>
                <c:pt idx="4">
                  <c:v>E</c:v>
                </c:pt>
                <c:pt idx="5">
                  <c:v>F</c:v>
                </c:pt>
                <c:pt idx="6">
                  <c:v>G</c:v>
                </c:pt>
              </c:strCache>
            </c:strRef>
          </c:cat>
          <c:val>
            <c:numRef>
              <c:f>Data_Visualization!$D$2:$D$8</c:f>
              <c:numCache>
                <c:formatCode>0.00%</c:formatCode>
                <c:ptCount val="7"/>
                <c:pt idx="0">
                  <c:v>9.6833130328867228E-2</c:v>
                </c:pt>
                <c:pt idx="1">
                  <c:v>0.16745208922400251</c:v>
                </c:pt>
                <c:pt idx="2">
                  <c:v>0.21410705352676337</c:v>
                </c:pt>
                <c:pt idx="3">
                  <c:v>0.59232175502742235</c:v>
                </c:pt>
                <c:pt idx="4">
                  <c:v>0.640625</c:v>
                </c:pt>
                <c:pt idx="5">
                  <c:v>0.70588235294117652</c:v>
                </c:pt>
                <c:pt idx="6">
                  <c:v>1</c:v>
                </c:pt>
              </c:numCache>
            </c:numRef>
          </c:val>
          <c:extLst>
            <c:ext xmlns:c16="http://schemas.microsoft.com/office/drawing/2014/chart" uri="{C3380CC4-5D6E-409C-BE32-E72D297353CC}">
              <c16:uniqueId val="{00000000-5008-4557-AD96-755E36596C78}"/>
            </c:ext>
          </c:extLst>
        </c:ser>
        <c:dLbls>
          <c:dLblPos val="outEnd"/>
          <c:showLegendKey val="0"/>
          <c:showVal val="1"/>
          <c:showCatName val="0"/>
          <c:showSerName val="0"/>
          <c:showPercent val="0"/>
          <c:showBubbleSize val="0"/>
        </c:dLbls>
        <c:gapWidth val="219"/>
        <c:overlap val="-27"/>
        <c:axId val="1894878975"/>
        <c:axId val="1721648239"/>
      </c:barChart>
      <c:catAx>
        <c:axId val="189487897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Loan</a:t>
                </a:r>
                <a:r>
                  <a:rPr lang="en-IN" baseline="0"/>
                  <a:t> Grade</a:t>
                </a:r>
                <a:endParaRPr lang="en-IN"/>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21648239"/>
        <c:crosses val="autoZero"/>
        <c:auto val="1"/>
        <c:lblAlgn val="ctr"/>
        <c:lblOffset val="100"/>
        <c:noMultiLvlLbl val="0"/>
      </c:catAx>
      <c:valAx>
        <c:axId val="172164823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Default</a:t>
                </a:r>
                <a:r>
                  <a:rPr lang="en-IN" baseline="0"/>
                  <a:t> Rate</a:t>
                </a:r>
                <a:endParaRPr lang="en-IN"/>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94878975"/>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baseline="0"/>
              <a:t>Average Loan Amount by Default Status</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barChart>
        <c:barDir val="col"/>
        <c:grouping val="clustered"/>
        <c:varyColors val="0"/>
        <c:ser>
          <c:idx val="0"/>
          <c:order val="0"/>
          <c:tx>
            <c:strRef>
              <c:f>Data_Visualization!$G$1</c:f>
              <c:strCache>
                <c:ptCount val="1"/>
                <c:pt idx="0">
                  <c:v>Avg Loan Amount</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Data_Visualization!$F$2:$F$3</c:f>
              <c:numCache>
                <c:formatCode>General</c:formatCode>
                <c:ptCount val="2"/>
                <c:pt idx="0">
                  <c:v>0</c:v>
                </c:pt>
                <c:pt idx="1">
                  <c:v>1</c:v>
                </c:pt>
              </c:numCache>
            </c:numRef>
          </c:cat>
          <c:val>
            <c:numRef>
              <c:f>Data_Visualization!$G$2:$G$3</c:f>
              <c:numCache>
                <c:formatCode>"₹"\ #,##0.00</c:formatCode>
                <c:ptCount val="2"/>
                <c:pt idx="0">
                  <c:v>10728.552036199095</c:v>
                </c:pt>
                <c:pt idx="1">
                  <c:v>9250.3505724945317</c:v>
                </c:pt>
              </c:numCache>
            </c:numRef>
          </c:val>
          <c:extLst>
            <c:ext xmlns:c16="http://schemas.microsoft.com/office/drawing/2014/chart" uri="{C3380CC4-5D6E-409C-BE32-E72D297353CC}">
              <c16:uniqueId val="{00000000-0D97-4C5E-8F42-7300A66C213E}"/>
            </c:ext>
          </c:extLst>
        </c:ser>
        <c:dLbls>
          <c:dLblPos val="outEnd"/>
          <c:showLegendKey val="0"/>
          <c:showVal val="1"/>
          <c:showCatName val="0"/>
          <c:showSerName val="0"/>
          <c:showPercent val="0"/>
          <c:showBubbleSize val="0"/>
        </c:dLbls>
        <c:gapWidth val="219"/>
        <c:overlap val="-27"/>
        <c:axId val="1515109808"/>
        <c:axId val="1369254928"/>
      </c:barChart>
      <c:catAx>
        <c:axId val="15151098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69254928"/>
        <c:crosses val="autoZero"/>
        <c:auto val="1"/>
        <c:lblAlgn val="ctr"/>
        <c:lblOffset val="100"/>
        <c:noMultiLvlLbl val="0"/>
      </c:catAx>
      <c:valAx>
        <c:axId val="1369254928"/>
        <c:scaling>
          <c:orientation val="minMax"/>
        </c:scaling>
        <c:delete val="0"/>
        <c:axPos val="l"/>
        <c:majorGridlines>
          <c:spPr>
            <a:ln w="9525" cap="flat" cmpd="sng" algn="ctr">
              <a:solidFill>
                <a:schemeClr val="tx1">
                  <a:lumMod val="15000"/>
                  <a:lumOff val="85000"/>
                </a:schemeClr>
              </a:solidFill>
              <a:round/>
            </a:ln>
            <a:effectLst/>
          </c:spPr>
        </c:majorGridlines>
        <c:numFmt formatCode="&quot;₹&quot;\ #,##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151098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Default</a:t>
            </a:r>
            <a:r>
              <a:rPr lang="en-IN" baseline="0"/>
              <a:t> Rate by Loan Purpose</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Data_Visualization!$I$2:$I$7</c:f>
              <c:strCache>
                <c:ptCount val="6"/>
                <c:pt idx="0">
                  <c:v>Debtconsolidation</c:v>
                </c:pt>
                <c:pt idx="1">
                  <c:v>Education</c:v>
                </c:pt>
                <c:pt idx="2">
                  <c:v>HomeImprovement</c:v>
                </c:pt>
                <c:pt idx="3">
                  <c:v>Medical</c:v>
                </c:pt>
                <c:pt idx="4">
                  <c:v>Personal</c:v>
                </c:pt>
                <c:pt idx="5">
                  <c:v>Venture</c:v>
                </c:pt>
              </c:strCache>
            </c:strRef>
          </c:cat>
          <c:val>
            <c:numRef>
              <c:f>Data_Visualization!$L$2:$L$7</c:f>
              <c:numCache>
                <c:formatCode>0%</c:formatCode>
                <c:ptCount val="6"/>
                <c:pt idx="0">
                  <c:v>0.29909560723514211</c:v>
                </c:pt>
                <c:pt idx="1">
                  <c:v>0.16253164556962024</c:v>
                </c:pt>
                <c:pt idx="2">
                  <c:v>0.28339350180505413</c:v>
                </c:pt>
                <c:pt idx="3">
                  <c:v>0.27152667723190704</c:v>
                </c:pt>
                <c:pt idx="4">
                  <c:v>0.1998810232004759</c:v>
                </c:pt>
                <c:pt idx="5">
                  <c:v>0.14735658042744657</c:v>
                </c:pt>
              </c:numCache>
            </c:numRef>
          </c:val>
          <c:extLst>
            <c:ext xmlns:c16="http://schemas.microsoft.com/office/drawing/2014/chart" uri="{C3380CC4-5D6E-409C-BE32-E72D297353CC}">
              <c16:uniqueId val="{00000000-688F-43FF-8E8A-694CA7162CDE}"/>
            </c:ext>
          </c:extLst>
        </c:ser>
        <c:dLbls>
          <c:dLblPos val="outEnd"/>
          <c:showLegendKey val="0"/>
          <c:showVal val="1"/>
          <c:showCatName val="0"/>
          <c:showSerName val="0"/>
          <c:showPercent val="0"/>
          <c:showBubbleSize val="0"/>
        </c:dLbls>
        <c:gapWidth val="219"/>
        <c:overlap val="-27"/>
        <c:axId val="1624743360"/>
        <c:axId val="1526090096"/>
      </c:barChart>
      <c:catAx>
        <c:axId val="162474336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Loan</a:t>
                </a:r>
                <a:r>
                  <a:rPr lang="en-IN" baseline="0"/>
                  <a:t> Purpose</a:t>
                </a:r>
                <a:endParaRPr lang="en-IN"/>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26090096"/>
        <c:crosses val="autoZero"/>
        <c:auto val="1"/>
        <c:lblAlgn val="ctr"/>
        <c:lblOffset val="100"/>
        <c:noMultiLvlLbl val="0"/>
      </c:catAx>
      <c:valAx>
        <c:axId val="152609009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Default</a:t>
                </a:r>
                <a:r>
                  <a:rPr lang="en-IN" baseline="0"/>
                  <a:t> Rate</a:t>
                </a:r>
                <a:endParaRPr lang="en-IN"/>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24743360"/>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447</Words>
  <Characters>2551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prajapat</dc:creator>
  <cp:keywords/>
  <dc:description/>
  <cp:lastModifiedBy>rahul prajapat</cp:lastModifiedBy>
  <cp:revision>2</cp:revision>
  <dcterms:created xsi:type="dcterms:W3CDTF">2026-10-18T19:03:00Z</dcterms:created>
  <dcterms:modified xsi:type="dcterms:W3CDTF">2026-10-18T19:22:00Z</dcterms:modified>
</cp:coreProperties>
</file>