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Quadri Advocates &amp; Associates — Website Research &amp; Homepage Design Brief</w:t>
      </w:r>
    </w:p>
    <w:p>
      <w:pPr/>
      <w:r>
        <w:t xml:space="preserve">Sep 28, 2026</w:t>
      </w:r>
      <w:r>
        <w:t xml:space="preserve"> · </w:t>
      </w:r>
      <w:r>
        <w:t xml:space="preserve">@Creativals code</w:t>
      </w:r>
    </w:p>
    <w:p>
      <w:pPr>
        <w:pStyle w:val="Heading2"/>
      </w:pPr>
      <w:r>
        <w:t xml:space="preserve">Who they are</w:t>
      </w:r>
    </w:p>
    <w:p>
      <w:pPr/>
      <w:r>
        <w:t xml:space="preserve">Mohd. Moin Ahmed Quadri is a Hyderabad advocate and notary practising since 1997, with a 29-year track record and a firm listed as Quadri Advocates and Associates. The public record is thin (directory listings, no website, no press), so the site will be the first real statement of who they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w:t>
            </w:r>
          </w:p>
        </w:tc>
        <w:tc>
          <w:tcPr>
            <w:tcW w:w="3120" w:type="dxa"/>
            <w:shd w:val="clear" w:color="auto" w:fill="F2F2F2"/>
          </w:tcPr>
          <w:p>
            <w:pPr/>
            <w:r>
              <w:t xml:space="preserve">Detail</w:t>
            </w:r>
          </w:p>
        </w:tc>
        <w:tc>
          <w:tcPr>
            <w:tcW w:w="3120" w:type="dxa"/>
            <w:shd w:val="clear" w:color="auto" w:fill="F2F2F2"/>
          </w:tcPr>
          <w:p>
            <w:pPr/>
            <w:r>
              <w:t xml:space="preserve">Source</w:t>
            </w:r>
          </w:p>
        </w:tc>
      </w:tr>
      <w:tr>
        <w:tc>
          <w:tcPr>
            <w:tcW w:w="3120" w:type="dxa"/>
          </w:tcPr>
          <w:p>
            <w:pPr/>
            <w:r>
              <w:t xml:space="preserve">Full name</w:t>
            </w:r>
          </w:p>
        </w:tc>
        <w:tc>
          <w:tcPr>
            <w:tcW w:w="3120" w:type="dxa"/>
          </w:tcPr>
          <w:p>
            <w:pPr/>
            <w:r>
              <w:t xml:space="preserve">Mohd. Moin Ahmed Quadri (also listed as Mohammad / Mohammed Moin Ahmed Quadri)</w:t>
            </w:r>
          </w:p>
        </w:tc>
        <w:tc>
          <w:tcPr>
            <w:tcW w:w="3120" w:type="dxa"/>
          </w:tcPr>
          <w:p>
            <w:pPr/>
            <w:hyperlink r:id="rId3" w:history="1">
              <w:r>
                <w:rPr>
                  <w:rStyle w:val="Hyperlink"/>
                </w:rPr>
                <w:t xml:space="preserve">Sulekha</w:t>
              </w:r>
            </w:hyperlink>
          </w:p>
        </w:tc>
      </w:tr>
      <w:tr>
        <w:tc>
          <w:tcPr>
            <w:tcW w:w="3120" w:type="dxa"/>
          </w:tcPr>
          <w:p>
            <w:pPr/>
            <w:r>
              <w:t xml:space="preserve">Firm name</w:t>
            </w:r>
          </w:p>
        </w:tc>
        <w:tc>
          <w:tcPr>
            <w:tcW w:w="3120" w:type="dxa"/>
          </w:tcPr>
          <w:p>
            <w:pPr/>
            <w:r>
              <w:t xml:space="preserve">Quadri Advocates and Associates (Google: 4.9 from 14 reviews; Justdial lists it as "Quadri Advocates")</w:t>
            </w:r>
          </w:p>
        </w:tc>
        <w:tc>
          <w:tcPr>
            <w:tcW w:w="3120" w:type="dxa"/>
          </w:tcPr>
          <w:p>
            <w:pPr/>
            <w:hyperlink r:id="rId4" w:history="1">
              <w:r>
                <w:rPr>
                  <w:rStyle w:val="Hyperlink"/>
                </w:rPr>
                <w:t xml:space="preserve">Justdial</w:t>
              </w:r>
            </w:hyperlink>
          </w:p>
        </w:tc>
      </w:tr>
      <w:tr>
        <w:tc>
          <w:tcPr>
            <w:tcW w:w="3120" w:type="dxa"/>
          </w:tcPr>
          <w:p>
            <w:pPr/>
            <w:r>
              <w:t xml:space="preserve">Established</w:t>
            </w:r>
          </w:p>
        </w:tc>
        <w:tc>
          <w:tcPr>
            <w:tcW w:w="3120" w:type="dxa"/>
          </w:tcPr>
          <w:p>
            <w:pPr/>
            <w:r>
              <w:t xml:space="preserve">1997</w:t>
            </w:r>
          </w:p>
        </w:tc>
        <w:tc>
          <w:tcPr>
            <w:tcW w:w="3120" w:type="dxa"/>
          </w:tcPr>
          <w:p>
            <w:pPr/>
            <w:hyperlink r:id="rId5" w:history="1">
              <w:r>
                <w:rPr>
                  <w:rStyle w:val="Hyperlink"/>
                </w:rPr>
                <w:t xml:space="preserve">Justdial</w:t>
              </w:r>
            </w:hyperlink>
          </w:p>
        </w:tc>
      </w:tr>
      <w:tr>
        <w:tc>
          <w:tcPr>
            <w:tcW w:w="3120" w:type="dxa"/>
          </w:tcPr>
          <w:p>
            <w:pPr/>
            <w:r>
              <w:t xml:space="preserve">Experience</w:t>
            </w:r>
          </w:p>
        </w:tc>
        <w:tc>
          <w:tcPr>
            <w:tcW w:w="3120" w:type="dxa"/>
          </w:tcPr>
          <w:p>
            <w:pPr/>
            <w:r>
              <w:t xml:space="preserve">29 years</w:t>
            </w:r>
          </w:p>
        </w:tc>
        <w:tc>
          <w:tcPr>
            <w:tcW w:w="3120" w:type="dxa"/>
          </w:tcPr>
          <w:p>
            <w:pPr/>
            <w:hyperlink r:id="rId6" w:history="1">
              <w:r>
                <w:rPr>
                  <w:rStyle w:val="Hyperlink"/>
                </w:rPr>
                <w:t xml:space="preserve">GetLaw</w:t>
              </w:r>
            </w:hyperlink>
          </w:p>
        </w:tc>
      </w:tr>
      <w:tr>
        <w:tc>
          <w:tcPr>
            <w:tcW w:w="3120" w:type="dxa"/>
          </w:tcPr>
          <w:p>
            <w:pPr/>
            <w:r>
              <w:t xml:space="preserve">Office</w:t>
            </w:r>
          </w:p>
        </w:tc>
        <w:tc>
          <w:tcPr>
            <w:tcW w:w="3120" w:type="dxa"/>
          </w:tcPr>
          <w:p>
            <w:pPr/>
            <w:r>
              <w:t xml:space="preserve">Door No. 304, Ashish Orchids, beside Shanthi Theatre, YMCA, Narayanguda, Hyderabad 500029 (Sulekha lists 303/304, Narayanguda Main Road)</w:t>
            </w:r>
          </w:p>
        </w:tc>
        <w:tc>
          <w:tcPr>
            <w:tcW w:w="3120" w:type="dxa"/>
          </w:tcPr>
          <w:p>
            <w:pPr/>
            <w:hyperlink r:id="rId5" w:history="1">
              <w:r>
                <w:rPr>
                  <w:rStyle w:val="Hyperlink"/>
                </w:rPr>
                <w:t xml:space="preserve">Justdial</w:t>
              </w:r>
            </w:hyperlink>
          </w:p>
        </w:tc>
      </w:tr>
      <w:tr>
        <w:tc>
          <w:tcPr>
            <w:tcW w:w="3120" w:type="dxa"/>
          </w:tcPr>
          <w:p>
            <w:pPr/>
            <w:r>
              <w:t xml:space="preserve">Phones</w:t>
            </w:r>
          </w:p>
        </w:tc>
        <w:tc>
          <w:tcPr>
            <w:tcW w:w="3120" w:type="dxa"/>
          </w:tcPr>
          <w:p>
            <w:pPr/>
            <w:r>
              <w:t xml:space="preserve">+91 93910 39381 (personal listing) and 092461 08014 (firm listing on Google)</w:t>
            </w:r>
          </w:p>
        </w:tc>
        <w:tc>
          <w:tcPr>
            <w:tcW w:w="3120" w:type="dxa"/>
          </w:tcPr>
          <w:p>
            <w:pPr/>
            <w:r>
              <w:t xml:space="preserve">user-supplied</w:t>
            </w:r>
          </w:p>
        </w:tc>
      </w:tr>
      <w:tr>
        <w:tc>
          <w:tcPr>
            <w:tcW w:w="3120" w:type="dxa"/>
          </w:tcPr>
          <w:p>
            <w:pPr/>
            <w:r>
              <w:t xml:space="preserve">Hours</w:t>
            </w:r>
          </w:p>
        </w:tc>
        <w:tc>
          <w:tcPr>
            <w:tcW w:w="3120" w:type="dxa"/>
          </w:tcPr>
          <w:p>
            <w:pPr/>
            <w:r>
              <w:t xml:space="preserve">Evening chambers: Mon–Thu 7:30–10:00 pm, Sun 11:30 am–4:00 pm; Google shows "opens 7 pm"</w:t>
            </w:r>
          </w:p>
        </w:tc>
        <w:tc>
          <w:tcPr>
            <w:tcW w:w="3120" w:type="dxa"/>
          </w:tcPr>
          <w:p>
            <w:pPr/>
            <w:hyperlink r:id="rId6" w:history="1">
              <w:r>
                <w:rPr>
                  <w:rStyle w:val="Hyperlink"/>
                </w:rPr>
                <w:t xml:space="preserve">GetLaw</w:t>
              </w:r>
            </w:hyperlink>
          </w:p>
        </w:tc>
      </w:tr>
      <w:tr>
        <w:tc>
          <w:tcPr>
            <w:tcW w:w="3120" w:type="dxa"/>
          </w:tcPr>
          <w:p>
            <w:pPr/>
            <w:r>
              <w:t xml:space="preserve">Regulator</w:t>
            </w:r>
          </w:p>
        </w:tc>
        <w:tc>
          <w:tcPr>
            <w:tcW w:w="3120" w:type="dxa"/>
          </w:tcPr>
          <w:p>
            <w:pPr/>
            <w:r>
              <w:t xml:space="preserve">Enrolled with the Bar Council of Telangana (enrolment number not public; get it from the client)</w:t>
            </w:r>
          </w:p>
        </w:tc>
        <w:tc>
          <w:tcPr>
            <w:tcW w:w="3120" w:type="dxa"/>
          </w:tcPr>
          <w:p>
            <w:pPr/>
            <w:hyperlink r:id="rId7" w:history="1">
              <w:r>
                <w:rPr>
                  <w:rStyle w:val="Hyperlink"/>
                </w:rPr>
                <w:t xml:space="preserve">Bar Council of Telangana</w:t>
              </w:r>
            </w:hyperlink>
          </w:p>
        </w:tc>
      </w:tr>
    </w:tbl>
    <w:p>
      <w:pPr/>
      <w:r>
        <w:t xml:space="preserve">What this tells us: a senior, solo-led general practice with a loyal walk-in and referral clientele, working after-court hours from a Narayanguda chamber in the old heart of the city's legal district (a short drive from the High Court and City Civil Court). That is the story to tell: three decades of quiet, dependable counsel, not a shiny startup firm.</w:t>
      </w:r>
    </w:p>
    <w:p>
      <w:pPr>
        <w:pStyle w:val="Heading2"/>
      </w:pPr>
      <w:r>
        <w:t xml:space="preserve">Practice areas, courts and reputation</w:t>
      </w:r>
    </w:p>
    <w:p>
      <w:pPr/>
      <w:r>
        <w:t xml:space="preserve">The practice is a broad civil-criminal-family generalist practice anchored by notary work; the website should group the 25-item Google services list into six clear practice pillars.</w:t>
      </w:r>
    </w:p>
    <w:p>
      <w:pPr/>
      <w:r>
        <w:rPr>
          <w:b/>
        </w:rPr>
        <w:t xml:space="preserve">Six pillars for the site</w:t>
      </w:r>
      <w:r>
        <w:t xml:space="preserve"> (built from the GetLaw, Sulekha and Google listings)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Pillar</w:t>
            </w:r>
          </w:p>
        </w:tc>
        <w:tc>
          <w:tcPr>
            <w:tcW w:w="3120" w:type="dxa"/>
            <w:shd w:val="clear" w:color="auto" w:fill="F2F2F2"/>
          </w:tcPr>
          <w:p>
            <w:pPr/>
            <w:r>
              <w:t xml:space="preserve">What it covers on the site</w:t>
            </w:r>
          </w:p>
        </w:tc>
        <w:tc>
          <w:tcPr>
            <w:tcW w:w="3120" w:type="dxa"/>
            <w:shd w:val="clear" w:color="auto" w:fill="F2F2F2"/>
          </w:tcPr>
          <w:p>
            <w:pPr/>
            <w:r>
              <w:t xml:space="preserve">Source listings</w:t>
            </w:r>
          </w:p>
        </w:tc>
      </w:tr>
      <w:tr>
        <w:tc>
          <w:tcPr>
            <w:tcW w:w="3120" w:type="dxa"/>
          </w:tcPr>
          <w:p>
            <w:pPr/>
            <w:r>
              <w:t xml:space="preserve">Civil and property litigation</w:t>
            </w:r>
          </w:p>
        </w:tc>
        <w:tc>
          <w:tcPr>
            <w:tcW w:w="3120" w:type="dxa"/>
          </w:tcPr>
          <w:p>
            <w:pPr/>
            <w:r>
              <w:t xml:space="preserve">Property disputes, landlord–tenant, partition, injunctions, property damage</w:t>
            </w:r>
          </w:p>
        </w:tc>
        <w:tc>
          <w:tcPr>
            <w:tcW w:w="3120" w:type="dxa"/>
          </w:tcPr>
          <w:p>
            <w:pPr/>
            <w:hyperlink r:id="rId6" w:history="1">
              <w:r>
                <w:rPr>
                  <w:rStyle w:val="Hyperlink"/>
                </w:rPr>
                <w:t xml:space="preserve">GetLaw</w:t>
              </w:r>
            </w:hyperlink>
            <w:r>
              <w:t xml:space="preserve">, Google</w:t>
            </w:r>
          </w:p>
        </w:tc>
      </w:tr>
      <w:tr>
        <w:tc>
          <w:tcPr>
            <w:tcW w:w="3120" w:type="dxa"/>
          </w:tcPr>
          <w:p>
            <w:pPr/>
            <w:r>
              <w:t xml:space="preserve">Criminal defence</w:t>
            </w:r>
          </w:p>
        </w:tc>
        <w:tc>
          <w:tcPr>
            <w:tcW w:w="3120" w:type="dxa"/>
          </w:tcPr>
          <w:p>
            <w:pPr/>
            <w:r>
              <w:t xml:space="preserve">Bail, trial defence, anti-corruption matters, cheque-bounce</w:t>
            </w:r>
          </w:p>
        </w:tc>
        <w:tc>
          <w:tcPr>
            <w:tcW w:w="3120" w:type="dxa"/>
          </w:tcPr>
          <w:p>
            <w:pPr/>
            <w:r>
              <w:t xml:space="preserve">GetLaw, Google</w:t>
            </w:r>
          </w:p>
        </w:tc>
      </w:tr>
      <w:tr>
        <w:tc>
          <w:tcPr>
            <w:tcW w:w="3120" w:type="dxa"/>
          </w:tcPr>
          <w:p>
            <w:pPr/>
            <w:r>
              <w:t xml:space="preserve">Family and matrimonial</w:t>
            </w:r>
          </w:p>
        </w:tc>
        <w:tc>
          <w:tcPr>
            <w:tcW w:w="3120" w:type="dxa"/>
          </w:tcPr>
          <w:p>
            <w:pPr/>
            <w:r>
              <w:t xml:space="preserve">Divorce, maintenance, domestic violence, custody</w:t>
            </w:r>
          </w:p>
        </w:tc>
        <w:tc>
          <w:tcPr>
            <w:tcW w:w="3120" w:type="dxa"/>
          </w:tcPr>
          <w:p>
            <w:pPr/>
            <w:r>
              <w:t xml:space="preserve">GetLaw</w:t>
            </w:r>
          </w:p>
        </w:tc>
      </w:tr>
      <w:tr>
        <w:tc>
          <w:tcPr>
            <w:tcW w:w="3120" w:type="dxa"/>
          </w:tcPr>
          <w:p>
            <w:pPr/>
            <w:r>
              <w:t xml:space="preserve">Consumer and insurance</w:t>
            </w:r>
          </w:p>
        </w:tc>
        <w:tc>
          <w:tcPr>
            <w:tcW w:w="3120" w:type="dxa"/>
          </w:tcPr>
          <w:p>
            <w:pPr/>
            <w:r>
              <w:t xml:space="preserve">Consumer forum complaints, insurance claims, accident claims</w:t>
            </w:r>
          </w:p>
        </w:tc>
        <w:tc>
          <w:tcPr>
            <w:tcW w:w="3120" w:type="dxa"/>
          </w:tcPr>
          <w:p>
            <w:pPr/>
            <w:r>
              <w:t xml:space="preserve">GetLaw, Google</w:t>
            </w:r>
          </w:p>
        </w:tc>
      </w:tr>
      <w:tr>
        <w:tc>
          <w:tcPr>
            <w:tcW w:w="3120" w:type="dxa"/>
          </w:tcPr>
          <w:p>
            <w:pPr/>
            <w:r>
              <w:t xml:space="preserve">Corporate and commercial</w:t>
            </w:r>
          </w:p>
        </w:tc>
        <w:tc>
          <w:tcPr>
            <w:tcW w:w="3120" w:type="dxa"/>
          </w:tcPr>
          <w:p>
            <w:pPr/>
            <w:r>
              <w:t xml:space="preserve">Company law, small-business disputes, debt settlement, IP litigation</w:t>
            </w:r>
          </w:p>
        </w:tc>
        <w:tc>
          <w:tcPr>
            <w:tcW w:w="3120" w:type="dxa"/>
          </w:tcPr>
          <w:p>
            <w:pPr/>
            <w:r>
              <w:t xml:space="preserve">GetLaw, Google</w:t>
            </w:r>
          </w:p>
        </w:tc>
      </w:tr>
      <w:tr>
        <w:tc>
          <w:tcPr>
            <w:tcW w:w="3120" w:type="dxa"/>
          </w:tcPr>
          <w:p>
            <w:pPr/>
            <w:r>
              <w:t xml:space="preserve">Notary, wills and estates</w:t>
            </w:r>
          </w:p>
        </w:tc>
        <w:tc>
          <w:tcPr>
            <w:tcW w:w="3120" w:type="dxa"/>
          </w:tcPr>
          <w:p>
            <w:pPr/>
            <w:r>
              <w:t xml:space="preserve">Notarisation, attestation, affidavits, power of attorney, will drafting, probate</w:t>
            </w:r>
          </w:p>
        </w:tc>
        <w:tc>
          <w:tcPr>
            <w:tcW w:w="3120" w:type="dxa"/>
          </w:tcPr>
          <w:p>
            <w:pPr/>
            <w:r>
              <w:t xml:space="preserve">Justdial, Google</w:t>
            </w:r>
          </w:p>
        </w:tc>
      </w:tr>
    </w:tbl>
    <w:p>
      <w:pPr/>
      <w:r>
        <w:rPr>
          <w:b/>
        </w:rPr>
        <w:t xml:space="preserve">Courts</w:t>
      </w:r>
      <w:r>
        <w:t xml:space="preserve">: High Court for the State of Telangana, Hyderabad City Civil Court, consumer fora, and district and subordinate courts (per the eCourts and GetLaw listings the client supplied).</w:t>
      </w:r>
    </w:p>
    <w:p>
      <w:pPr/>
      <w:r>
        <w:rPr>
          <w:b/>
        </w:rPr>
        <w:t xml:space="preserve">Reputation</w:t>
      </w:r>
      <w:r>
        <w:t xml:space="preserve">: Google shows 4.9 stars across 14 reviews for Quadri Advocates and Associates. Note for the build: reviews cannot be reproduced on the site (see Compliance), but the 1997 founding date and 29 years of practice can, and they carry the same trust signal.</w:t>
      </w:r>
    </w:p>
    <w:p>
      <w:pPr/>
      <w:r>
        <w:rPr>
          <w:b/>
        </w:rPr>
        <w:t xml:space="preserve">Gaps to fill from the client</w:t>
      </w:r>
      <w:r>
        <w:t xml:space="preserve">: enrolment year and number, LL.B. college, any panel or empanelment roles, languages spoken (likely English, Telugu, Hindi, Urdu; confirm), names and roles of associates, and a headshot.</w:t>
      </w:r>
    </w:p>
    <w:p>
      <w:pPr>
        <w:pStyle w:val="Heading2"/>
      </w:pPr>
      <w:r>
        <w:t xml:space="preserve">What the best law-firm websites do, and what Hyderabad firms do</w:t>
      </w:r>
    </w:p>
    <w:p>
      <w:pPr/>
      <w:r>
        <w:t xml:space="preserve">The world's most admired firm sites win on confident restraint, editorial typography and one memorable visual idea, not on stock gavels and skyline photos; almost no Hyderabad general-practice firm has any of that, so a well-crafted site will stand out immediately.</w:t>
      </w:r>
    </w:p>
    <w:p>
      <w:pPr/>
      <w:r>
        <w:rPr>
          <w:b/>
        </w:rPr>
        <w:t xml:space="preserve">Patterns from the award-winning sites</w:t>
      </w:r>
      <w:r>
        <w:t xml:space="preserve"> (from the 2026 roundups by </w:t>
      </w:r>
      <w:hyperlink r:id="rId8" w:history="1">
        <w:r>
          <w:rPr>
            <w:rStyle w:val="Hyperlink"/>
          </w:rPr>
          <w:t xml:space="preserve">Block Agency</w:t>
        </w:r>
      </w:hyperlink>
      <w:r>
        <w:t xml:space="preserve">, </w:t>
      </w:r>
      <w:hyperlink r:id="rId9" w:history="1">
        <w:r>
          <w:rPr>
            <w:rStyle w:val="Hyperlink"/>
          </w:rPr>
          <w:t xml:space="preserve">Attorney at Law Magazine</w:t>
        </w:r>
      </w:hyperlink>
      <w:r>
        <w:t xml:space="preserve"> and </w:t>
      </w:r>
      <w:hyperlink r:id="rId10" w:history="1">
        <w:r>
          <w:rPr>
            <w:rStyle w:val="Hyperlink"/>
          </w:rPr>
          <w:t xml:space="preserve">Magier</w:t>
        </w:r>
      </w:hyperlink>
      <w:r>
        <w:t xml:space="preserve">):</w:t>
      </w:r>
    </w:p>
    <w:p>
      <w:pPr>
        <w:pStyle w:val="ListParagraph"/>
        <w:numPr>
          <w:ilvl w:val="0"/>
          <w:numId w:val="2"/>
        </w:numPr>
      </w:pPr>
      <w:r>
        <w:t xml:space="preserve">Kirkland &amp; Ellis and Gibson Dunn lead with values and a near-monochrome palette, big white space, minimal navigation; the impression is "premium but purposeful".</w:t>
      </w:r>
    </w:p>
    <w:p>
      <w:pPr>
        <w:pStyle w:val="ListParagraph"/>
        <w:numPr>
          <w:ilvl w:val="0"/>
          <w:numId w:val="2"/>
        </w:numPr>
      </w:pPr>
      <w:r>
        <w:t xml:space="preserve">Bick Law (Webby-nominated) built the whole site on one unexpected visual idea (animals, monotone fading into colour) and a witty voice; a single strong concept beats twenty features.</w:t>
      </w:r>
    </w:p>
    <w:p>
      <w:pPr>
        <w:pStyle w:val="ListParagraph"/>
        <w:numPr>
          <w:ilvl w:val="0"/>
          <w:numId w:val="2"/>
        </w:numPr>
      </w:pPr>
      <w:r>
        <w:t xml:space="preserve">Quinn Emanuel wins on typography, photography and a rigorous design system rather than on gimmicks.</w:t>
      </w:r>
    </w:p>
    <w:p>
      <w:pPr>
        <w:pStyle w:val="ListParagraph"/>
        <w:numPr>
          <w:ilvl w:val="0"/>
          <w:numId w:val="2"/>
        </w:numPr>
      </w:pPr>
      <w:r>
        <w:t xml:space="preserve">Sites that convert well use practice-area silos with their own pages, FAQ sections, author bios and schema markup so both people and AI search can cite them.</w:t>
      </w:r>
    </w:p>
    <w:p>
      <w:pPr>
        <w:pStyle w:val="ListParagraph"/>
        <w:numPr>
          <w:ilvl w:val="0"/>
          <w:numId w:val="2"/>
        </w:numPr>
      </w:pPr>
      <w:r>
        <w:t xml:space="preserve">Universal expectations in 2026: load under 3 seconds, flawless mobile, obvious contact path, accessibility.</w:t>
      </w:r>
    </w:p>
    <w:p>
      <w:pPr/>
      <w:r>
        <w:rPr>
          <w:b/>
        </w:rPr>
        <w:t xml:space="preserve">What the roundups recommend that this site must NOT copy</w:t>
      </w:r>
      <w:r>
        <w:t xml:space="preserve">: US-style testimonials, case results, win-rate counters and "award badges" are the trust signals those sites lean on; in India they breach Rule 36 (see Compliance). The trust job must be done by craft instead: typography, tone, clarity, and verifiable facts (1997, courts, practice areas).</w:t>
      </w:r>
    </w:p>
    <w:p>
      <w:pPr/>
      <w:r>
        <w:rPr>
          <w:b/>
        </w:rPr>
        <w:t xml:space="preserve">Hyderabad and Indian benchmark</w:t>
      </w:r>
      <w:r>
        <w:t xml:space="preserve">: local firm listings live on Justdial, Sulekha and GetLaw with no websites at all; the few Indian firm sites that exist are template builds with stock imagery. The opportunity is to be the first Hyderabad general practice with a site that looks like it belongs beside Kirkland's, while sounding unmistakably of this city.</w:t>
      </w:r>
    </w:p>
    <w:p>
      <w:pPr/>
      <w:r>
        <w:rPr>
          <w:b/>
        </w:rPr>
        <w:t xml:space="preserve">The differentiating idea</w:t>
      </w:r>
      <w:r>
        <w:t xml:space="preserve">: the Deccan. Narayanguda sits minutes from the Charminar, the Nizam-era High Court, and the old city. Borrow Hyderabad's own visual language (Deccani arches, jali screens, Bidri metalwork's black-and-silver inlay, Osmania-era stone) as abstract geometry, not as clichés. No other law site in India does this.</w:t>
      </w:r>
    </w:p>
    <w:p>
      <w:pPr>
        <w:pStyle w:val="Heading2"/>
      </w:pPr>
      <w:r>
        <w:t xml:space="preserve">Brand strategy</w:t>
      </w:r>
    </w:p>
    <w:p>
      <w:pPr/>
      <w:r>
        <w:t xml:space="preserve">Position Quadri Advocates &amp; Associates as "the counsel Hyderabad families and businesses have kept for three decades": senior, calm, personal, rooted in the city. Everything below serves that one sentence.</w:t>
      </w:r>
    </w:p>
    <w:p>
      <w:pPr/>
      <w:r>
        <w:rPr>
          <w:b/>
        </w:rPr>
        <w:t xml:space="preserve">Positioning statement</w:t>
      </w:r>
      <w:r>
        <w:t xml:space="preserve">: A Hyderabad chambers practising since 1997 across civil, criminal, family, consumer and corporate matters, led by an advocate and notary who still meets every client himself.</w:t>
      </w:r>
    </w:p>
    <w:p>
      <w:pPr/>
      <w:r>
        <w:rPr>
          <w:b/>
        </w:rPr>
        <w:t xml:space="preserve">Audience</w:t>
      </w:r>
      <w:r>
        <w:t xml:space="preserve">: (1) Hyderabad families with property, matrimonial or criminal matters who want a senior they can sit across from; (2) small and mid-size businesses needing a dependable litigator and notary; (3) referrals from other advocates and NRIs with property in the city.</w:t>
      </w:r>
    </w:p>
    <w:p>
      <w:pPr/>
      <w:r>
        <w:rPr>
          <w:b/>
        </w:rPr>
        <w:t xml:space="preserve">Tone of voice</w:t>
      </w:r>
      <w:r>
        <w:t xml:space="preserve">: measured, plain, warm; short sentences; first person plural ("we"), never salesy; no exclamation marks; no legalese on the homepage.</w:t>
      </w:r>
    </w:p>
    <w:p>
      <w:pPr/>
      <w:r>
        <w:rPr>
          <w:b/>
        </w:rPr>
        <w:t xml:space="preserve">Name treatment</w:t>
      </w:r>
      <w:r>
        <w:t xml:space="preserve">: "Quadri Advocates &amp; Associates" (ampersand, not "and") with "Est. 1997, Hyderabad" as a permanent lock-up.</w:t>
      </w:r>
    </w:p>
    <w:p>
      <w:pPr/>
      <w:r>
        <w:rPr>
          <w:b/>
        </w:rPr>
        <w:t xml:space="preserve">Tagline options</w:t>
      </w:r>
      <w:r>
        <w:t xml:space="preserve"> (all factual, so Rule 36-safe)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Line</w:t>
            </w:r>
          </w:p>
        </w:tc>
        <w:tc>
          <w:tcPr>
            <w:tcW w:w="3120" w:type="dxa"/>
            <w:shd w:val="clear" w:color="auto" w:fill="F2F2F2"/>
          </w:tcPr>
          <w:p>
            <w:pPr/>
            <w:r>
              <w:t xml:space="preserve">Why</w:t>
            </w:r>
          </w:p>
        </w:tc>
      </w:tr>
      <w:tr>
        <w:tc>
          <w:tcPr>
            <w:tcW w:w="3120" w:type="dxa"/>
          </w:tcPr>
          <w:p>
            <w:pPr/>
            <w:r>
              <w:t xml:space="preserve">A</w:t>
            </w:r>
          </w:p>
        </w:tc>
        <w:tc>
          <w:tcPr>
            <w:tcW w:w="3120" w:type="dxa"/>
          </w:tcPr>
          <w:p>
            <w:pPr/>
            <w:r>
              <w:t xml:space="preserve">Counsel since 1997.</w:t>
            </w:r>
          </w:p>
        </w:tc>
        <w:tc>
          <w:tcPr>
            <w:tcW w:w="3120" w:type="dxa"/>
          </w:tcPr>
          <w:p>
            <w:pPr/>
            <w:r>
              <w:t xml:space="preserve">Shortest, most confident; leads with the one fact no competitor can copy</w:t>
            </w:r>
          </w:p>
        </w:tc>
      </w:tr>
      <w:tr>
        <w:tc>
          <w:tcPr>
            <w:tcW w:w="3120" w:type="dxa"/>
          </w:tcPr>
          <w:p>
            <w:pPr/>
            <w:r>
              <w:t xml:space="preserve">B</w:t>
            </w:r>
          </w:p>
        </w:tc>
        <w:tc>
          <w:tcPr>
            <w:tcW w:w="3120" w:type="dxa"/>
          </w:tcPr>
          <w:p>
            <w:pPr/>
            <w:r>
              <w:t xml:space="preserve">Three decades at the Hyderabad Bar.</w:t>
            </w:r>
          </w:p>
        </w:tc>
        <w:tc>
          <w:tcPr>
            <w:tcW w:w="3120" w:type="dxa"/>
          </w:tcPr>
          <w:p>
            <w:pPr/>
            <w:r>
              <w:t xml:space="preserve">Puts the city and the court in the line</w:t>
            </w:r>
          </w:p>
        </w:tc>
      </w:tr>
      <w:tr>
        <w:tc>
          <w:tcPr>
            <w:tcW w:w="3120" w:type="dxa"/>
          </w:tcPr>
          <w:p>
            <w:pPr/>
            <w:r>
              <w:t xml:space="preserve">C</w:t>
            </w:r>
          </w:p>
        </w:tc>
        <w:tc>
          <w:tcPr>
            <w:tcW w:w="3120" w:type="dxa"/>
          </w:tcPr>
          <w:p>
            <w:pPr/>
            <w:r>
              <w:t xml:space="preserve">Advocates &amp; Notaries, Narayanguda, Hyderabad.</w:t>
            </w:r>
          </w:p>
        </w:tc>
        <w:tc>
          <w:tcPr>
            <w:tcW w:w="3120" w:type="dxa"/>
          </w:tcPr>
          <w:p>
            <w:pPr/>
            <w:r>
              <w:t xml:space="preserve">Purely descriptive; safest if the client wants zero flourish</w:t>
            </w:r>
          </w:p>
        </w:tc>
      </w:tr>
    </w:tbl>
    <w:p>
      <w:pPr/>
      <w:r>
        <w:rPr>
          <w:b/>
        </w:rPr>
        <w:t xml:space="preserve">Visual direction: "Deccan Modern"</w:t>
      </w:r>
    </w:p>
    <w:p>
      <w:pPr>
        <w:pStyle w:val="ListParagraph"/>
        <w:numPr>
          <w:ilvl w:val="0"/>
          <w:numId w:val="3"/>
        </w:numPr>
      </w:pPr>
      <w:r>
        <w:t xml:space="preserve">Palette: deep ink black (#0E0F12) and warm ivory (#F4EFE6) as the two grounds; one accent of Bidri silver (#C9C4B8) for rules and metadata; one deep Hyderabad accent, either Charminar terracotta (#B5502A) or Golconda green (#1F3D33), used sparingly (one per page). No royal blue, no gold gradients, no gavels, no scales.</w:t>
      </w:r>
    </w:p>
    <w:p>
      <w:pPr>
        <w:pStyle w:val="ListParagraph"/>
        <w:numPr>
          <w:ilvl w:val="0"/>
          <w:numId w:val="3"/>
        </w:numPr>
      </w:pPr>
      <w:r>
        <w:t xml:space="preserve">Typography: a high-contrast editorial serif for headlines (Fraunces, GT Sectra, or Editorial New feel) paired with a quiet grotesque for body and UI (Inter, Söhne or Neue Haas feel); optional Urdu/Nastaliq or Telugu glyph used once as a decorative mark to root it in place.</w:t>
      </w:r>
    </w:p>
    <w:p>
      <w:pPr>
        <w:pStyle w:val="ListParagraph"/>
        <w:numPr>
          <w:ilvl w:val="0"/>
          <w:numId w:val="3"/>
        </w:numPr>
      </w:pPr>
      <w:r>
        <w:t xml:space="preserve">Motif: a single geometric device derived from a Deccani pointed arch or a jali lattice, drawn as a thin-line SVG; it becomes the logo mark, the section divider, and the hover state. Never an illustration of a monument.</w:t>
      </w:r>
    </w:p>
    <w:p>
      <w:pPr>
        <w:pStyle w:val="ListParagraph"/>
        <w:numPr>
          <w:ilvl w:val="0"/>
          <w:numId w:val="3"/>
        </w:numPr>
      </w:pPr>
      <w:r>
        <w:t xml:space="preserve">Photography: black-and-white or muted-colour portraits of Mr. Quadri in chambers, shot with natural side light; texture shots of law reports, letterheads, the notary seal, the Narayanguda street at dusk. Grain welcome, stock never.</w:t>
      </w:r>
    </w:p>
    <w:p>
      <w:pPr>
        <w:pStyle w:val="ListParagraph"/>
        <w:numPr>
          <w:ilvl w:val="0"/>
          <w:numId w:val="3"/>
        </w:numPr>
      </w:pPr>
      <w:r>
        <w:t xml:space="preserve">Motion: slow, deliberate; a 600 ms fade-and-rise on scroll, a line that draws itself under the headline, the arch motif that opens as the page loads. Nothing bounces.</w:t>
      </w:r>
    </w:p>
    <w:p>
      <w:pPr>
        <w:pStyle w:val="ListParagraph"/>
        <w:numPr>
          <w:ilvl w:val="0"/>
          <w:numId w:val="3"/>
        </w:numPr>
      </w:pPr>
      <w:r>
        <w:t xml:space="preserve">Layout: asymmetric editorial grid, generous margins (12-column, 96 px gutters on desktop), large numerals for facts ("1997", "29 years", "6 practice areas").</w:t>
      </w:r>
    </w:p>
    <w:p>
      <w:pPr>
        <w:pStyle w:val="Heading2"/>
      </w:pPr>
      <w:r>
        <w:t xml:space="preserve">Homepage blueprint</w:t>
      </w:r>
    </w:p>
    <w:p>
      <w:pPr/>
      <w:r>
        <w:t xml:space="preserve">Nine sections, one scroll, one call to action ("Book a consultation") repeated at the top, middle and end; every word below is draft copy Claude Design can drop straight 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Section</w:t>
            </w:r>
          </w:p>
        </w:tc>
        <w:tc>
          <w:tcPr>
            <w:tcW w:w="2340" w:type="dxa"/>
            <w:shd w:val="clear" w:color="auto" w:fill="F2F2F2"/>
          </w:tcPr>
          <w:p>
            <w:pPr/>
            <w:r>
              <w:t xml:space="preserve">Layout</w:t>
            </w:r>
          </w:p>
        </w:tc>
        <w:tc>
          <w:tcPr>
            <w:tcW w:w="2340" w:type="dxa"/>
            <w:shd w:val="clear" w:color="auto" w:fill="F2F2F2"/>
          </w:tcPr>
          <w:p>
            <w:pPr/>
            <w:r>
              <w:t xml:space="preserve">Draft copy</w:t>
            </w:r>
          </w:p>
        </w:tc>
      </w:tr>
      <w:tr>
        <w:tc>
          <w:tcPr>
            <w:tcW w:w="2340" w:type="dxa"/>
          </w:tcPr>
          <w:p>
            <w:pPr/>
            <w:r>
              <w:t xml:space="preserve">1</w:t>
            </w:r>
          </w:p>
        </w:tc>
        <w:tc>
          <w:tcPr>
            <w:tcW w:w="2340" w:type="dxa"/>
          </w:tcPr>
          <w:p>
            <w:pPr/>
            <w:r>
              <w:t xml:space="preserve">Nav</w:t>
            </w:r>
          </w:p>
        </w:tc>
        <w:tc>
          <w:tcPr>
            <w:tcW w:w="2340" w:type="dxa"/>
          </w:tcPr>
          <w:p>
            <w:pPr/>
            <w:r>
              <w:t xml:space="preserve">Sticky, transparent over hero, ivory on scroll. Left: arch mark + "Quadri Advocates &amp; Associates". Right: Practice, About, Notary, Contact, and a black pill button</w:t>
            </w:r>
          </w:p>
        </w:tc>
        <w:tc>
          <w:tcPr>
            <w:tcW w:w="2340" w:type="dxa"/>
          </w:tcPr>
          <w:p>
            <w:pPr/>
            <w:r>
              <w:t xml:space="preserve">Button: "Book a consultation"</w:t>
            </w:r>
          </w:p>
        </w:tc>
      </w:tr>
      <w:tr>
        <w:tc>
          <w:tcPr>
            <w:tcW w:w="2340" w:type="dxa"/>
          </w:tcPr>
          <w:p>
            <w:pPr/>
            <w:r>
              <w:t xml:space="preserve">2</w:t>
            </w:r>
          </w:p>
        </w:tc>
        <w:tc>
          <w:tcPr>
            <w:tcW w:w="2340" w:type="dxa"/>
          </w:tcPr>
          <w:p>
            <w:pPr/>
            <w:r>
              <w:t xml:space="preserve">Hero</w:t>
            </w:r>
          </w:p>
        </w:tc>
        <w:tc>
          <w:tcPr>
            <w:tcW w:w="2340" w:type="dxa"/>
          </w:tcPr>
          <w:p>
            <w:pPr/>
            <w:r>
              <w:t xml:space="preserve">Full-viewport, ink black. Left 7 columns: headline in 96–120 px serif, one-line sub, two buttons. Right 5 columns: monochrome portrait of Mr. Quadri, edges softened by the arch mask. Bottom-left: tiny "Est. 1997 · Narayanguda, Hyderabad". Bottom-right: scroll cue line</w:t>
            </w:r>
          </w:p>
        </w:tc>
        <w:tc>
          <w:tcPr>
            <w:tcW w:w="2340" w:type="dxa"/>
          </w:tcPr>
          <w:p>
            <w:pPr/>
            <w:r>
              <w:t xml:space="preserve">H1: "Counsel since 1997." Sub: "A Hyderabad chambers for civil, criminal, family and commercial matters, led by an advocate and notary with 29 years at the Bar." Buttons: "Book a consultation" / "Our practice"</w:t>
            </w:r>
          </w:p>
        </w:tc>
      </w:tr>
      <w:tr>
        <w:tc>
          <w:tcPr>
            <w:tcW w:w="2340" w:type="dxa"/>
          </w:tcPr>
          <w:p>
            <w:pPr/>
            <w:r>
              <w:t xml:space="preserve">3</w:t>
            </w:r>
          </w:p>
        </w:tc>
        <w:tc>
          <w:tcPr>
            <w:tcW w:w="2340" w:type="dxa"/>
          </w:tcPr>
          <w:p>
            <w:pPr/>
            <w:r>
              <w:t xml:space="preserve">Fact strip</w:t>
            </w:r>
          </w:p>
        </w:tc>
        <w:tc>
          <w:tcPr>
            <w:tcW w:w="2340" w:type="dxa"/>
          </w:tcPr>
          <w:p>
            <w:pPr/>
            <w:r>
              <w:t xml:space="preserve">Ivory band, four large numerals with small serif captions, thin silver rules between</w:t>
            </w:r>
          </w:p>
        </w:tc>
        <w:tc>
          <w:tcPr>
            <w:tcW w:w="2340" w:type="dxa"/>
          </w:tcPr>
          <w:p>
            <w:pPr/>
            <w:r>
              <w:t xml:space="preserve">"1997 Established" · "29 Years at the Bar" · "6 Practice areas" · "HC + City Civil Courts practised in"</w:t>
            </w:r>
          </w:p>
        </w:tc>
      </w:tr>
      <w:tr>
        <w:tc>
          <w:tcPr>
            <w:tcW w:w="2340" w:type="dxa"/>
          </w:tcPr>
          <w:p>
            <w:pPr/>
            <w:r>
              <w:t xml:space="preserve">4</w:t>
            </w:r>
          </w:p>
        </w:tc>
        <w:tc>
          <w:tcPr>
            <w:tcW w:w="2340" w:type="dxa"/>
          </w:tcPr>
          <w:p>
            <w:pPr/>
            <w:r>
              <w:t xml:space="preserve">Practice areas</w:t>
            </w:r>
          </w:p>
        </w:tc>
        <w:tc>
          <w:tcPr>
            <w:tcW w:w="2340" w:type="dxa"/>
          </w:tcPr>
          <w:p>
            <w:pPr/>
            <w:r>
              <w:t xml:space="preserve">Six-card grid (3×2 desktop, stacked mobile), each card a numbered serif title, two-line description, hairline border, arch motif on hover, whole card clickable</w:t>
            </w:r>
          </w:p>
        </w:tc>
        <w:tc>
          <w:tcPr>
            <w:tcW w:w="2340" w:type="dxa"/>
          </w:tcPr>
          <w:p>
            <w:pPr/>
            <w:r>
              <w:t xml:space="preserve">01 Civil &amp; Property; 02 Criminal Defence; 03 Family &amp; Matrimonial; 04 Consumer &amp; Insurance; 05 Corporate &amp; Commercial; 06 Notary, Wills &amp; Estates (two-line descriptions in the Practice section above)</w:t>
            </w:r>
          </w:p>
        </w:tc>
      </w:tr>
      <w:tr>
        <w:tc>
          <w:tcPr>
            <w:tcW w:w="2340" w:type="dxa"/>
          </w:tcPr>
          <w:p>
            <w:pPr/>
            <w:r>
              <w:t xml:space="preserve">5</w:t>
            </w:r>
          </w:p>
        </w:tc>
        <w:tc>
          <w:tcPr>
            <w:tcW w:w="2340" w:type="dxa"/>
          </w:tcPr>
          <w:p>
            <w:pPr/>
            <w:r>
              <w:t xml:space="preserve">About the advocate</w:t>
            </w:r>
          </w:p>
        </w:tc>
        <w:tc>
          <w:tcPr>
            <w:tcW w:w="2340" w:type="dxa"/>
          </w:tcPr>
          <w:p>
            <w:pPr/>
            <w:r>
              <w:t xml:space="preserve">Split: left, large pull-quote in serif; right, 3-paragraph bio, portrait, short facts list (Enrolled: Bar Council of Telangana; Courts: High Court for the State of Telangana, City Civil Court, consumer fora; Languages: to confirm)</w:t>
            </w:r>
          </w:p>
        </w:tc>
        <w:tc>
          <w:tcPr>
            <w:tcW w:w="2340" w:type="dxa"/>
          </w:tcPr>
          <w:p>
            <w:pPr/>
            <w:r>
              <w:t xml:space="preserve">Pull-quote (to be approved by client): "Every matter is someone's life. We treat it that way."</w:t>
            </w:r>
          </w:p>
        </w:tc>
      </w:tr>
      <w:tr>
        <w:tc>
          <w:tcPr>
            <w:tcW w:w="2340" w:type="dxa"/>
          </w:tcPr>
          <w:p>
            <w:pPr/>
            <w:r>
              <w:t xml:space="preserve">6</w:t>
            </w:r>
          </w:p>
        </w:tc>
        <w:tc>
          <w:tcPr>
            <w:tcW w:w="2340" w:type="dxa"/>
          </w:tcPr>
          <w:p>
            <w:pPr/>
            <w:r>
              <w:t xml:space="preserve">How we work</w:t>
            </w:r>
          </w:p>
        </w:tc>
        <w:tc>
          <w:tcPr>
            <w:tcW w:w="2340" w:type="dxa"/>
          </w:tcPr>
          <w:p>
            <w:pPr/>
            <w:r>
              <w:t xml:space="preserve">Three steps on a horizontal line that draws itself on scroll</w:t>
            </w:r>
          </w:p>
        </w:tc>
        <w:tc>
          <w:tcPr>
            <w:tcW w:w="2340" w:type="dxa"/>
          </w:tcPr>
          <w:p>
            <w:pPr/>
            <w:r>
              <w:t xml:space="preserve">"1 Listen: a first meeting, in person or by phone. 2 Advise: a plain-language view of your position and options. 3 Act: drafting, filing and appearances, with you informed at every step."</w:t>
            </w:r>
          </w:p>
        </w:tc>
      </w:tr>
      <w:tr>
        <w:tc>
          <w:tcPr>
            <w:tcW w:w="2340" w:type="dxa"/>
          </w:tcPr>
          <w:p>
            <w:pPr/>
            <w:r>
              <w:t xml:space="preserve">7</w:t>
            </w:r>
          </w:p>
        </w:tc>
        <w:tc>
          <w:tcPr>
            <w:tcW w:w="2340" w:type="dxa"/>
          </w:tcPr>
          <w:p>
            <w:pPr/>
            <w:r>
              <w:t xml:space="preserve">Notary services</w:t>
            </w:r>
          </w:p>
        </w:tc>
        <w:tc>
          <w:tcPr>
            <w:tcW w:w="2340" w:type="dxa"/>
          </w:tcPr>
          <w:p>
            <w:pPr/>
            <w:r>
              <w:t xml:space="preserve">Contrasting terracotta or green block; a short list; note on documents to bring; walk-in hours</w:t>
            </w:r>
          </w:p>
        </w:tc>
        <w:tc>
          <w:tcPr>
            <w:tcW w:w="2340" w:type="dxa"/>
          </w:tcPr>
          <w:p>
            <w:pPr/>
            <w:r>
              <w:t xml:space="preserve">"Notarisation, attestation, affidavits, agreements, powers of attorney and declarations. Walk in during chamber hours or call ahead."</w:t>
            </w:r>
          </w:p>
        </w:tc>
      </w:tr>
      <w:tr>
        <w:tc>
          <w:tcPr>
            <w:tcW w:w="2340" w:type="dxa"/>
          </w:tcPr>
          <w:p>
            <w:pPr/>
            <w:r>
              <w:t xml:space="preserve">8</w:t>
            </w:r>
          </w:p>
        </w:tc>
        <w:tc>
          <w:tcPr>
            <w:tcW w:w="2340" w:type="dxa"/>
          </w:tcPr>
          <w:p>
            <w:pPr/>
            <w:r>
              <w:t xml:space="preserve">Contact</w:t>
            </w:r>
          </w:p>
        </w:tc>
        <w:tc>
          <w:tcPr>
            <w:tcW w:w="2340" w:type="dxa"/>
          </w:tcPr>
          <w:p>
            <w:pPr/>
            <w:r>
              <w:t xml:space="preserve">Map (muted, greyscale) on one side; address, phones, hours, WhatsApp link, short form (name, phone, matter type, message) on the other</w:t>
            </w:r>
          </w:p>
        </w:tc>
        <w:tc>
          <w:tcPr>
            <w:tcW w:w="2340" w:type="dxa"/>
          </w:tcPr>
          <w:p>
            <w:pPr/>
            <w:r>
              <w:t xml:space="preserve">Address, +91 93910 39381, 092461 08014, hours from the Who section</w:t>
            </w:r>
          </w:p>
        </w:tc>
      </w:tr>
      <w:tr>
        <w:tc>
          <w:tcPr>
            <w:tcW w:w="2340" w:type="dxa"/>
          </w:tcPr>
          <w:p>
            <w:pPr/>
            <w:r>
              <w:t xml:space="preserve">9</w:t>
            </w:r>
          </w:p>
        </w:tc>
        <w:tc>
          <w:tcPr>
            <w:tcW w:w="2340" w:type="dxa"/>
          </w:tcPr>
          <w:p>
            <w:pPr/>
            <w:r>
              <w:t xml:space="preserve">Footer</w:t>
            </w:r>
          </w:p>
        </w:tc>
        <w:tc>
          <w:tcPr>
            <w:tcW w:w="2340" w:type="dxa"/>
          </w:tcPr>
          <w:p>
            <w:pPr/>
            <w:r>
              <w:t xml:space="preserve">Ink black; name lock-up; Bar Council disclaimer in full (see Compliance); no social icons unless the client has active, compliant accounts</w:t>
            </w:r>
          </w:p>
        </w:tc>
        <w:tc>
          <w:tcPr>
            <w:tcW w:w="2340" w:type="dxa"/>
          </w:tcPr>
          <w:p>
            <w:pPr/>
            <w:r>
              <w:t xml:space="preserve">Disclaimer text from the Compliance section</w:t>
            </w:r>
          </w:p>
        </w:tc>
      </w:tr>
    </w:tbl>
    <w:p>
      <w:pPr/>
      <w:r>
        <w:rPr>
          <w:b/>
        </w:rPr>
        <w:t xml:space="preserve">Mobile</w:t>
      </w:r>
      <w:r>
        <w:t xml:space="preserve">: hero becomes portrait-on-top, headline 48 px; fact strip becomes a 2×2; practice cards stack; a persistent bottom bar with "Call" and "WhatsApp".</w:t>
      </w:r>
    </w:p>
    <w:p>
      <w:pPr/>
      <w:r>
        <w:rPr>
          <w:b/>
        </w:rPr>
        <w:t xml:space="preserve">Interaction details worth specifying</w:t>
      </w:r>
      <w:r>
        <w:t xml:space="preserve">: cursor-following thin arch outline on the hero (desktop only); numbers in the fact strip count up once on first view; practice cards reveal a one-line "typical matters" list on hover; smooth-scroll anchors from the nav.</w:t>
      </w:r>
    </w:p>
    <w:p>
      <w:pPr>
        <w:pStyle w:val="Heading2"/>
      </w:pPr>
      <w:r>
        <w:t xml:space="preserve">Compliance: Bar Council of India Rule 36</w:t>
      </w:r>
    </w:p>
    <w:p>
      <w:pPr/>
      <w:r>
        <w:t xml:space="preserve">The site can be beautiful but it cannot advertise: Rule 36 bars advocates from soliciting work or advertising, directly or indirectly, and only a narrow proviso allows a website with factual particulars, so every design decision below is filtered through that rule. This is a brief for the designer, not legal advice; the client should confirm the final copy with the Bar Council of Telangana's current guidance.</w:t>
      </w:r>
    </w:p>
    <w:p>
      <w:pPr/>
      <w:r>
        <w:rPr>
          <w:b/>
        </w:rPr>
        <w:t xml:space="preserve">What the website may carry</w:t>
      </w:r>
      <w:r>
        <w:t xml:space="preserve"> (per the 2008 proviso and the </w:t>
      </w:r>
      <w:hyperlink r:id="rId11" w:history="1">
        <w:r>
          <w:rPr>
            <w:rStyle w:val="Hyperlink"/>
          </w:rPr>
          <w:t xml:space="preserve">India Legal</w:t>
        </w:r>
      </w:hyperlink>
      <w:r>
        <w:t xml:space="preserve"> and </w:t>
      </w:r>
      <w:hyperlink r:id="rId12" w:history="1">
        <w:r>
          <w:rPr>
            <w:rStyle w:val="Hyperlink"/>
          </w:rPr>
          <w:t xml:space="preserve">Codingclave</w:t>
        </w:r>
      </w:hyperlink>
      <w:r>
        <w:t xml:space="preserve"> summaries): name, address, telephone, email, enrolment number, professional and academic qualifications, and areas of practice, with an accuracy disclaimer.</w:t>
      </w:r>
    </w:p>
    <w:p>
      <w:pPr/>
      <w:r>
        <w:rPr>
          <w:b/>
        </w:rPr>
        <w:t xml:space="preserve">What it must not carry</w:t>
      </w:r>
    </w:p>
    <w:p>
      <w:pPr>
        <w:pStyle w:val="ListParagraph"/>
        <w:numPr>
          <w:ilvl w:val="0"/>
          <w:numId w:val="4"/>
        </w:numPr>
      </w:pPr>
      <w:r>
        <w:t xml:space="preserve">Client testimonials, Google review scores, star ratings or review quotes; the BCI's July 2026 digital-ethics guidelines specifically caution against testimonials (</w:t>
      </w:r>
      <w:hyperlink r:id="rId13" w:history="1">
        <w:r>
          <w:rPr>
            <w:rStyle w:val="Hyperlink"/>
          </w:rPr>
          <w:t xml:space="preserve">mydigitalsevak</w:t>
        </w:r>
      </w:hyperlink>
      <w:r>
        <w:t xml:space="preserve">).</w:t>
      </w:r>
    </w:p>
    <w:p>
      <w:pPr>
        <w:pStyle w:val="ListParagraph"/>
        <w:numPr>
          <w:ilvl w:val="0"/>
          <w:numId w:val="4"/>
        </w:numPr>
      </w:pPr>
      <w:r>
        <w:t xml:space="preserve">Case results, "cases won", success rates, or names of past clients or matters.</w:t>
      </w:r>
    </w:p>
    <w:p>
      <w:pPr>
        <w:pStyle w:val="ListParagraph"/>
        <w:numPr>
          <w:ilvl w:val="0"/>
          <w:numId w:val="4"/>
        </w:numPr>
      </w:pPr>
      <w:r>
        <w:t xml:space="preserve">Comparative or superlative claims: "best", "top", "leading", "No. 1", "most trusted".</w:t>
      </w:r>
    </w:p>
    <w:p>
      <w:pPr>
        <w:pStyle w:val="ListParagraph"/>
        <w:numPr>
          <w:ilvl w:val="0"/>
          <w:numId w:val="4"/>
        </w:numPr>
      </w:pPr>
      <w:r>
        <w:t xml:space="preserve">Photographs in court gown or bands used promotionally; images tied to specific cases.</w:t>
      </w:r>
    </w:p>
    <w:p>
      <w:pPr>
        <w:pStyle w:val="ListParagraph"/>
        <w:numPr>
          <w:ilvl w:val="0"/>
          <w:numId w:val="4"/>
        </w:numPr>
      </w:pPr>
      <w:r>
        <w:t xml:space="preserve">Paid search or social ads driving to the site; several State Bar Councils treat these as indirect solicitation (</w:t>
      </w:r>
      <w:hyperlink r:id="rId12" w:history="1">
        <w:r>
          <w:rPr>
            <w:rStyle w:val="Hyperlink"/>
          </w:rPr>
          <w:t xml:space="preserve">Codingclave</w:t>
        </w:r>
      </w:hyperlink>
      <w:r>
        <w:t xml:space="preserve">).</w:t>
      </w:r>
    </w:p>
    <w:p>
      <w:pPr>
        <w:pStyle w:val="ListParagraph"/>
        <w:numPr>
          <w:ilvl w:val="0"/>
          <w:numId w:val="4"/>
        </w:numPr>
      </w:pPr>
      <w:r>
        <w:t xml:space="preserve">Discount offers, "free consultation" banners, urgency language, celebrity or influencer endorsements (</w:t>
      </w:r>
      <w:hyperlink r:id="rId14" w:history="1">
        <w:r>
          <w:rPr>
            <w:rStyle w:val="Hyperlink"/>
          </w:rPr>
          <w:t xml:space="preserve">Lexology</w:t>
        </w:r>
      </w:hyperlink>
      <w:r>
        <w:t xml:space="preserve">).</w:t>
      </w:r>
    </w:p>
    <w:p>
      <w:pPr/>
      <w:r>
        <w:rPr>
          <w:b/>
        </w:rPr>
        <w:t xml:space="preserve">Design consequences</w:t>
      </w:r>
      <w:r>
        <w:t xml:space="preserve">: no ratings widget, no "clients say" carousel, no win counters; the fact strip uses only verifiable facts; the CTA reads "Book a consultation", not "Get a free consultation"; the pull-quote on the About section is a statement of approach, not a promise of outcome.</w:t>
      </w:r>
    </w:p>
    <w:p>
      <w:pPr/>
      <w:r>
        <w:rPr>
          <w:b/>
        </w:rPr>
        <w:t xml:space="preserve">Disclaimer to place on entry (modal or first-visit bar) and in the footer</w:t>
      </w:r>
      <w:r>
        <w:t xml:space="preserve"> (standard Indian firm wording; client's counsel to approve):</w:t>
      </w:r>
    </w:p>
    <w:p>
      <w:pPr>
        <w:pStyle w:val="Quote"/>
      </w:pPr>
      <w:r>
        <w:t xml:space="preserve">The Bar Council of India does not permit advocates to solicit work or advertise. By accessing this website you acknowledge that you are seeking information about Quadri Advocates &amp; Associates of your own accord, that there has been no solicitation, advertisement or inducement by the firm or its members, and that the information here is provided for general reference only and does not constitute legal advice or create an advocate–client relationship. The firm confirms the information on this website is true and accurate to the best of its knowledge.</w:t>
      </w:r>
    </w:p>
    <w:p>
      <w:pPr/>
      <w:r>
        <w:rPr>
          <w:b/>
        </w:rPr>
        <w:t xml:space="preserve">Watch list</w:t>
      </w:r>
      <w:r>
        <w:t xml:space="preserve">: the Supreme Court issued notice in </w:t>
      </w:r>
      <w:r>
        <w:rPr>
          <w:i/>
        </w:rPr>
        <w:t xml:space="preserve">Anil Pandey v. Bar Council of India</w:t>
      </w:r>
      <w:r>
        <w:t xml:space="preserve"> in July 2026 on social-media promotion by advocates; the rules may tighten or loosen, so build the disclaimer and any future "Insights" section as easily editable components.</w:t>
      </w:r>
    </w:p>
    <w:p>
      <w:pPr>
        <w:pStyle w:val="Heading2"/>
      </w:pPr>
      <w:r>
        <w:t xml:space="preserve">The Claude Design prompt</w:t>
      </w:r>
    </w:p>
    <w:p>
      <w:pPr/>
      <w:r>
        <w:t xml:space="preserve">Paste the block below into Claude Design as-is; it carries the brand, the copy, the layout and the compliance limits so the first output is usable.</w:t>
      </w:r>
    </w:p>
    <w:p>
      <w:pPr>
        <w:pStyle w:val="Code"/>
      </w:pPr>
      <w:bookmarkStart w:id="1" w:name="bongo_lang_markdown_1"/>
      <w:bookmarkEnd w:id="1"/>
      <w:r>
        <w:t xml:space="preserve">Design the homepage for QUADRI ADVOCATES &amp; ASSOCIATES, a Hyderabad, India law chambers established in 1997 and led by advocate and notary Mohd. Moin Ahmed Quadri (29 years at the Bar). Desktop first (1440 px), then a mobile frame (390 px).</w:t>
        <w:br/>
        <w:br/>
        <w:t xml:space="preserve">GOAL</w:t>
        <w:br/>
        <w:t xml:space="preserve">The most beautiful law-firm homepage in India: editorial, calm, senior, rooted in Hyderabad. It should sit comfortably beside Kirkland &amp; Ellis or Gibson Dunn in restraint and craft, but feel unmistakably of the Deccan. Nothing generic: no gavels, scales, pillars, handshakes, skylines, royal blue or gold gradients.</w:t>
        <w:br/>
        <w:br/>
        <w:t xml:space="preserve">CONCEPT: "DECCAN MODERN"</w:t>
        <w:br/>
        <w:t xml:space="preserve">One visual device carries the whole page: a thin-line geometric mark derived from a Deccani pointed arch / jali lattice. It is the logo mark, the mask on the hero portrait, the section divider and the card hover state. Abstract geometry only, never an illustration of a monument.</w:t>
        <w:br/>
        <w:br/>
        <w:t xml:space="preserve">PALETTE</w:t>
        <w:br/>
        <w:t xml:space="preserve">Ink black #0E0F12 (primary ground), warm ivory #F4EFE6 (secondary ground), Bidri silver #C9C4B8 (hairlines, metadata), one accent used once per page: Charminar terracotta #B5502A. Large areas of a single colour; no gradients.</w:t>
        <w:br/>
        <w:br/>
        <w:t xml:space="preserve">TYPE</w:t>
        <w:br/>
        <w:t xml:space="preserve">Headlines: high-contrast editorial serif (Fraunces or similar), 96–120 px for the H1, tight leading, optical sizing. Body/UI: quiet grotesque (Inter or similar), 16–18 px, generous line height. Large numerals for facts. Small caps for labels. Optionally one Urdu Nastaliq or Telugu glyph as a tiny decorative mark near the footer.</w:t>
        <w:br/>
        <w:br/>
        <w:t xml:space="preserve">LAYOUT: 12-column asymmetric editorial grid, wide margins, lots of air. Nine sections, in order:</w:t>
        <w:br/>
        <w:br/>
        <w:t xml:space="preserve">1. NAV: sticky, transparent over hero, ivory after scroll. Left: arch mark + "Quadri Advocates &amp; Associates". Right: Practice, About, Notary, Contact, and a black pill button "Book a consultation".</w:t>
        <w:br/>
        <w:t xml:space="preserve">2. HERO (full viewport, ink black): left 7 cols, H1 "Counsel since 1997." Sub-line: "A Hyderabad chambers for civil, criminal, family and commercial matters, led by an advocate and notary with 29 years at the Bar." Buttons: "Book a consultation" (ivory pill) and "Our practice" (text link with underline that draws in). Right 5 cols: monochrome portrait placeholder of the advocate in chambers, masked by the arch shape. Bottom-left micro-text: "Est. 1997 · Narayanguda, Hyderabad". Bottom-right: thin vertical scroll line.</w:t>
        <w:br/>
        <w:t xml:space="preserve">3. FACT STRIP (ivory band): four large serif numerals with small labels, hairline rules between: "1997 / Established", "29 / Years at the Bar", "6 / Practice areas", "HC + Civil / Courts practised in".</w:t>
        <w:br/>
        <w:t xml:space="preserve">4. PRACTICE AREAS: 3x2 grid of hairline-bordered cards on ivory: 01 Civil &amp; Property, 02 Criminal Defence, 03 Family &amp; Matrimonial, 04 Consumer &amp; Insurance, 05 Corporate &amp; Commercial, 06 Notary, Wills &amp; Estates. Each: numeral, serif title, two-line description, arrow. Hover: the arch motif rises behind the card, border turns terracotta.</w:t>
        <w:br/>
        <w:t xml:space="preserve">5. ABOUT THE ADVOCATE (ink black): left, large serif pull-quote "Every matter is someone's life. We treat it that way." Right: three short paragraphs (placeholder), a small facts list: Enrolled: Bar Council of Telangana · Courts: High Court for the State of Telangana, Hyderabad City Civil Court, consumer fora · Languages: English, Telugu, Hindi, Urdu.</w:t>
        <w:br/>
        <w:t xml:space="preserve">6. HOW WE WORK (ivory): three steps along a horizontal hairline that draws itself: Listen, Advise, Act, each with one sentence.</w:t>
        <w:br/>
        <w:t xml:space="preserve">7. NOTARY SERVICES: full-bleed terracotta block, ivory type: "Notary &amp; attestation", short list (notarisation, affidavits, agreements, powers of attorney, declarations), walk-in hours, "Call ahead" link.</w:t>
        <w:br/>
        <w:t xml:space="preserve">8. CONTACT (ivory): left, greyscale map placeholder of Narayanguda; right, address "Door No. 304, Ashish Orchids, beside Shanthi Theatre, YMCA, Narayanguda, Hyderabad 500029", phones +91 93910 39381 and 092461 08014, hours, WhatsApp link, and a minimal 4-field form (name, phone, matter type, message) with an ink-black submit pill.</w:t>
        <w:br/>
        <w:t xml:space="preserve">9. FOOTER (ink black): name lock-up, nav links, the Bar Council disclaimer in small silver type, copyright.</w:t>
        <w:br/>
        <w:br/>
        <w:t xml:space="preserve">MOTION</w:t>
        <w:br/>
        <w:t xml:space="preserve">Slow and deliberate: 600 ms fade-and-rise on scroll, numerals count up once, hairlines draw themselves, the arch mark opens on page load. Nothing bounces. Show two hero states if possible: load and after-scroll.</w:t>
        <w:br/>
        <w:br/>
        <w:t xml:space="preserve">MOBILE (390 px)</w:t>
        <w:br/>
        <w:t xml:space="preserve">Portrait on top, H1 at 48 px, fact strip 2x2, cards stacked, sticky bottom bar with "Call" and "WhatsApp".</w:t>
        <w:br/>
        <w:br/>
        <w:t xml:space="preserve">HARD LIMITS (Bar Council of India Rule 36)</w:t>
        <w:br/>
        <w:t xml:space="preserve">No testimonials, reviews, star ratings, case results, win counters, "best/top/leading" claims, "free consultation" banners, urgency language, or images of the advocate in court gown. Trust is built by typography, restraint and verifiable facts only.</w:t>
        <w:br/>
        <w:br/>
        <w:t xml:space="preserve">DELIVER</w:t>
        <w:br/>
        <w:t xml:space="preserve">Full-page desktop composition, mobile composition, and a small style tile (palette, type scale, the arch mark in three sizes, button states).</w:t>
      </w:r>
    </w:p>
    <w:p>
      <w:pPr>
        <w:pStyle w:val="Heading2"/>
      </w:pPr>
      <w:r>
        <w:t xml:space="preserve">Before Claude Code builds it</w:t>
      </w:r>
    </w:p>
    <w:p>
      <w:pPr/>
      <w:r>
        <w:t xml:space="preserve">Get these from the client so the build uses real content, not placeholders.</w:t>
      </w:r>
    </w:p>
    <w:p>
      <w:pPr>
        <w:pStyle w:val="ListParagraph"/>
        <w:numPr>
          <w:ilvl w:val="0"/>
          <w:numId w:val="5"/>
        </w:numPr>
      </w:pPr>
      <w:r>
        <w:t xml:space="preserve">☐ Enrolment number and year, and LL.B. college (required on the site under Rule 36 practice).</w:t>
      </w:r>
    </w:p>
    <w:p>
      <w:pPr>
        <w:pStyle w:val="ListParagraph"/>
        <w:numPr>
          <w:ilvl w:val="0"/>
          <w:numId w:val="5"/>
        </w:numPr>
      </w:pPr>
      <w:r>
        <w:t xml:space="preserve">☐ Confirmed firm name spelling ("Quadri Advocates &amp; Associates") and whether associates' names should appear.</w:t>
      </w:r>
    </w:p>
    <w:p>
      <w:pPr>
        <w:pStyle w:val="ListParagraph"/>
        <w:numPr>
          <w:ilvl w:val="0"/>
          <w:numId w:val="5"/>
        </w:numPr>
      </w:pPr>
      <w:r>
        <w:t xml:space="preserve">☐ Which phone is primary; an email address; a WhatsApp business number.</w:t>
      </w:r>
    </w:p>
    <w:p>
      <w:pPr>
        <w:pStyle w:val="ListParagraph"/>
        <w:numPr>
          <w:ilvl w:val="0"/>
          <w:numId w:val="5"/>
        </w:numPr>
      </w:pPr>
      <w:r>
        <w:t xml:space="preserve">☐ Confirmed chamber hours (listings disagree: 7 pm vs 7:30 pm evenings; Sunday daytime).</w:t>
      </w:r>
    </w:p>
    <w:p>
      <w:pPr>
        <w:pStyle w:val="ListParagraph"/>
        <w:numPr>
          <w:ilvl w:val="0"/>
          <w:numId w:val="5"/>
        </w:numPr>
      </w:pPr>
      <w:r>
        <w:t xml:space="preserve">☐ Languages spoken.</w:t>
      </w:r>
    </w:p>
    <w:p>
      <w:pPr>
        <w:pStyle w:val="ListParagraph"/>
        <w:numPr>
          <w:ilvl w:val="0"/>
          <w:numId w:val="5"/>
        </w:numPr>
      </w:pPr>
      <w:r>
        <w:t xml:space="preserve">☐ Approval of the tagline (A, B or C) and the pull-quote.</w:t>
      </w:r>
    </w:p>
    <w:p>
      <w:pPr>
        <w:pStyle w:val="ListParagraph"/>
        <w:numPr>
          <w:ilvl w:val="0"/>
          <w:numId w:val="5"/>
        </w:numPr>
      </w:pPr>
      <w:r>
        <w:t xml:space="preserve">☐ A one-hour portrait shoot: 3–4 monochrome frames in chambers plus texture shots (law reports, seal, letterhead, the street).</w:t>
      </w:r>
    </w:p>
    <w:p>
      <w:pPr>
        <w:pStyle w:val="ListParagraph"/>
        <w:numPr>
          <w:ilvl w:val="0"/>
          <w:numId w:val="5"/>
        </w:numPr>
      </w:pPr>
      <w:r>
        <w:t xml:space="preserve">☐ Approval of the disclaimer wording by the client or a colleague at the Bar.</w:t>
      </w:r>
    </w:p>
    <w:p>
      <w:pPr>
        <w:pStyle w:val="ListParagraph"/>
        <w:numPr>
          <w:ilvl w:val="0"/>
          <w:numId w:val="5"/>
        </w:numPr>
      </w:pPr>
      <w:r>
        <w:t xml:space="preserve">☐ Domain name (suggest quadriadvocates.in or quadrilaw.in; check availability) and hosting preference.</w:t>
      </w:r>
    </w:p>
    <w:p>
      <w:pPr/>
      <w:r>
        <w:rPr>
          <w:b/>
        </w:rPr>
        <w:t xml:space="preserve">Build notes for Claude Code</w:t>
      </w:r>
      <w:r>
        <w:t xml:space="preserve">: Next.js or Astro static site; self-hosted fonts; SVG arch mark as a React component; Framer Motion or CSS-only animation with reduced-motion fallback; Organization + LegalService + LocalBusiness schema; first-visit disclaimer stored in localStorage; form to email via a simple serverless endpoint; Lighthouse 95+ on mobile; WCAG AA contrast on ivory (check silver text).</w:t>
      </w:r>
    </w:p>
    <w:p>
      <w:pPr/>
      <w:r>
        <w:rPr>
          <w:b/>
        </w:rPr>
        <w:t xml:space="preserve">Sources opened</w:t>
      </w:r>
      <w:r>
        <w:t xml:space="preserve">: </w:t>
      </w:r>
      <w:hyperlink r:id="rId6" w:history="1">
        <w:r>
          <w:rPr>
            <w:rStyle w:val="Hyperlink"/>
          </w:rPr>
          <w:t xml:space="preserve">GetLaw profile</w:t>
        </w:r>
      </w:hyperlink>
      <w:r>
        <w:t xml:space="preserve">, </w:t>
      </w:r>
      <w:hyperlink r:id="rId5" w:history="1">
        <w:r>
          <w:rPr>
            <w:rStyle w:val="Hyperlink"/>
          </w:rPr>
          <w:t xml:space="preserve">Justdial: Moin Ahmed Quadri</w:t>
        </w:r>
      </w:hyperlink>
      <w:r>
        <w:t xml:space="preserve">, </w:t>
      </w:r>
      <w:hyperlink r:id="rId4" w:history="1">
        <w:r>
          <w:rPr>
            <w:rStyle w:val="Hyperlink"/>
          </w:rPr>
          <w:t xml:space="preserve">Justdial: Quadri Advocates</w:t>
        </w:r>
      </w:hyperlink>
      <w:r>
        <w:t xml:space="preserve">, </w:t>
      </w:r>
      <w:hyperlink r:id="rId3" w:history="1">
        <w:r>
          <w:rPr>
            <w:rStyle w:val="Hyperlink"/>
          </w:rPr>
          <w:t xml:space="preserve">Sulekha</w:t>
        </w:r>
      </w:hyperlink>
      <w:r>
        <w:t xml:space="preserve">, </w:t>
      </w:r>
      <w:hyperlink r:id="rId11" w:history="1">
        <w:r>
          <w:rPr>
            <w:rStyle w:val="Hyperlink"/>
          </w:rPr>
          <w:t xml:space="preserve">India Legal on Rule 36</w:t>
        </w:r>
      </w:hyperlink>
      <w:r>
        <w:t xml:space="preserve">, </w:t>
      </w:r>
      <w:hyperlink r:id="rId12" w:history="1">
        <w:r>
          <w:rPr>
            <w:rStyle w:val="Hyperlink"/>
          </w:rPr>
          <w:t xml:space="preserve">Codingclave 2026 guide</w:t>
        </w:r>
      </w:hyperlink>
      <w:r>
        <w:t xml:space="preserve">, </w:t>
      </w:r>
      <w:hyperlink r:id="rId14" w:history="1">
        <w:r>
          <w:rPr>
            <w:rStyle w:val="Hyperlink"/>
          </w:rPr>
          <w:t xml:space="preserve">Lexology on the BCI crackdown</w:t>
        </w:r>
      </w:hyperlink>
      <w:r>
        <w:t xml:space="preserve">, </w:t>
      </w:r>
      <w:hyperlink r:id="rId8" w:history="1">
        <w:r>
          <w:rPr>
            <w:rStyle w:val="Hyperlink"/>
          </w:rPr>
          <w:t xml:space="preserve">Block Agency</w:t>
        </w:r>
      </w:hyperlink>
      <w:r>
        <w:t xml:space="preserve">, </w:t>
      </w:r>
      <w:hyperlink r:id="rId9" w:history="1">
        <w:r>
          <w:rPr>
            <w:rStyle w:val="Hyperlink"/>
          </w:rPr>
          <w:t xml:space="preserve">Attorney at Law Magazine</w:t>
        </w:r>
      </w:hyperlink>
      <w:r>
        <w:t xml:space="preserve">. The eCourts profile blocks automated access; its case-count details are unverified 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sulekha.com/mohammad-moin-ahmed-quadri-narayanaguda-hyderabad-contact-address" TargetMode="External"/><Relationship Id="rId4" Type="http://schemas.openxmlformats.org/officeDocument/2006/relationships/hyperlink" Target="https://www.justdial.com/Hyderabad/Quadri-Advocates-Beside-Shanth-Theater-Narayanguda/040PXX40-XX40-130619120021-T8Z2_BZDET" TargetMode="External"/><Relationship Id="rId5" Type="http://schemas.openxmlformats.org/officeDocument/2006/relationships/hyperlink" Target="https://www.justdial.com/Hyderabad/Moin-Ahmed-Quadri-YmcaBeside-Shanthi-Theater-Narayanguda/040PXX40-XX40-001118708667-N8X8_BZDET" TargetMode="External"/><Relationship Id="rId6" Type="http://schemas.openxmlformats.org/officeDocument/2006/relationships/hyperlink" Target="https://getlaw.in/lawyer/moin-ahmed-quadri" TargetMode="External"/><Relationship Id="rId7" Type="http://schemas.openxmlformats.org/officeDocument/2006/relationships/hyperlink" Target="https://en.wikipedia.org/wiki/Bar_Council_of_Telangana" TargetMode="External"/><Relationship Id="rId8" Type="http://schemas.openxmlformats.org/officeDocument/2006/relationships/hyperlink" Target="https://blockagency.co/blog/law-firm-website-designs/" TargetMode="External"/><Relationship Id="rId9" Type="http://schemas.openxmlformats.org/officeDocument/2006/relationships/hyperlink" Target="https://attorneyatlawmagazine.com/legal-marketing/website-design/best-law-firm-websites" TargetMode="External"/><Relationship Id="rId10" Type="http://schemas.openxmlformats.org/officeDocument/2006/relationships/hyperlink" Target="https://www.magier.com/blog/best-law-firm-website-designs" TargetMode="External"/><Relationship Id="rId11" Type="http://schemas.openxmlformats.org/officeDocument/2006/relationships/hyperlink" Target="https://indialegallive.com/cover-story-articles/il-feature-news/supreme-court-revisits-rule-banning-advocates-from-self-promotion/" TargetMode="External"/><Relationship Id="rId12" Type="http://schemas.openxmlformats.org/officeDocument/2006/relationships/hyperlink" Target="https://codingclave.com/guides/digital-marketing-for-law-firms-india-2026" TargetMode="External"/><Relationship Id="rId13" Type="http://schemas.openxmlformats.org/officeDocument/2006/relationships/hyperlink" Target="https://mydigitalsevak.in/blog/social-media-chartered-accountants-lawyers-india/" TargetMode="External"/><Relationship Id="rId14" Type="http://schemas.openxmlformats.org/officeDocument/2006/relationships/hyperlink" Target="https://www.lexology.com/library/detail.aspx?g=6cfca99a-3766-4740-82cb-57915073fb6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Quadri Advocates &amp; Associates — Website Research &amp; Homepage Design Brief</dc:title>
  <dc:description>Claude Docs node/d04f6cab-e25a@9 docx-w6</dc:description>
  <cp:revision>9</cp:revision>
</cp:coreProperties>
</file>