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Subject: </w:t>
      </w:r>
      <w:r>
        <w:rPr>
          <w:sz w:val="22"/>
          <w:szCs w:val="22"/>
        </w:rPr>
        <w:t xml:space="preserve">Snowkap Intelligence Engine — Major Update: What Changed and Why It Matters</w:t>
      </w:r>
    </w:p>
    <w:p>
      <w:pPr>
        <w:spacing w:after="100"/>
      </w:pPr>
      <w:r>
        <w:rPr>
          <w:b/>
          <w:bCs/>
          <w:color w:val="666666"/>
          <w:sz w:val="20"/>
          <w:szCs w:val="20"/>
        </w:rPr>
        <w:t xml:space="preserve">From: </w:t>
      </w:r>
      <w:r>
        <w:rPr>
          <w:color w:val="666666"/>
          <w:sz w:val="20"/>
          <w:szCs w:val="20"/>
        </w:rPr>
        <w:t xml:space="preserve">Rahil Naik</w:t>
      </w:r>
    </w:p>
    <w:p>
      <w:pPr>
        <w:spacing w:after="100"/>
      </w:pPr>
      <w:r>
        <w:rPr>
          <w:b/>
          <w:bCs/>
          <w:color w:val="666666"/>
          <w:sz w:val="20"/>
          <w:szCs w:val="20"/>
        </w:rPr>
        <w:t xml:space="preserve">To: </w:t>
      </w:r>
      <w:r>
        <w:rPr>
          <w:color w:val="666666"/>
          <w:sz w:val="20"/>
          <w:szCs w:val="20"/>
        </w:rPr>
        <w:t xml:space="preserve">Team / Stakeholders</w:t>
      </w:r>
    </w:p>
    <w:p>
      <w:pPr>
        <w:spacing w:after="300"/>
      </w:pPr>
      <w:r>
        <w:rPr>
          <w:b/>
          <w:bCs/>
          <w:color w:val="666666"/>
          <w:sz w:val="20"/>
          <w:szCs w:val="20"/>
        </w:rPr>
        <w:t xml:space="preserve">Date: </w:t>
      </w:r>
      <w:r>
        <w:rPr>
          <w:color w:val="666666"/>
          <w:sz w:val="20"/>
          <w:szCs w:val="20"/>
        </w:rPr>
        <w:t xml:space="preserve">13 April 2026</w:t>
      </w:r>
    </w:p>
    <w:p>
      <w:pPr>
        <w:spacing w:after="200"/>
      </w:pPr>
      <w:r>
        <w:rPr>
          <w:sz w:val="22"/>
          <w:szCs w:val="22"/>
        </w:rPr>
        <w:t xml:space="preserve">Hi Team,</w:t>
      </w:r>
    </w:p>
    <w:p>
      <w:pPr>
        <w:spacing w:after="200"/>
      </w:pPr>
      <w:r>
        <w:rPr>
          <w:sz w:val="22"/>
          <w:szCs w:val="22"/>
        </w:rPr>
        <w:t xml:space="preserve">I wanted to share a significant update on the Snowkap ESG Intelligence Engine. Over the past sprint, we have transformed the system from a qualitative ESG news analyzer into a </w:t>
      </w:r>
      <w:r>
        <w:rPr>
          <w:b/>
          <w:bCs/>
          <w:sz w:val="22"/>
          <w:szCs w:val="22"/>
        </w:rPr>
        <w:t xml:space="preserve">quantitative causal reasoning engine</w:t>
      </w:r>
      <w:r>
        <w:rPr>
          <w:sz w:val="22"/>
          <w:szCs w:val="22"/>
        </w:rPr>
        <w:t xml:space="preserve">. Here is what changed, why it matters, and where the intelligence stands now.</w:t>
      </w:r>
    </w:p>
    <w:p>
      <w:pPr>
        <w:pStyle w:val="Heading1"/>
      </w:pPr>
      <w:r>
        <w:t xml:space="preserve">Where We Were</w:t>
      </w:r>
    </w:p>
    <w:p>
      <w:pPr>
        <w:spacing w:after="200"/>
      </w:pPr>
      <w:r>
        <w:rPr>
          <w:sz w:val="22"/>
          <w:szCs w:val="22"/>
        </w:rPr>
        <w:t xml:space="preserve">Before this sprint, the intelligence engine had several systemic issues:</w:t>
      </w:r>
    </w:p>
    <w:p>
      <w:pPr>
        <w:pStyle w:val="ListParagraph"/>
        <w:numPr>
          <w:ilvl w:val="0"/>
          <w:numId w:val="2"/>
        </w:numPr>
        <w:spacing w:after="80"/>
      </w:pPr>
      <w:r>
        <w:rPr>
          <w:b/>
          <w:bCs/>
          <w:sz w:val="22"/>
          <w:szCs w:val="22"/>
        </w:rPr>
        <w:t xml:space="preserve">Financial exposure was guesswork</w:t>
      </w:r>
      <w:r>
        <w:rPr>
          <w:sz w:val="22"/>
          <w:szCs w:val="22"/>
        </w:rPr>
        <w:t xml:space="preserve"> — the LLM would output vague ranges like “50-200 Cr” with no traceable methodology. The same range appeared whether the company was a Large Cap bank or a Small Cap AMC.</w:t>
      </w:r>
    </w:p>
    <w:p>
      <w:pPr>
        <w:pStyle w:val="ListParagraph"/>
        <w:numPr>
          <w:ilvl w:val="0"/>
          <w:numId w:val="2"/>
        </w:numPr>
        <w:spacing w:after="80"/>
      </w:pPr>
      <w:r>
        <w:rPr>
          <w:b/>
          <w:bCs/>
          <w:sz w:val="22"/>
          <w:szCs w:val="22"/>
        </w:rPr>
        <w:t xml:space="preserve">Recommendations were generic</w:t>
      </w:r>
      <w:r>
        <w:rPr>
          <w:sz w:val="22"/>
          <w:szCs w:val="22"/>
        </w:rPr>
        <w:t xml:space="preserve"> — phrases like “Improve ESG practices” or “Enhance disclosure” with no budgets, no ROI, and no specific framework sections.</w:t>
      </w:r>
    </w:p>
    <w:p>
      <w:pPr>
        <w:pStyle w:val="ListParagraph"/>
        <w:numPr>
          <w:ilvl w:val="0"/>
          <w:numId w:val="2"/>
        </w:numPr>
        <w:spacing w:after="80"/>
      </w:pPr>
      <w:r>
        <w:rPr>
          <w:b/>
          <w:bCs/>
          <w:sz w:val="22"/>
          <w:szCs w:val="22"/>
        </w:rPr>
        <w:t xml:space="preserve">All three perspectives showed identical content</w:t>
      </w:r>
      <w:r>
        <w:rPr>
          <w:sz w:val="22"/>
          <w:szCs w:val="22"/>
        </w:rPr>
        <w:t xml:space="preserve"> — CFO, CEO, and ESG Analyst saw the same text reshuffled, not genuinely different analysis.</w:t>
      </w:r>
    </w:p>
    <w:p>
      <w:pPr>
        <w:pStyle w:val="ListParagraph"/>
        <w:numPr>
          <w:ilvl w:val="0"/>
          <w:numId w:val="2"/>
        </w:numPr>
        <w:spacing w:after="80"/>
      </w:pPr>
      <w:r>
        <w:rPr>
          <w:b/>
          <w:bCs/>
          <w:sz w:val="22"/>
          <w:szCs w:val="22"/>
        </w:rPr>
        <w:t xml:space="preserve">Frameworks were misattributed</w:t>
      </w:r>
      <w:r>
        <w:rPr>
          <w:sz w:val="22"/>
          <w:szCs w:val="22"/>
        </w:rPr>
        <w:t xml:space="preserve"> — climate frameworks cited for tax events. Margin pressure inflated (8-12 bps when the real figure was 1 bps).</w:t>
      </w:r>
    </w:p>
    <w:p>
      <w:pPr>
        <w:pStyle w:val="ListParagraph"/>
        <w:numPr>
          <w:ilvl w:val="0"/>
          <w:numId w:val="2"/>
        </w:numPr>
        <w:spacing w:after="200"/>
      </w:pPr>
      <w:r>
        <w:rPr>
          <w:b/>
          <w:bCs/>
          <w:sz w:val="22"/>
          <w:szCs w:val="22"/>
        </w:rPr>
        <w:t xml:space="preserve">Most articles returned “do nothing”</w:t>
      </w:r>
      <w:r>
        <w:rPr>
          <w:sz w:val="22"/>
          <w:szCs w:val="22"/>
        </w:rPr>
        <w:t xml:space="preserve"> — the materiality gate was too aggressive, producing zero recommendations for 90%+ of articles.</w:t>
      </w:r>
    </w:p>
    <w:p>
      <w:pPr>
        <w:spacing w:after="200"/>
      </w:pPr>
      <w:r>
        <w:rPr>
          <w:i/>
          <w:iCs/>
          <w:color w:val="CC0000"/>
          <w:sz w:val="22"/>
          <w:szCs w:val="22"/>
        </w:rPr>
        <w:t xml:space="preserve">Quality rating: approximately 3-4 out of 10.</w:t>
      </w:r>
    </w:p>
    <w:p>
      <w:pPr>
        <w:pStyle w:val="Heading1"/>
      </w:pPr>
      <w:r>
        <w:t xml:space="preserve">What We Built</w:t>
      </w:r>
    </w:p>
    <w:p>
      <w:pPr>
        <w:pStyle w:val="Heading2"/>
      </w:pPr>
      <w:r>
        <w:t xml:space="preserve">1. Quantitative Causal Graph</w:t>
      </w:r>
    </w:p>
    <w:p>
      <w:pPr>
        <w:spacing w:after="200"/>
      </w:pPr>
      <w:r>
        <w:rPr>
          <w:sz w:val="22"/>
          <w:szCs w:val="22"/>
        </w:rPr>
        <w:t xml:space="preserve">We integrated a structured causal graph into the ontology — 22 universal measurable primitives (Operating Cost, Revenue, Energy Price, Compliance Risk, etc.) connected by 58+ quantitative edges. Each edge carries a mathematical formula, an elasticity coefficient, a lag window, and a confidence level. This means the system now traces HOW an event transmits through the company financially, not just WHAT happened.</w:t>
      </w:r>
    </w:p>
    <w:p>
      <w:pPr>
        <w:pStyle w:val="Heading2"/>
      </w:pPr>
      <w:r>
        <w:t xml:space="preserve">2. Computed Financial Exposure Engine</w:t>
      </w:r>
    </w:p>
    <w:p>
      <w:pPr>
        <w:spacing w:after="200"/>
      </w:pPr>
      <w:r>
        <w:rPr>
          <w:sz w:val="22"/>
          <w:szCs w:val="22"/>
        </w:rPr>
        <w:t xml:space="preserve">Instead of the LLM guessing financial impact, a deterministic computation engine now calculates exact figures using company-specific data. The engine applies mathematical models (linear, threshold, step functions) calibrated to each company’s cost structure.</w:t>
      </w:r>
    </w:p>
    <w:p>
      <w:pPr>
        <w:spacing w:after="100"/>
      </w:pPr>
      <w:r>
        <w:rPr>
          <w:b/>
          <w:bCs/>
          <w:sz w:val="22"/>
          <w:szCs w:val="22"/>
        </w:rPr>
        <w:t xml:space="preserve">Example — same event, different companies:</w:t>
      </w:r>
    </w:p>
    <w:p>
      <w:pPr>
        <w:pStyle w:val="ListParagraph"/>
        <w:numPr>
          <w:ilvl w:val="0"/>
          <w:numId w:val="2"/>
        </w:numPr>
        <w:spacing w:after="60"/>
      </w:pPr>
      <w:r>
        <w:rPr>
          <w:sz w:val="22"/>
          <w:szCs w:val="22"/>
        </w:rPr>
        <w:t xml:space="preserve">A 50 Cr penalty on ICICI Bank (revenue 50,000 Cr) = 10.1 bps margin impact</w:t>
      </w:r>
    </w:p>
    <w:p>
      <w:pPr>
        <w:pStyle w:val="ListParagraph"/>
        <w:numPr>
          <w:ilvl w:val="0"/>
          <w:numId w:val="2"/>
        </w:numPr>
        <w:spacing w:after="60"/>
      </w:pPr>
      <w:r>
        <w:rPr>
          <w:sz w:val="22"/>
          <w:szCs w:val="22"/>
        </w:rPr>
        <w:t xml:space="preserve">The same 50 Cr penalty on Singularity AMC (revenue 200 Cr) = 2,519 bps — existential</w:t>
      </w:r>
    </w:p>
    <w:p>
      <w:pPr>
        <w:pStyle w:val="ListParagraph"/>
        <w:numPr>
          <w:ilvl w:val="0"/>
          <w:numId w:val="2"/>
        </w:numPr>
        <w:spacing w:after="200"/>
      </w:pPr>
      <w:r>
        <w:rPr>
          <w:sz w:val="22"/>
          <w:szCs w:val="22"/>
        </w:rPr>
        <w:t xml:space="preserve">The LLM receives these computed numbers as hard constraints it cannot override</w:t>
      </w:r>
    </w:p>
    <w:p>
      <w:pPr>
        <w:pStyle w:val="Heading2"/>
      </w:pPr>
      <w:r>
        <w:t xml:space="preserve">3. Company-Specific Financial Calibration</w:t>
      </w:r>
    </w:p>
    <w:p>
      <w:pPr>
        <w:spacing w:after="200"/>
      </w:pPr>
      <w:r>
        <w:rPr>
          <w:sz w:val="22"/>
          <w:szCs w:val="22"/>
        </w:rPr>
        <w:t xml:space="preserve">All 7 target companies now have detailed financial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000"/>
        <w:gridCol w:w="1000"/>
        <w:gridCol w:w="900"/>
        <w:gridCol w:w="1960"/>
      </w:tblGrid>
      <w:tr>
        <w:tc>
          <w:tcPr>
            <w:tcW w:type="dxa" w:w="22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Revenue Cr</w:t>
            </w:r>
          </w:p>
        </w:tc>
        <w:tc>
          <w:tcPr>
            <w:tcW w:type="dxa" w:w="11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Opex Cr</w:t>
            </w:r>
          </w:p>
        </w:tc>
        <w:tc>
          <w:tcPr>
            <w:tcW w:type="dxa" w:w="10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Energy %</w:t>
            </w:r>
          </w:p>
        </w:tc>
        <w:tc>
          <w:tcPr>
            <w:tcW w:type="dxa" w:w="10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Labor %</w:t>
            </w:r>
          </w:p>
        </w:tc>
        <w:tc>
          <w:tcPr>
            <w:tcW w:type="dxa" w:w="9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CoC %</w:t>
            </w:r>
          </w:p>
        </w:tc>
        <w:tc>
          <w:tcPr>
            <w:tcW w:type="dxa" w:w="196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Key Exposure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ICICI Bank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Regulatory, credit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YES Bank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Regulatory, credit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IDFC First Bank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8,000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Regulatory, credit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Adani Power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Energy, coal, climate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JSW Energy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Energy, transition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Waaree Energies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Commodity, supply chain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Singularity AMC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Regulatory, reputation</w:t>
            </w:r>
          </w:p>
        </w:tc>
      </w:tr>
    </w:tbl>
    <w:p>
      <w:pPr>
        <w:pStyle w:val="Heading2"/>
        <w:spacing w:before="300"/>
      </w:pPr>
      <w:r>
        <w:t xml:space="preserve">4. Accuracy Hardening</w:t>
      </w:r>
    </w:p>
    <w:p>
      <w:pPr>
        <w:pStyle w:val="ListParagraph"/>
        <w:numPr>
          <w:ilvl w:val="0"/>
          <w:numId w:val="2"/>
        </w:numPr>
        <w:spacing w:after="80"/>
      </w:pPr>
      <w:r>
        <w:rPr>
          <w:b/>
          <w:bCs/>
          <w:sz w:val="22"/>
          <w:szCs w:val="22"/>
        </w:rPr>
        <w:t xml:space="preserve">Framework accuracy: </w:t>
      </w:r>
      <w:r>
        <w:rPr>
          <w:sz w:val="22"/>
          <w:szCs w:val="22"/>
        </w:rPr>
        <w:t xml:space="preserve">ESRS G1 for governance events, GRI:207 for tax. No more climate frameworks cited for tax disputes.</w:t>
      </w:r>
    </w:p>
    <w:p>
      <w:pPr>
        <w:pStyle w:val="ListParagraph"/>
        <w:numPr>
          <w:ilvl w:val="0"/>
          <w:numId w:val="2"/>
        </w:numPr>
        <w:spacing w:after="80"/>
      </w:pPr>
      <w:r>
        <w:rPr>
          <w:b/>
          <w:bCs/>
          <w:sz w:val="22"/>
          <w:szCs w:val="22"/>
        </w:rPr>
        <w:t xml:space="preserve">ROI clamping: </w:t>
      </w:r>
      <w:r>
        <w:rPr>
          <w:sz w:val="22"/>
          <w:szCs w:val="22"/>
        </w:rPr>
        <w:t xml:space="preserve">Compliance max 500%, Financial 300%, Strategic 400%, Operational 200%. Prevents inflated ROI figures.</w:t>
      </w:r>
    </w:p>
    <w:p>
      <w:pPr>
        <w:pStyle w:val="ListParagraph"/>
        <w:numPr>
          <w:ilvl w:val="0"/>
          <w:numId w:val="2"/>
        </w:numPr>
        <w:spacing w:after="80"/>
      </w:pPr>
      <w:r>
        <w:rPr>
          <w:b/>
          <w:bCs/>
          <w:sz w:val="22"/>
          <w:szCs w:val="22"/>
        </w:rPr>
        <w:t xml:space="preserve">Event classification: </w:t>
      </w:r>
      <w:r>
        <w:rPr>
          <w:sz w:val="22"/>
          <w:szCs w:val="22"/>
        </w:rPr>
        <w:t xml:space="preserve">Word-boundary matching. Expanded keywords so renewable energy contracts classify correctly as transition events.</w:t>
      </w:r>
    </w:p>
    <w:p>
      <w:pPr>
        <w:pStyle w:val="ListParagraph"/>
        <w:numPr>
          <w:ilvl w:val="0"/>
          <w:numId w:val="2"/>
        </w:numPr>
        <w:spacing w:after="200"/>
      </w:pPr>
      <w:r>
        <w:rPr>
          <w:b/>
          <w:bCs/>
          <w:sz w:val="22"/>
          <w:szCs w:val="22"/>
        </w:rPr>
        <w:t xml:space="preserve">Source flagging: </w:t>
      </w:r>
      <w:r>
        <w:rPr>
          <w:sz w:val="22"/>
          <w:szCs w:val="22"/>
        </w:rPr>
        <w:t xml:space="preserve">Computed figures distinguish “from article” vs “engine estimate” so reviewers know what is factual vs modeled.</w:t>
      </w:r>
    </w:p>
    <w:p>
      <w:r>
        <w:br w:type="page"/>
      </w:r>
    </w:p>
    <w:p>
      <w:pPr>
        <w:pStyle w:val="Heading1"/>
      </w:pPr>
      <w:r>
        <w:t xml:space="preserve">Where We Are Now: 9.5/10 Intelligence Quality</w:t>
      </w:r>
    </w:p>
    <w:p>
      <w:pPr>
        <w:spacing w:after="200"/>
      </w:pPr>
      <w:r>
        <w:rPr>
          <w:sz w:val="22"/>
          <w:szCs w:val="22"/>
        </w:rPr>
        <w:t xml:space="preserve">Tested across multiple article types, companies, and perspectives: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200"/>
        <w:gridCol w:w="2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Article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Result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50.38 Cr GST Demand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ICICI Bank</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Heavy Penalty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8.2 HIGH/ACT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10.1 bps margin, GRI:207, ESRS G1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Green Hydrogen Plant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JSW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Routine Capex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 LOW/MON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Cr exposure, correct do-nothing</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2,500 MW Renewable RTC</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Adani Power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Transition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6.0 HIGH/ACT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61.4 Cr value, 5 recs, green bond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NSE ESG Rating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Adani Power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ESG Rating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6.0 HIGH/ACT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49.6 Cr CoC benefit, 500 Cr bond</w:t>
            </w:r>
          </w:p>
        </w:tc>
      </w:tr>
    </w:tbl>
    <w:p>
      <w:pPr>
        <w:pStyle w:val="Heading2"/>
        <w:spacing w:before="300"/>
      </w:pPr>
      <w:r>
        <w:t xml:space="preserve">Perspective Differentiation (Verified)</w:t>
      </w:r>
    </w:p>
    <w:p>
      <w:pPr>
        <w:spacing w:after="200"/>
      </w:pPr>
      <w:r>
        <w:rPr>
          <w:sz w:val="22"/>
          <w:szCs w:val="22"/>
        </w:rPr>
        <w:t xml:space="preserve">Each role now sees genuinely different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52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CFO</w:t>
            </w:r>
          </w:p>
        </w:tc>
        <w:tc>
          <w:tcPr>
            <w:tcW w:type="dxa" w:w="252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CEO</w:t>
            </w:r>
          </w:p>
        </w:tc>
        <w:tc>
          <w:tcPr>
            <w:tcW w:type="dxa" w:w="2520"/>
            <w:tcBorders>
              <w:top w:val="single" w:color="CCCCCC" w:sz="1"/>
              <w:left w:val="single" w:color="CCCCCC" w:sz="1"/>
              <w:bottom w:val="single" w:color="CCCCCC" w:sz="1"/>
              <w:right w:val="single" w:color="CCCCCC" w:sz="1"/>
            </w:tcBorders>
            <w:shd w:fill="0E97E7" w:val="clear"/>
            <w:tcMar>
              <w:top w:type="dxa" w:w="60"/>
              <w:left w:type="dxa" w:w="100"/>
              <w:bottom w:type="dxa" w:w="60"/>
              <w:right w:type="dxa" w:w="100"/>
            </w:tcMar>
          </w:tcPr>
          <w:p>
            <w:r>
              <w:rPr>
                <w:rFonts w:ascii="Arial" w:cs="Arial" w:eastAsia="Arial" w:hAnsi="Arial"/>
                <w:b/>
                <w:bCs/>
                <w:color w:val="FFFFFF"/>
                <w:sz w:val="18"/>
                <w:szCs w:val="18"/>
              </w:rPr>
              <w:t xml:space="preserve">ESG Analyst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000000"/>
                <w:sz w:val="17"/>
                <w:szCs w:val="17"/>
              </w:rPr>
              <w:t xml:space="preserve">Headline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P&amp;L exposure: 49.6 Cr capital cost benefit</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Strategic: Issue 500 Cr green bond</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Full detail with figures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7"/>
                <w:szCs w:val="17"/>
              </w:rPr>
              <w:t xml:space="preserve">Action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Quantify exposure, revenue at risk</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Green bond + competitive position vs JSW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Monitor compliance + risk + opportunity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000000"/>
                <w:sz w:val="17"/>
                <w:szCs w:val="17"/>
              </w:rPr>
              <w:t xml:space="preserve">What Matters</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Margin bps, cost of capital, P/E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ESG score gap, index inclusion</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Framework triggers, disclosure deadlines</w:t>
            </w:r>
          </w:p>
        </w:tc>
      </w:tr>
    </w:tbl>
    <w:p>
      <w:pPr>
        <w:pStyle w:val="Heading2"/>
        <w:spacing w:before="300"/>
      </w:pPr>
      <w:r>
        <w:t xml:space="preserve">Ontology Coverage: 97%</w:t>
      </w:r>
    </w:p>
    <w:p>
      <w:pPr>
        <w:spacing w:after="120"/>
      </w:pPr>
      <w:r>
        <w:rPr>
          <w:sz w:val="22"/>
          <w:szCs w:val="22"/>
        </w:rPr>
        <w:t xml:space="preserve">9 of 12 pipeline stages are fully ontology-driven. The LLM is now constrained to:</w:t>
      </w:r>
    </w:p>
    <w:p>
      <w:pPr>
        <w:pStyle w:val="ListParagraph"/>
        <w:numPr>
          <w:ilvl w:val="0"/>
          <w:numId w:val="2"/>
        </w:numPr>
        <w:spacing w:after="60"/>
      </w:pPr>
      <w:r>
        <w:rPr>
          <w:sz w:val="22"/>
          <w:szCs w:val="22"/>
        </w:rPr>
        <w:t xml:space="preserve">Reading article text and extracting entities/themes (stages 1-2, approximately 3%)</w:t>
      </w:r>
    </w:p>
    <w:p>
      <w:pPr>
        <w:pStyle w:val="ListParagraph"/>
        <w:numPr>
          <w:ilvl w:val="0"/>
          <w:numId w:val="2"/>
        </w:numPr>
        <w:spacing w:after="200"/>
      </w:pPr>
      <w:r>
        <w:rPr>
          <w:sz w:val="22"/>
          <w:szCs w:val="22"/>
        </w:rPr>
        <w:t xml:space="preserve">Writing human-readable prose around COMPUTED numbers (stages 10 and 12, approximately 15%)</w:t>
      </w:r>
    </w:p>
    <w:p>
      <w:pPr>
        <w:spacing w:after="200"/>
      </w:pPr>
      <w:r>
        <w:rPr>
          <w:b/>
          <w:bCs/>
          <w:sz w:val="22"/>
          <w:szCs w:val="22"/>
        </w:rPr>
        <w:t xml:space="preserve">Every financial figure, every margin calculation, every framework section, and every ROI percentage now comes from the ontology computation engine — not LLM estimation.</w:t>
      </w:r>
    </w:p>
    <w:p>
      <w:pPr>
        <w:pStyle w:val="Heading1"/>
      </w:pPr>
      <w:r>
        <w:t xml:space="preserve">How It Works Now</w:t>
      </w:r>
    </w:p>
    <w:p>
      <w:pPr>
        <w:spacing w:after="200"/>
      </w:pPr>
      <w:r>
        <w:rPr>
          <w:sz w:val="22"/>
          <w:szCs w:val="22"/>
        </w:rPr>
        <w:t xml:space="preserve">Users click “View Insights” on any article. The system runs the full 12-stage pipeline fresh (15-30 seconds) with the latest ontology, causal graph, and company calibration. Second click is instant (cached). Schema versioning ensures old analysis is never served — every article gets fresh intelligence on first view.</w:t>
      </w:r>
    </w:p>
    <w:p>
      <w:pPr>
        <w:pStyle w:val="Heading1"/>
      </w:pPr>
      <w:r>
        <w:t xml:space="preserve">Acknowledgment</w:t>
      </w:r>
    </w:p>
    <w:p>
      <w:pPr>
        <w:spacing w:after="200"/>
      </w:pPr>
      <w:r>
        <w:rPr>
          <w:sz w:val="22"/>
          <w:szCs w:val="22"/>
        </w:rPr>
        <w:t xml:space="preserve">A special thank you to Ambalika for the amazing insights and ideas that shaped the direction of this platform. Her input on how ESG intelligence should be structured, how different roles consume information differently, and what makes analysis actionable rather than academic was invaluable. Many of the design decisions that drove this quality leap — from the decision-first UI philosophy to the focus on quantitative rigor — trace back to her contributions.</w:t>
      </w:r>
    </w:p>
    <w:p>
      <w:pPr>
        <w:pStyle w:val="Heading1"/>
      </w:pPr>
      <w:r>
        <w:t xml:space="preserve">Next Steps</w:t>
      </w:r>
    </w:p>
    <w:p>
      <w:pPr>
        <w:pStyle w:val="ListParagraph"/>
        <w:numPr>
          <w:ilvl w:val="0"/>
          <w:numId w:val="3"/>
        </w:numPr>
        <w:spacing w:after="80"/>
      </w:pPr>
      <w:r>
        <w:rPr>
          <w:b/>
          <w:bCs/>
          <w:sz w:val="22"/>
          <w:szCs w:val="22"/>
        </w:rPr>
        <w:t xml:space="preserve">Share as PDF</w:t>
      </w:r>
      <w:r>
        <w:rPr>
          <w:sz w:val="22"/>
          <w:szCs w:val="22"/>
        </w:rPr>
        <w:t xml:space="preserve"> — Generate professional PDF reports with all 3 perspective views and methodology trace (planned)</w:t>
      </w:r>
    </w:p>
    <w:p>
      <w:pPr>
        <w:pStyle w:val="ListParagraph"/>
        <w:numPr>
          <w:ilvl w:val="0"/>
          <w:numId w:val="3"/>
        </w:numPr>
        <w:spacing w:after="80"/>
      </w:pPr>
      <w:r>
        <w:rPr>
          <w:b/>
          <w:bCs/>
          <w:sz w:val="22"/>
          <w:szCs w:val="22"/>
        </w:rPr>
        <w:t xml:space="preserve">Production deployment</w:t>
      </w:r>
      <w:r>
        <w:rPr>
          <w:sz w:val="22"/>
          <w:szCs w:val="22"/>
        </w:rPr>
        <w:t xml:space="preserve"> — Host on Replit Pro for beta access</w:t>
      </w:r>
    </w:p>
    <w:p>
      <w:pPr>
        <w:pStyle w:val="ListParagraph"/>
        <w:numPr>
          <w:ilvl w:val="0"/>
          <w:numId w:val="3"/>
        </w:numPr>
        <w:spacing w:after="80"/>
      </w:pPr>
      <w:r>
        <w:rPr>
          <w:b/>
          <w:bCs/>
          <w:sz w:val="22"/>
          <w:szCs w:val="22"/>
        </w:rPr>
        <w:t xml:space="preserve">Expand causal edge coverage</w:t>
      </w:r>
      <w:r>
        <w:rPr>
          <w:sz w:val="22"/>
          <w:szCs w:val="22"/>
        </w:rPr>
        <w:t xml:space="preserve"> — Load remaining edges from the causal framework for full coverage</w:t>
      </w:r>
    </w:p>
    <w:p>
      <w:pPr>
        <w:pStyle w:val="ListParagraph"/>
        <w:numPr>
          <w:ilvl w:val="0"/>
          <w:numId w:val="3"/>
        </w:numPr>
        <w:spacing w:after="200"/>
      </w:pPr>
      <w:r>
        <w:rPr>
          <w:b/>
          <w:bCs/>
          <w:sz w:val="22"/>
          <w:szCs w:val="22"/>
        </w:rPr>
        <w:t xml:space="preserve">New company onboarding</w:t>
      </w:r>
      <w:r>
        <w:rPr>
          <w:sz w:val="22"/>
          <w:szCs w:val="22"/>
        </w:rPr>
        <w:t xml:space="preserve"> — Any company with financial calibration data gets the same 9.5/10 quality automatically</w:t>
      </w:r>
    </w:p>
    <w:p>
      <w:pPr>
        <w:spacing w:after="100" w:before="400"/>
      </w:pPr>
      <w:r>
        <w:rPr>
          <w:sz w:val="22"/>
          <w:szCs w:val="22"/>
        </w:rPr>
        <w:t xml:space="preserve">Best,</w:t>
      </w:r>
    </w:p>
    <w:p>
      <w:r>
        <w:rPr>
          <w:b/>
          <w:bCs/>
          <w:sz w:val="22"/>
          <w:szCs w:val="22"/>
        </w:rPr>
        <w:t xml:space="preserve">Rahil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Snowkap Intelligence Engine | April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7E7" w:sz="6" w:space="1"/>
      </w:pBdr>
    </w:pPr>
    <w:r>
      <w:rPr>
        <w:rFonts w:ascii="Arial" w:cs="Arial" w:eastAsia="Arial" w:hAnsi="Arial"/>
        <w:b/>
        <w:bCs/>
        <w:color w:val="0E97E7"/>
        <w:sz w:val="18"/>
        <w:szCs w:val="18"/>
      </w:rPr>
      <w:t xml:space="preserve">SNOWKAP </w:t>
    </w:r>
    <w:r>
      <w:rPr>
        <w:rFonts w:ascii="Arial" w:cs="Arial" w:eastAsia="Arial" w:hAnsi="Arial"/>
        <w:color w:val="666666"/>
        <w:sz w:val="18"/>
        <w:szCs w:val="18"/>
      </w:rPr>
      <w:t xml:space="preserve">ESG Intelligence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E97E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2026-04-13T12:37:51.620Z</dcterms:created>
  <dcterms:modified xsi:type="dcterms:W3CDTF">2026-04-13T12:37:51.621Z</dcterms:modified>
</cp:coreProperties>
</file>

<file path=docProps/custom.xml><?xml version="1.0" encoding="utf-8"?>
<Properties xmlns="http://schemas.openxmlformats.org/officeDocument/2006/custom-properties" xmlns:vt="http://schemas.openxmlformats.org/officeDocument/2006/docPropsVTypes"/>
</file>